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color w:val="4472C4" w:themeColor="accent1"/>
        </w:rPr>
        <w:id w:val="-1422338273"/>
        <w:docPartObj>
          <w:docPartGallery w:val="Cover Pages"/>
          <w:docPartUnique/>
        </w:docPartObj>
      </w:sdtPr>
      <w:sdtEndPr>
        <w:rPr>
          <w:color w:val="auto"/>
        </w:rPr>
      </w:sdtEndPr>
      <w:sdtContent>
        <w:p w:rsidR="00F11E22" w:rsidRPr="00F11E22" w:rsidRDefault="00F11E22" w:rsidP="00F11E22">
          <w:pPr>
            <w:pStyle w:val="Sinespaciado"/>
            <w:spacing w:before="1540" w:after="240"/>
            <w:rPr>
              <w:color w:val="4472C4" w:themeColor="accent1"/>
            </w:rPr>
          </w:pPr>
          <w:r>
            <w:rPr>
              <w:noProof/>
            </w:rPr>
            <w:drawing>
              <wp:anchor distT="0" distB="0" distL="114300" distR="114300" simplePos="0" relativeHeight="251661312" behindDoc="0" locked="0" layoutInCell="1" allowOverlap="1">
                <wp:simplePos x="0" y="0"/>
                <wp:positionH relativeFrom="column">
                  <wp:posOffset>2588260</wp:posOffset>
                </wp:positionH>
                <wp:positionV relativeFrom="paragraph">
                  <wp:posOffset>-657225</wp:posOffset>
                </wp:positionV>
                <wp:extent cx="2315077" cy="2165684"/>
                <wp:effectExtent l="19050" t="0" r="9023" b="0"/>
                <wp:wrapNone/>
                <wp:docPr id="8" name="Imagen 8" descr="C:\Users\UJA\Desktop\K84Tc4n2 (1).jpg"/>
                <wp:cNvGraphicFramePr/>
                <a:graphic xmlns:a="http://schemas.openxmlformats.org/drawingml/2006/main">
                  <a:graphicData uri="http://schemas.openxmlformats.org/drawingml/2006/picture">
                    <pic:pic xmlns:pic="http://schemas.openxmlformats.org/drawingml/2006/picture">
                      <pic:nvPicPr>
                        <pic:cNvPr id="2" name="Imagen 2" descr="C:\Users\UJA\Desktop\K84Tc4n2 (1).jp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15077" cy="2165684"/>
                        </a:xfrm>
                        <a:prstGeom prst="rect">
                          <a:avLst/>
                        </a:prstGeom>
                        <a:noFill/>
                        <a:ln>
                          <a:noFill/>
                        </a:ln>
                      </pic:spPr>
                    </pic:pic>
                  </a:graphicData>
                </a:graphic>
              </wp:anchor>
            </w:drawing>
          </w:r>
          <w:r w:rsidR="0094313C">
            <w:rPr>
              <w:rFonts w:ascii="Times New Roman" w:hAnsi="Times New Roman" w:cs="Times New Roman"/>
              <w:b/>
              <w:noProof/>
              <w:sz w:val="24"/>
              <w:u w:val="single"/>
            </w:rPr>
            <w:pict>
              <v:shapetype id="_x0000_t202" coordsize="21600,21600" o:spt="202" path="m,l,21600r21600,l21600,xe">
                <v:stroke joinstyle="miter"/>
                <v:path gradientshapeok="t" o:connecttype="rect"/>
              </v:shapetype>
              <v:shape id="Cuadro de texto 11" o:spid="_x0000_s1026" type="#_x0000_t202" style="position:absolute;margin-left:0;margin-top:-78.75pt;width:180.75pt;height:882.3pt;z-index:25165824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" o:allowincell="f" fillcolor="#ea0000" stroked="f">
                <v:textbox style="layout-flow:vertical;mso-layout-flow-alt:bottom-to-top">
                  <w:txbxContent>
                    <w:p w:rsidR="008C1A5C" w:rsidRPr="00B9129F" w:rsidRDefault="008C1A5C" w:rsidP="001C352A">
                      <w:pPr>
                        <w:pStyle w:val="Ttulo2"/>
                        <w:jc w:val="center"/>
                        <w:rPr>
                          <w:color w:val="70AD47" w:themeColor="accent6"/>
                          <w:sz w:val="72"/>
                        </w:rPr>
                      </w:pPr>
                      <w:r w:rsidRPr="00B9129F">
                        <w:rPr>
                          <w:color w:val="70AD47" w:themeColor="accent6"/>
                          <w:sz w:val="72"/>
                        </w:rPr>
                        <w:t>Facultad de Ciencias Sociales y Jurídicas</w:t>
                      </w:r>
                    </w:p>
                    <w:p w:rsidR="008C1A5C" w:rsidRPr="00D406A5" w:rsidRDefault="008C1A5C" w:rsidP="001C352A">
                      <w:pPr>
                        <w:pStyle w:val="Ttulo1"/>
                        <w:jc w:val="center"/>
                        <w:rPr>
                          <w:rFonts w:ascii="Arial Narrow" w:hAnsi="Arial Narrow"/>
                        </w:rPr>
                      </w:pPr>
                      <w:r w:rsidRPr="00D406A5">
                        <w:rPr>
                          <w:rFonts w:ascii="Arial Narrow" w:hAnsi="Arial Narrow"/>
                        </w:rPr>
                        <w:t>Grado en Derecho</w:t>
                      </w:r>
                    </w:p>
                  </w:txbxContent>
                </v:textbox>
                <w10:wrap anchorx="page"/>
              </v:shape>
            </w:pict>
          </w:r>
          <w:r w:rsidR="0094313C">
            <w:rPr>
              <w:noProof/>
              <w:color w:val="4472C4" w:themeColor="accent1"/>
            </w:rPr>
            <w:pict>
              <v:shape id="Cuadro de texto 142" o:spid="_x0000_s1027" type="#_x0000_t202" style="position:absolute;margin-left:0;margin-top:0;width:516pt;height:43.9pt;z-index:251670528;visibility:visible;mso-wrap-style:square;mso-width-percent:1000;mso-height-percent:0;mso-top-percent:850;mso-wrap-distance-left:9pt;mso-wrap-distance-top:0;mso-wrap-distance-right:9pt;mso-wrap-distance-bottom:0;mso-position-horizontal:center;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" filled="f" stroked="f" strokeweight=".5pt">
                <v:textbox style="mso-fit-shape-to-text:t" inset="0,0,0,0">
                  <w:txbxContent>
                    <w:p w:rsidR="008C1A5C" w:rsidRPr="00F11E22" w:rsidRDefault="008C1A5C" w:rsidP="00F11E22">
                      <w:pPr>
                        <w:pStyle w:val="Sinespaciado"/>
                        <w:spacing w:after="40"/>
                        <w:rPr>
                          <w:caps/>
                          <w:color w:val="4472C4" w:themeColor="accent1"/>
                          <w:sz w:val="28"/>
                          <w:szCs w:val="28"/>
                        </w:rPr>
                      </w:pPr>
                    </w:p>
                  </w:txbxContent>
                </v:textbox>
                <w10:wrap anchorx="margin" anchory="page"/>
              </v:shape>
            </w:pict>
          </w:r>
        </w:p>
      </w:sdtContent>
    </w:sdt>
    <w:p w:rsidR="005954B7" w:rsidRDefault="005954B7" w:rsidP="0047064F">
      <w:pPr>
        <w:spacing w:line="360" w:lineRule="auto"/>
        <w:jc w:val="center"/>
        <w:rPr>
          <w:rFonts w:ascii="Times New Roman" w:hAnsi="Times New Roman" w:cs="Times New Roman"/>
          <w:b/>
          <w:sz w:val="24"/>
          <w:u w:val="single"/>
        </w:rPr>
      </w:pPr>
    </w:p>
    <w:p w:rsidR="006C49EE" w:rsidRDefault="0094313C" w:rsidP="006C49EE">
      <w:r>
        <w:rPr>
          <w:noProof/>
        </w:rPr>
        <w:pict>
          <v:shape id="Cuadro de texto 3" o:spid="_x0000_s1028" type="#_x0000_t202" style="position:absolute;margin-left:112.95pt;margin-top:352.55pt;width:348.6pt;height:215.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" o:allowincell="f" stroked="f">
            <v:textbox>
              <w:txbxContent>
                <w:p w:rsidR="008C1A5C" w:rsidRPr="006C49EE" w:rsidRDefault="008C1A5C" w:rsidP="001C352A">
                  <w:pPr>
                    <w:jc w:val="center"/>
                    <w:rPr>
                      <w:rFonts w:ascii="Arial" w:hAnsi="Arial"/>
                      <w:b/>
                      <w:sz w:val="32"/>
                    </w:rPr>
                  </w:pPr>
                  <w:r w:rsidRPr="006C49EE">
                    <w:rPr>
                      <w:rFonts w:ascii="Arial" w:hAnsi="Arial"/>
                      <w:b/>
                      <w:sz w:val="32"/>
                    </w:rPr>
                    <w:t>Alumno:</w:t>
                  </w:r>
                  <w:r w:rsidRPr="006C49EE">
                    <w:rPr>
                      <w:rFonts w:ascii="Arial" w:hAnsi="Arial"/>
                      <w:b/>
                      <w:sz w:val="32"/>
                    </w:rPr>
                    <w:tab/>
                    <w:t>Abraham Ruiz Torres</w:t>
                  </w:r>
                </w:p>
                <w:p w:rsidR="008C1A5C" w:rsidRDefault="008C1A5C" w:rsidP="006C49EE">
                  <w:pPr>
                    <w:rPr>
                      <w:rFonts w:ascii="Arial" w:hAnsi="Arial"/>
                      <w:sz w:val="32"/>
                    </w:rPr>
                  </w:pPr>
                </w:p>
                <w:p w:rsidR="008C1A5C" w:rsidRDefault="008C1A5C" w:rsidP="006C49EE">
                  <w:pPr>
                    <w:rPr>
                      <w:rFonts w:ascii="Arial" w:hAnsi="Arial"/>
                      <w:sz w:val="32"/>
                    </w:rPr>
                  </w:pPr>
                </w:p>
                <w:p w:rsidR="008C1A5C" w:rsidRDefault="008C1A5C" w:rsidP="001C352A">
                  <w:pPr>
                    <w:jc w:val="center"/>
                    <w:rPr>
                      <w:rFonts w:ascii="Arial" w:hAnsi="Arial"/>
                      <w:sz w:val="32"/>
                    </w:rPr>
                  </w:pPr>
                </w:p>
                <w:p w:rsidR="008C1A5C" w:rsidRDefault="008C1A5C" w:rsidP="001C352A">
                  <w:pPr>
                    <w:jc w:val="center"/>
                    <w:rPr>
                      <w:rFonts w:ascii="Arial" w:hAnsi="Arial"/>
                      <w:sz w:val="32"/>
                    </w:rPr>
                  </w:pPr>
                </w:p>
                <w:p w:rsidR="008C1A5C" w:rsidRPr="006C49EE" w:rsidRDefault="008C1A5C" w:rsidP="006C49EE">
                  <w:pPr>
                    <w:pStyle w:val="Ttulo4"/>
                    <w:jc w:val="center"/>
                    <w:rPr>
                      <w:rFonts w:ascii="Arial" w:hAnsi="Arial" w:cs="Arial"/>
                      <w:b/>
                      <w:i w:val="0"/>
                      <w:color w:val="auto"/>
                      <w:sz w:val="32"/>
                    </w:rPr>
                  </w:pPr>
                  <w:r w:rsidRPr="006C49EE">
                    <w:rPr>
                      <w:rFonts w:ascii="Arial" w:hAnsi="Arial" w:cs="Arial"/>
                      <w:b/>
                      <w:i w:val="0"/>
                      <w:color w:val="auto"/>
                      <w:sz w:val="32"/>
                    </w:rPr>
                    <w:t>Mayo, 201</w:t>
                  </w:r>
                  <w:r>
                    <w:rPr>
                      <w:rFonts w:ascii="Arial" w:hAnsi="Arial" w:cs="Arial"/>
                      <w:b/>
                      <w:i w:val="0"/>
                      <w:color w:val="auto"/>
                      <w:sz w:val="32"/>
                    </w:rPr>
                    <w:t>8</w:t>
                  </w:r>
                </w:p>
              </w:txbxContent>
            </v:textbox>
          </v:shape>
        </w:pict>
      </w:r>
      <w:r>
        <w:rPr>
          <w:noProof/>
        </w:rPr>
        <w:pict>
          <v:shape id="Cuadro de texto 13" o:spid="_x0000_s1029" type="#_x0000_t202" style="position:absolute;margin-left:196.95pt;margin-top:158.85pt;width:372.45pt;height:2in;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" o:allowincell="f" stroked="f">
            <v:textbox>
              <w:txbxContent>
                <w:p w:rsidR="008C1A5C" w:rsidRPr="00181EDB" w:rsidRDefault="008C1A5C" w:rsidP="006C49EE">
                  <w:pPr>
                    <w:pStyle w:val="Textoindependiente2"/>
                    <w:rPr>
                      <w:b/>
                      <w:sz w:val="64"/>
                      <w:lang w:val="es-ES_tradnl"/>
                    </w:rPr>
                  </w:pPr>
                  <w:r>
                    <w:rPr>
                      <w:b/>
                      <w:sz w:val="64"/>
                      <w:lang w:val="es-ES_tradnl"/>
                    </w:rPr>
                    <w:t>LOS ACUERDOS DE REFINANCIACIÓN</w:t>
                  </w:r>
                </w:p>
              </w:txbxContent>
            </v:textbox>
            <w10:wrap anchorx="page"/>
          </v:shape>
        </w:pict>
      </w:r>
      <w:r>
        <w:rPr>
          <w:noProof/>
        </w:rPr>
        <w:pict>
          <v:shape id="Cuadro de texto 2" o:spid="_x0000_s1030" type="#_x0000_t202" style="position:absolute;margin-left:97.5pt;margin-top:37.25pt;width:402.6pt;height:129.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" o:allowincell="f" stroked="f">
            <v:textbox>
              <w:txbxContent>
                <w:p w:rsidR="008C1A5C" w:rsidRDefault="008C1A5C" w:rsidP="001C352A"/>
                <w:p w:rsidR="008C1A5C" w:rsidRDefault="008C1A5C" w:rsidP="001C352A">
                  <w:pPr>
                    <w:pStyle w:val="Textoindependiente"/>
                    <w:rPr>
                      <w:rFonts w:ascii="Arial" w:hAnsi="Arial"/>
                      <w:sz w:val="44"/>
                      <w:u w:val="single"/>
                    </w:rPr>
                  </w:pPr>
                  <w:r>
                    <w:rPr>
                      <w:rFonts w:ascii="Arial" w:hAnsi="Arial"/>
                      <w:sz w:val="44"/>
                      <w:u w:val="single"/>
                    </w:rPr>
                    <w:t>Trabajo Fin de Grado</w:t>
                  </w:r>
                </w:p>
              </w:txbxContent>
            </v:textbox>
          </v:shape>
        </w:pict>
      </w:r>
      <w:r w:rsidR="005954B7">
        <w:rPr>
          <w:rFonts w:ascii="Times New Roman" w:hAnsi="Times New Roman" w:cs="Times New Roman"/>
          <w:b/>
          <w:sz w:val="24"/>
          <w:u w:val="single"/>
        </w:rPr>
        <w:br w:type="page"/>
      </w:r>
    </w:p>
    <w:p w:rsidR="006C49EE" w:rsidRDefault="006C49EE" w:rsidP="006C49EE">
      <w:pPr>
        <w:jc w:val="right"/>
      </w:pPr>
    </w:p>
    <w:p w:rsidR="00591D98" w:rsidRDefault="006C49EE" w:rsidP="006C49EE">
      <w:pPr>
        <w:spacing w:line="360" w:lineRule="auto"/>
        <w:jc w:val="center"/>
        <w:rPr>
          <w:rFonts w:ascii="Times New Roman" w:hAnsi="Times New Roman" w:cs="Times New Roman"/>
          <w:b/>
          <w:sz w:val="24"/>
          <w:u w:val="single"/>
        </w:rPr>
      </w:pPr>
      <w:r>
        <w:rPr>
          <w:rFonts w:ascii="Times New Roman" w:hAnsi="Times New Roman" w:cs="Times New Roman"/>
          <w:b/>
          <w:sz w:val="24"/>
          <w:u w:val="single"/>
        </w:rPr>
        <w:t>Í</w:t>
      </w:r>
      <w:r w:rsidR="00072923" w:rsidRPr="00072923">
        <w:rPr>
          <w:rFonts w:ascii="Times New Roman" w:hAnsi="Times New Roman" w:cs="Times New Roman"/>
          <w:b/>
          <w:sz w:val="24"/>
          <w:u w:val="single"/>
        </w:rPr>
        <w:t>NDICE</w:t>
      </w:r>
    </w:p>
    <w:p w:rsidR="00072923" w:rsidRDefault="0098167B" w:rsidP="00E05ED3">
      <w:pPr>
        <w:spacing w:line="360" w:lineRule="auto"/>
        <w:jc w:val="right"/>
        <w:rPr>
          <w:rFonts w:ascii="Times New Roman" w:hAnsi="Times New Roman" w:cs="Times New Roman"/>
          <w:b/>
          <w:sz w:val="24"/>
          <w:u w:val="single"/>
        </w:rPr>
      </w:pPr>
      <w:proofErr w:type="spellStart"/>
      <w:r>
        <w:rPr>
          <w:rFonts w:ascii="Times New Roman" w:hAnsi="Times New Roman" w:cs="Times New Roman"/>
          <w:b/>
          <w:sz w:val="24"/>
          <w:u w:val="single"/>
        </w:rPr>
        <w:t>P</w:t>
      </w:r>
      <w:r w:rsidR="00E05ED3">
        <w:rPr>
          <w:rFonts w:ascii="Times New Roman" w:hAnsi="Times New Roman" w:cs="Times New Roman"/>
          <w:b/>
          <w:sz w:val="24"/>
          <w:u w:val="single"/>
        </w:rPr>
        <w:t>ág</w:t>
      </w:r>
      <w:proofErr w:type="spellEnd"/>
    </w:p>
    <w:p w:rsidR="00072923" w:rsidRDefault="00E05ED3" w:rsidP="00B74F82">
      <w:pPr>
        <w:spacing w:line="360" w:lineRule="auto"/>
        <w:jc w:val="both"/>
        <w:rPr>
          <w:rFonts w:ascii="Times New Roman" w:hAnsi="Times New Roman" w:cs="Times New Roman"/>
          <w:b/>
          <w:sz w:val="24"/>
        </w:rPr>
      </w:pPr>
      <w:r>
        <w:rPr>
          <w:rFonts w:ascii="Times New Roman" w:hAnsi="Times New Roman" w:cs="Times New Roman"/>
          <w:b/>
          <w:sz w:val="24"/>
        </w:rPr>
        <w:t xml:space="preserve">1.  </w:t>
      </w:r>
      <w:r w:rsidR="00072923">
        <w:rPr>
          <w:rFonts w:ascii="Times New Roman" w:hAnsi="Times New Roman" w:cs="Times New Roman"/>
          <w:b/>
          <w:sz w:val="24"/>
        </w:rPr>
        <w:t>INTRODUCCIÓN</w:t>
      </w:r>
      <w:r>
        <w:rPr>
          <w:rFonts w:ascii="Times New Roman" w:hAnsi="Times New Roman" w:cs="Times New Roman"/>
          <w:b/>
          <w:sz w:val="24"/>
        </w:rPr>
        <w:t>………………………………………………………………..... 5</w:t>
      </w:r>
    </w:p>
    <w:p w:rsidR="00000EF7" w:rsidRDefault="00000EF7" w:rsidP="00B74F82">
      <w:pPr>
        <w:spacing w:line="360" w:lineRule="auto"/>
        <w:jc w:val="both"/>
        <w:rPr>
          <w:rFonts w:ascii="Times New Roman" w:hAnsi="Times New Roman" w:cs="Times New Roman"/>
          <w:b/>
          <w:sz w:val="24"/>
        </w:rPr>
      </w:pPr>
    </w:p>
    <w:p w:rsidR="00E9746D" w:rsidRDefault="00E9746D" w:rsidP="00E9746D">
      <w:pPr>
        <w:spacing w:line="360" w:lineRule="auto"/>
        <w:jc w:val="both"/>
        <w:rPr>
          <w:rFonts w:ascii="Times New Roman" w:hAnsi="Times New Roman" w:cs="Times New Roman"/>
          <w:b/>
          <w:sz w:val="24"/>
        </w:rPr>
      </w:pPr>
      <w:r>
        <w:rPr>
          <w:rFonts w:ascii="Times New Roman" w:hAnsi="Times New Roman" w:cs="Times New Roman"/>
          <w:b/>
          <w:sz w:val="24"/>
        </w:rPr>
        <w:t>2.  EVOLUCIÓN DE LA REGULACIÓN HASTA LA SITUACIÓN ACTUAL</w:t>
      </w:r>
      <w:r w:rsidR="00E05ED3">
        <w:rPr>
          <w:rFonts w:ascii="Times New Roman" w:hAnsi="Times New Roman" w:cs="Times New Roman"/>
          <w:b/>
          <w:sz w:val="24"/>
        </w:rPr>
        <w:t>… 6</w:t>
      </w:r>
    </w:p>
    <w:p w:rsidR="00E9746D" w:rsidRDefault="00E9746D" w:rsidP="00B74F82">
      <w:pPr>
        <w:spacing w:line="360" w:lineRule="auto"/>
        <w:jc w:val="both"/>
        <w:rPr>
          <w:rFonts w:ascii="Times New Roman" w:hAnsi="Times New Roman" w:cs="Times New Roman"/>
          <w:b/>
          <w:sz w:val="24"/>
        </w:rPr>
      </w:pPr>
    </w:p>
    <w:p w:rsidR="00072923" w:rsidRDefault="00E9746D" w:rsidP="00B74F82">
      <w:pPr>
        <w:spacing w:line="360" w:lineRule="auto"/>
        <w:jc w:val="both"/>
        <w:rPr>
          <w:rFonts w:ascii="Times New Roman" w:hAnsi="Times New Roman" w:cs="Times New Roman"/>
          <w:b/>
          <w:sz w:val="24"/>
        </w:rPr>
      </w:pPr>
      <w:r>
        <w:rPr>
          <w:rFonts w:ascii="Times New Roman" w:hAnsi="Times New Roman" w:cs="Times New Roman"/>
          <w:b/>
          <w:sz w:val="24"/>
        </w:rPr>
        <w:t>3</w:t>
      </w:r>
      <w:r w:rsidR="00072923">
        <w:rPr>
          <w:rFonts w:ascii="Times New Roman" w:hAnsi="Times New Roman" w:cs="Times New Roman"/>
          <w:b/>
          <w:sz w:val="24"/>
        </w:rPr>
        <w:t>. CONCEPTO Y TIPO</w:t>
      </w:r>
      <w:r w:rsidR="00472B1F">
        <w:rPr>
          <w:rFonts w:ascii="Times New Roman" w:hAnsi="Times New Roman" w:cs="Times New Roman"/>
          <w:b/>
          <w:sz w:val="24"/>
        </w:rPr>
        <w:t>S</w:t>
      </w:r>
      <w:r w:rsidR="00E05ED3">
        <w:rPr>
          <w:rFonts w:ascii="Times New Roman" w:hAnsi="Times New Roman" w:cs="Times New Roman"/>
          <w:b/>
          <w:sz w:val="24"/>
        </w:rPr>
        <w:t>……………………………………………………………</w:t>
      </w:r>
      <w:r w:rsidR="00FA13DE">
        <w:rPr>
          <w:rFonts w:ascii="Times New Roman" w:hAnsi="Times New Roman" w:cs="Times New Roman"/>
          <w:b/>
          <w:sz w:val="24"/>
        </w:rPr>
        <w:t>..</w:t>
      </w:r>
      <w:r w:rsidR="00E05ED3">
        <w:rPr>
          <w:rFonts w:ascii="Times New Roman" w:hAnsi="Times New Roman" w:cs="Times New Roman"/>
          <w:b/>
          <w:sz w:val="24"/>
        </w:rPr>
        <w:t>. 9</w:t>
      </w:r>
    </w:p>
    <w:p w:rsidR="00072923" w:rsidRDefault="008C1A5C" w:rsidP="00B74F82">
      <w:pPr>
        <w:spacing w:line="360" w:lineRule="auto"/>
        <w:jc w:val="both"/>
        <w:rPr>
          <w:rFonts w:ascii="Times New Roman" w:hAnsi="Times New Roman" w:cs="Times New Roman"/>
          <w:b/>
          <w:sz w:val="24"/>
        </w:rPr>
      </w:pPr>
      <w:r>
        <w:rPr>
          <w:rFonts w:ascii="Times New Roman" w:hAnsi="Times New Roman" w:cs="Times New Roman"/>
          <w:b/>
          <w:sz w:val="24"/>
        </w:rPr>
        <w:t xml:space="preserve">    </w:t>
      </w:r>
      <w:r w:rsidR="00E9746D">
        <w:rPr>
          <w:rFonts w:ascii="Times New Roman" w:hAnsi="Times New Roman" w:cs="Times New Roman"/>
          <w:b/>
          <w:sz w:val="24"/>
        </w:rPr>
        <w:t>3</w:t>
      </w:r>
      <w:r w:rsidR="00072923">
        <w:rPr>
          <w:rFonts w:ascii="Times New Roman" w:hAnsi="Times New Roman" w:cs="Times New Roman"/>
          <w:b/>
          <w:sz w:val="24"/>
        </w:rPr>
        <w:t>.1. Concepto</w:t>
      </w:r>
      <w:r w:rsidR="00472B1F">
        <w:rPr>
          <w:rFonts w:ascii="Times New Roman" w:hAnsi="Times New Roman" w:cs="Times New Roman"/>
          <w:b/>
          <w:sz w:val="24"/>
        </w:rPr>
        <w:t xml:space="preserve"> y naturaleza jurídica</w:t>
      </w:r>
      <w:r w:rsidR="00072923">
        <w:rPr>
          <w:rFonts w:ascii="Times New Roman" w:hAnsi="Times New Roman" w:cs="Times New Roman"/>
          <w:b/>
          <w:sz w:val="24"/>
        </w:rPr>
        <w:t xml:space="preserve"> de</w:t>
      </w:r>
      <w:r w:rsidR="00472B1F">
        <w:rPr>
          <w:rFonts w:ascii="Times New Roman" w:hAnsi="Times New Roman" w:cs="Times New Roman"/>
          <w:b/>
          <w:sz w:val="24"/>
        </w:rPr>
        <w:t xml:space="preserve"> los</w:t>
      </w:r>
      <w:r w:rsidR="00072923">
        <w:rPr>
          <w:rFonts w:ascii="Times New Roman" w:hAnsi="Times New Roman" w:cs="Times New Roman"/>
          <w:b/>
          <w:sz w:val="24"/>
        </w:rPr>
        <w:t xml:space="preserve"> acuerdo</w:t>
      </w:r>
      <w:r w:rsidR="00472B1F">
        <w:rPr>
          <w:rFonts w:ascii="Times New Roman" w:hAnsi="Times New Roman" w:cs="Times New Roman"/>
          <w:b/>
          <w:sz w:val="24"/>
        </w:rPr>
        <w:t>s</w:t>
      </w:r>
      <w:r w:rsidR="00072923">
        <w:rPr>
          <w:rFonts w:ascii="Times New Roman" w:hAnsi="Times New Roman" w:cs="Times New Roman"/>
          <w:b/>
          <w:sz w:val="24"/>
        </w:rPr>
        <w:t xml:space="preserve"> de refinanciación</w:t>
      </w:r>
      <w:r>
        <w:rPr>
          <w:rFonts w:ascii="Times New Roman" w:hAnsi="Times New Roman" w:cs="Times New Roman"/>
          <w:b/>
          <w:sz w:val="24"/>
        </w:rPr>
        <w:t>………</w:t>
      </w:r>
      <w:r w:rsidR="00E05ED3">
        <w:rPr>
          <w:rFonts w:ascii="Times New Roman" w:hAnsi="Times New Roman" w:cs="Times New Roman"/>
          <w:b/>
          <w:sz w:val="24"/>
        </w:rPr>
        <w:t>…. 9</w:t>
      </w:r>
    </w:p>
    <w:p w:rsidR="00072923" w:rsidRDefault="008C1A5C" w:rsidP="00B74F82">
      <w:pPr>
        <w:spacing w:line="360" w:lineRule="auto"/>
        <w:jc w:val="both"/>
        <w:rPr>
          <w:rFonts w:ascii="Times New Roman" w:hAnsi="Times New Roman" w:cs="Times New Roman"/>
          <w:b/>
          <w:sz w:val="24"/>
        </w:rPr>
      </w:pPr>
      <w:r>
        <w:rPr>
          <w:rFonts w:ascii="Times New Roman" w:hAnsi="Times New Roman" w:cs="Times New Roman"/>
          <w:b/>
          <w:sz w:val="24"/>
        </w:rPr>
        <w:t xml:space="preserve">    </w:t>
      </w:r>
      <w:r w:rsidR="00E9746D">
        <w:rPr>
          <w:rFonts w:ascii="Times New Roman" w:hAnsi="Times New Roman" w:cs="Times New Roman"/>
          <w:b/>
          <w:sz w:val="24"/>
        </w:rPr>
        <w:t>3</w:t>
      </w:r>
      <w:r w:rsidR="00072923">
        <w:rPr>
          <w:rFonts w:ascii="Times New Roman" w:hAnsi="Times New Roman" w:cs="Times New Roman"/>
          <w:b/>
          <w:sz w:val="24"/>
        </w:rPr>
        <w:t>.2. Tipos de acuerdos</w:t>
      </w:r>
      <w:r w:rsidR="00472B1F">
        <w:rPr>
          <w:rFonts w:ascii="Times New Roman" w:hAnsi="Times New Roman" w:cs="Times New Roman"/>
          <w:b/>
          <w:sz w:val="24"/>
        </w:rPr>
        <w:t xml:space="preserve"> de refinanciación</w:t>
      </w:r>
      <w:r>
        <w:rPr>
          <w:rFonts w:ascii="Times New Roman" w:hAnsi="Times New Roman" w:cs="Times New Roman"/>
          <w:b/>
          <w:sz w:val="24"/>
        </w:rPr>
        <w:t>………</w:t>
      </w:r>
      <w:r w:rsidR="0098167B">
        <w:rPr>
          <w:rFonts w:ascii="Times New Roman" w:hAnsi="Times New Roman" w:cs="Times New Roman"/>
          <w:b/>
          <w:sz w:val="24"/>
        </w:rPr>
        <w:t>………………………………… 10</w:t>
      </w:r>
    </w:p>
    <w:p w:rsidR="00072923" w:rsidRDefault="008C1A5C" w:rsidP="00B74F82">
      <w:pPr>
        <w:spacing w:line="360" w:lineRule="auto"/>
        <w:jc w:val="both"/>
        <w:rPr>
          <w:rFonts w:ascii="Times New Roman" w:hAnsi="Times New Roman" w:cs="Times New Roman"/>
          <w:b/>
          <w:sz w:val="24"/>
        </w:rPr>
      </w:pPr>
      <w:r>
        <w:rPr>
          <w:rFonts w:ascii="Times New Roman" w:hAnsi="Times New Roman" w:cs="Times New Roman"/>
          <w:b/>
          <w:sz w:val="24"/>
        </w:rPr>
        <w:t xml:space="preserve">      </w:t>
      </w:r>
      <w:r w:rsidR="00E9746D">
        <w:rPr>
          <w:rFonts w:ascii="Times New Roman" w:hAnsi="Times New Roman" w:cs="Times New Roman"/>
          <w:b/>
          <w:sz w:val="24"/>
        </w:rPr>
        <w:t>3</w:t>
      </w:r>
      <w:r w:rsidR="00072923">
        <w:rPr>
          <w:rFonts w:ascii="Times New Roman" w:hAnsi="Times New Roman" w:cs="Times New Roman"/>
          <w:b/>
          <w:sz w:val="24"/>
        </w:rPr>
        <w:t>.</w:t>
      </w:r>
      <w:r w:rsidR="00E9746D">
        <w:rPr>
          <w:rFonts w:ascii="Times New Roman" w:hAnsi="Times New Roman" w:cs="Times New Roman"/>
          <w:b/>
          <w:sz w:val="24"/>
        </w:rPr>
        <w:t>2</w:t>
      </w:r>
      <w:r w:rsidR="00072923">
        <w:rPr>
          <w:rFonts w:ascii="Times New Roman" w:hAnsi="Times New Roman" w:cs="Times New Roman"/>
          <w:b/>
          <w:sz w:val="24"/>
        </w:rPr>
        <w:t>.1. Típicos</w:t>
      </w:r>
      <w:r>
        <w:rPr>
          <w:rFonts w:ascii="Times New Roman" w:hAnsi="Times New Roman" w:cs="Times New Roman"/>
          <w:b/>
          <w:sz w:val="24"/>
        </w:rPr>
        <w:t>………</w:t>
      </w:r>
      <w:r w:rsidR="0098167B">
        <w:rPr>
          <w:rFonts w:ascii="Times New Roman" w:hAnsi="Times New Roman" w:cs="Times New Roman"/>
          <w:b/>
          <w:sz w:val="24"/>
        </w:rPr>
        <w:t>……………………………………………………………</w:t>
      </w:r>
      <w:r>
        <w:rPr>
          <w:rFonts w:ascii="Times New Roman" w:hAnsi="Times New Roman" w:cs="Times New Roman"/>
          <w:b/>
          <w:sz w:val="24"/>
        </w:rPr>
        <w:t>…</w:t>
      </w:r>
      <w:r w:rsidR="0098167B">
        <w:rPr>
          <w:rFonts w:ascii="Times New Roman" w:hAnsi="Times New Roman" w:cs="Times New Roman"/>
          <w:b/>
          <w:sz w:val="24"/>
        </w:rPr>
        <w:t xml:space="preserve"> 11</w:t>
      </w:r>
    </w:p>
    <w:p w:rsidR="00072923" w:rsidRDefault="008C1A5C" w:rsidP="00B74F82">
      <w:pPr>
        <w:spacing w:line="360" w:lineRule="auto"/>
        <w:jc w:val="both"/>
        <w:rPr>
          <w:rFonts w:ascii="Times New Roman" w:hAnsi="Times New Roman" w:cs="Times New Roman"/>
          <w:b/>
          <w:sz w:val="24"/>
        </w:rPr>
      </w:pPr>
      <w:bookmarkStart w:id="0" w:name="_Hlk511754925"/>
      <w:r>
        <w:rPr>
          <w:rFonts w:ascii="Times New Roman" w:hAnsi="Times New Roman" w:cs="Times New Roman"/>
          <w:b/>
          <w:sz w:val="24"/>
        </w:rPr>
        <w:t xml:space="preserve">      </w:t>
      </w:r>
      <w:r w:rsidR="00E9746D">
        <w:rPr>
          <w:rFonts w:ascii="Times New Roman" w:hAnsi="Times New Roman" w:cs="Times New Roman"/>
          <w:b/>
          <w:sz w:val="24"/>
        </w:rPr>
        <w:t>3</w:t>
      </w:r>
      <w:r w:rsidR="00072923">
        <w:rPr>
          <w:rFonts w:ascii="Times New Roman" w:hAnsi="Times New Roman" w:cs="Times New Roman"/>
          <w:b/>
          <w:sz w:val="24"/>
        </w:rPr>
        <w:t>.</w:t>
      </w:r>
      <w:r w:rsidR="00E9746D">
        <w:rPr>
          <w:rFonts w:ascii="Times New Roman" w:hAnsi="Times New Roman" w:cs="Times New Roman"/>
          <w:b/>
          <w:sz w:val="24"/>
        </w:rPr>
        <w:t>2</w:t>
      </w:r>
      <w:r w:rsidR="00072923">
        <w:rPr>
          <w:rFonts w:ascii="Times New Roman" w:hAnsi="Times New Roman" w:cs="Times New Roman"/>
          <w:b/>
          <w:sz w:val="24"/>
        </w:rPr>
        <w:t>.2. Atípicos</w:t>
      </w:r>
      <w:r>
        <w:rPr>
          <w:rFonts w:ascii="Times New Roman" w:hAnsi="Times New Roman" w:cs="Times New Roman"/>
          <w:b/>
          <w:sz w:val="24"/>
        </w:rPr>
        <w:t>…</w:t>
      </w:r>
      <w:r w:rsidR="0098167B">
        <w:rPr>
          <w:rFonts w:ascii="Times New Roman" w:hAnsi="Times New Roman" w:cs="Times New Roman"/>
          <w:b/>
          <w:sz w:val="24"/>
        </w:rPr>
        <w:t>…………………………………………………………………</w:t>
      </w:r>
      <w:r>
        <w:rPr>
          <w:rFonts w:ascii="Times New Roman" w:hAnsi="Times New Roman" w:cs="Times New Roman"/>
          <w:b/>
          <w:sz w:val="24"/>
        </w:rPr>
        <w:t>..</w:t>
      </w:r>
      <w:r w:rsidR="0098167B">
        <w:rPr>
          <w:rFonts w:ascii="Times New Roman" w:hAnsi="Times New Roman" w:cs="Times New Roman"/>
          <w:b/>
          <w:sz w:val="24"/>
        </w:rPr>
        <w:t xml:space="preserve"> 13</w:t>
      </w:r>
    </w:p>
    <w:bookmarkEnd w:id="0"/>
    <w:p w:rsidR="00CB5E6D" w:rsidRDefault="00CB5E6D" w:rsidP="00B74F82">
      <w:pPr>
        <w:spacing w:line="360" w:lineRule="auto"/>
        <w:jc w:val="both"/>
        <w:rPr>
          <w:rFonts w:ascii="Times New Roman" w:hAnsi="Times New Roman" w:cs="Times New Roman"/>
          <w:b/>
          <w:sz w:val="24"/>
        </w:rPr>
      </w:pPr>
    </w:p>
    <w:p w:rsidR="00072923" w:rsidRDefault="00E9746D" w:rsidP="00B74F82">
      <w:pPr>
        <w:spacing w:line="360" w:lineRule="auto"/>
        <w:jc w:val="both"/>
        <w:rPr>
          <w:rFonts w:ascii="Times New Roman" w:hAnsi="Times New Roman" w:cs="Times New Roman"/>
          <w:b/>
          <w:sz w:val="24"/>
        </w:rPr>
      </w:pPr>
      <w:r>
        <w:rPr>
          <w:rFonts w:ascii="Times New Roman" w:hAnsi="Times New Roman" w:cs="Times New Roman"/>
          <w:b/>
          <w:sz w:val="24"/>
        </w:rPr>
        <w:t>4</w:t>
      </w:r>
      <w:r w:rsidR="00CB5E6D">
        <w:rPr>
          <w:rFonts w:ascii="Times New Roman" w:hAnsi="Times New Roman" w:cs="Times New Roman"/>
          <w:b/>
          <w:sz w:val="24"/>
        </w:rPr>
        <w:t>. LA HOMOLOGACIÓN DE LOS ACUERDOS DE REFINANCIACIÓN</w:t>
      </w:r>
      <w:r w:rsidR="0098167B">
        <w:rPr>
          <w:rFonts w:ascii="Times New Roman" w:hAnsi="Times New Roman" w:cs="Times New Roman"/>
          <w:b/>
          <w:sz w:val="24"/>
        </w:rPr>
        <w:t>…… 15</w:t>
      </w:r>
    </w:p>
    <w:p w:rsidR="00072923" w:rsidRDefault="008C1A5C" w:rsidP="00B74F82">
      <w:pPr>
        <w:spacing w:line="360" w:lineRule="auto"/>
        <w:jc w:val="both"/>
        <w:rPr>
          <w:rFonts w:ascii="Times New Roman" w:hAnsi="Times New Roman" w:cs="Times New Roman"/>
          <w:b/>
          <w:sz w:val="24"/>
        </w:rPr>
      </w:pPr>
      <w:r>
        <w:rPr>
          <w:rFonts w:ascii="Times New Roman" w:hAnsi="Times New Roman" w:cs="Times New Roman"/>
          <w:b/>
          <w:sz w:val="24"/>
        </w:rPr>
        <w:t xml:space="preserve">    </w:t>
      </w:r>
      <w:r w:rsidR="00E9746D">
        <w:rPr>
          <w:rFonts w:ascii="Times New Roman" w:hAnsi="Times New Roman" w:cs="Times New Roman"/>
          <w:b/>
          <w:sz w:val="24"/>
        </w:rPr>
        <w:t>4</w:t>
      </w:r>
      <w:r w:rsidR="00356002">
        <w:rPr>
          <w:rFonts w:ascii="Times New Roman" w:hAnsi="Times New Roman" w:cs="Times New Roman"/>
          <w:b/>
          <w:sz w:val="24"/>
        </w:rPr>
        <w:t>.1. Consideraciones generales</w:t>
      </w:r>
      <w:r>
        <w:rPr>
          <w:rFonts w:ascii="Times New Roman" w:hAnsi="Times New Roman" w:cs="Times New Roman"/>
          <w:b/>
          <w:sz w:val="24"/>
        </w:rPr>
        <w:t>……</w:t>
      </w:r>
      <w:r w:rsidR="0098167B">
        <w:rPr>
          <w:rFonts w:ascii="Times New Roman" w:hAnsi="Times New Roman" w:cs="Times New Roman"/>
          <w:b/>
          <w:sz w:val="24"/>
        </w:rPr>
        <w:t>……………………………………………… 15</w:t>
      </w:r>
    </w:p>
    <w:p w:rsidR="00356002" w:rsidRDefault="008C1A5C" w:rsidP="00B74F82">
      <w:pPr>
        <w:spacing w:line="360" w:lineRule="auto"/>
        <w:jc w:val="both"/>
        <w:rPr>
          <w:rFonts w:ascii="Times New Roman" w:hAnsi="Times New Roman" w:cs="Times New Roman"/>
          <w:b/>
          <w:sz w:val="24"/>
        </w:rPr>
      </w:pPr>
      <w:r>
        <w:rPr>
          <w:rFonts w:ascii="Times New Roman" w:hAnsi="Times New Roman" w:cs="Times New Roman"/>
          <w:b/>
          <w:sz w:val="24"/>
        </w:rPr>
        <w:t xml:space="preserve">    </w:t>
      </w:r>
      <w:r w:rsidR="00E9746D">
        <w:rPr>
          <w:rFonts w:ascii="Times New Roman" w:hAnsi="Times New Roman" w:cs="Times New Roman"/>
          <w:b/>
          <w:sz w:val="24"/>
        </w:rPr>
        <w:t>4</w:t>
      </w:r>
      <w:r w:rsidR="00356002">
        <w:rPr>
          <w:rFonts w:ascii="Times New Roman" w:hAnsi="Times New Roman" w:cs="Times New Roman"/>
          <w:b/>
          <w:sz w:val="24"/>
        </w:rPr>
        <w:t>.2. Naturaleza jurídica de la homologación</w:t>
      </w:r>
      <w:r>
        <w:rPr>
          <w:rFonts w:ascii="Times New Roman" w:hAnsi="Times New Roman" w:cs="Times New Roman"/>
          <w:b/>
          <w:sz w:val="24"/>
        </w:rPr>
        <w:t>………</w:t>
      </w:r>
      <w:r w:rsidR="0098167B">
        <w:rPr>
          <w:rFonts w:ascii="Times New Roman" w:hAnsi="Times New Roman" w:cs="Times New Roman"/>
          <w:b/>
          <w:sz w:val="24"/>
        </w:rPr>
        <w:t>…………………………….. 15</w:t>
      </w:r>
    </w:p>
    <w:p w:rsidR="00356002" w:rsidRDefault="008C1A5C" w:rsidP="00FA13DE">
      <w:pPr>
        <w:spacing w:line="360" w:lineRule="auto"/>
        <w:jc w:val="both"/>
        <w:rPr>
          <w:rFonts w:ascii="Times New Roman" w:hAnsi="Times New Roman" w:cs="Times New Roman"/>
          <w:b/>
          <w:sz w:val="24"/>
        </w:rPr>
      </w:pPr>
      <w:r>
        <w:rPr>
          <w:rFonts w:ascii="Times New Roman" w:hAnsi="Times New Roman" w:cs="Times New Roman"/>
          <w:b/>
          <w:sz w:val="24"/>
        </w:rPr>
        <w:t xml:space="preserve">    </w:t>
      </w:r>
      <w:r w:rsidR="00E9746D">
        <w:rPr>
          <w:rFonts w:ascii="Times New Roman" w:hAnsi="Times New Roman" w:cs="Times New Roman"/>
          <w:b/>
          <w:sz w:val="24"/>
        </w:rPr>
        <w:t>4</w:t>
      </w:r>
      <w:r w:rsidR="00356002">
        <w:rPr>
          <w:rFonts w:ascii="Times New Roman" w:hAnsi="Times New Roman" w:cs="Times New Roman"/>
          <w:b/>
          <w:sz w:val="24"/>
        </w:rPr>
        <w:t>.3. Presupuestos de la homologación</w:t>
      </w:r>
      <w:r>
        <w:rPr>
          <w:rFonts w:ascii="Times New Roman" w:hAnsi="Times New Roman" w:cs="Times New Roman"/>
          <w:b/>
          <w:sz w:val="24"/>
        </w:rPr>
        <w:t>…………</w:t>
      </w:r>
      <w:r w:rsidR="0098167B">
        <w:rPr>
          <w:rFonts w:ascii="Times New Roman" w:hAnsi="Times New Roman" w:cs="Times New Roman"/>
          <w:b/>
          <w:sz w:val="24"/>
        </w:rPr>
        <w:t>…………………………………. 16</w:t>
      </w:r>
    </w:p>
    <w:p w:rsidR="00356002" w:rsidRDefault="008C1A5C" w:rsidP="00B74F82">
      <w:pPr>
        <w:spacing w:line="360" w:lineRule="auto"/>
        <w:jc w:val="both"/>
        <w:rPr>
          <w:rFonts w:ascii="Times New Roman" w:hAnsi="Times New Roman" w:cs="Times New Roman"/>
          <w:b/>
          <w:sz w:val="24"/>
        </w:rPr>
      </w:pPr>
      <w:r>
        <w:rPr>
          <w:rFonts w:ascii="Times New Roman" w:hAnsi="Times New Roman" w:cs="Times New Roman"/>
          <w:b/>
          <w:sz w:val="24"/>
        </w:rPr>
        <w:t xml:space="preserve">    </w:t>
      </w:r>
      <w:r w:rsidR="00E9746D">
        <w:rPr>
          <w:rFonts w:ascii="Times New Roman" w:hAnsi="Times New Roman" w:cs="Times New Roman"/>
          <w:b/>
          <w:sz w:val="24"/>
        </w:rPr>
        <w:t>4</w:t>
      </w:r>
      <w:r w:rsidR="00356002">
        <w:rPr>
          <w:rFonts w:ascii="Times New Roman" w:hAnsi="Times New Roman" w:cs="Times New Roman"/>
          <w:b/>
          <w:sz w:val="24"/>
        </w:rPr>
        <w:t>.4. Eficacia de la homologación</w:t>
      </w:r>
      <w:r>
        <w:rPr>
          <w:rFonts w:ascii="Times New Roman" w:hAnsi="Times New Roman" w:cs="Times New Roman"/>
          <w:b/>
          <w:sz w:val="24"/>
        </w:rPr>
        <w:t>…………</w:t>
      </w:r>
      <w:r w:rsidR="0098167B">
        <w:rPr>
          <w:rFonts w:ascii="Times New Roman" w:hAnsi="Times New Roman" w:cs="Times New Roman"/>
          <w:b/>
          <w:sz w:val="24"/>
        </w:rPr>
        <w:t>……………………………………….. 18</w:t>
      </w:r>
    </w:p>
    <w:p w:rsidR="00356002" w:rsidRDefault="008C1A5C" w:rsidP="00FA13DE">
      <w:pPr>
        <w:spacing w:line="360" w:lineRule="auto"/>
        <w:jc w:val="both"/>
        <w:rPr>
          <w:rFonts w:ascii="Times New Roman" w:hAnsi="Times New Roman" w:cs="Times New Roman"/>
          <w:b/>
          <w:sz w:val="24"/>
        </w:rPr>
      </w:pPr>
      <w:r>
        <w:rPr>
          <w:rFonts w:ascii="Times New Roman" w:hAnsi="Times New Roman" w:cs="Times New Roman"/>
          <w:b/>
          <w:sz w:val="24"/>
        </w:rPr>
        <w:t xml:space="preserve">    </w:t>
      </w:r>
      <w:r w:rsidR="00E9746D">
        <w:rPr>
          <w:rFonts w:ascii="Times New Roman" w:hAnsi="Times New Roman" w:cs="Times New Roman"/>
          <w:b/>
          <w:sz w:val="24"/>
        </w:rPr>
        <w:t>4</w:t>
      </w:r>
      <w:r w:rsidR="00356002">
        <w:rPr>
          <w:rFonts w:ascii="Times New Roman" w:hAnsi="Times New Roman" w:cs="Times New Roman"/>
          <w:b/>
          <w:sz w:val="24"/>
        </w:rPr>
        <w:t>.5. Procedimiento de la homologación</w:t>
      </w:r>
      <w:r>
        <w:rPr>
          <w:rFonts w:ascii="Times New Roman" w:hAnsi="Times New Roman" w:cs="Times New Roman"/>
          <w:b/>
          <w:sz w:val="24"/>
        </w:rPr>
        <w:t>…</w:t>
      </w:r>
      <w:r w:rsidR="0098167B">
        <w:rPr>
          <w:rFonts w:ascii="Times New Roman" w:hAnsi="Times New Roman" w:cs="Times New Roman"/>
          <w:b/>
          <w:sz w:val="24"/>
        </w:rPr>
        <w:t>……………………………………….. 23</w:t>
      </w:r>
    </w:p>
    <w:p w:rsidR="00356002" w:rsidRDefault="008C1A5C" w:rsidP="00FA13DE">
      <w:pPr>
        <w:spacing w:line="360" w:lineRule="auto"/>
        <w:jc w:val="both"/>
        <w:rPr>
          <w:rFonts w:ascii="Times New Roman" w:hAnsi="Times New Roman" w:cs="Times New Roman"/>
          <w:b/>
          <w:sz w:val="24"/>
        </w:rPr>
      </w:pPr>
      <w:r>
        <w:rPr>
          <w:rFonts w:ascii="Times New Roman" w:hAnsi="Times New Roman" w:cs="Times New Roman"/>
          <w:b/>
          <w:sz w:val="24"/>
        </w:rPr>
        <w:t xml:space="preserve">    </w:t>
      </w:r>
      <w:r w:rsidR="00E9746D">
        <w:rPr>
          <w:rFonts w:ascii="Times New Roman" w:hAnsi="Times New Roman" w:cs="Times New Roman"/>
          <w:b/>
          <w:sz w:val="24"/>
        </w:rPr>
        <w:t>4</w:t>
      </w:r>
      <w:r w:rsidR="00356002">
        <w:rPr>
          <w:rFonts w:ascii="Times New Roman" w:hAnsi="Times New Roman" w:cs="Times New Roman"/>
          <w:b/>
          <w:sz w:val="24"/>
        </w:rPr>
        <w:t>.6. Proceso de impugnación de la homologación</w:t>
      </w:r>
      <w:r>
        <w:rPr>
          <w:rFonts w:ascii="Times New Roman" w:hAnsi="Times New Roman" w:cs="Times New Roman"/>
          <w:b/>
          <w:sz w:val="24"/>
        </w:rPr>
        <w:t>……</w:t>
      </w:r>
      <w:r w:rsidR="0098167B">
        <w:rPr>
          <w:rFonts w:ascii="Times New Roman" w:hAnsi="Times New Roman" w:cs="Times New Roman"/>
          <w:b/>
          <w:sz w:val="24"/>
        </w:rPr>
        <w:t>………………………</w:t>
      </w:r>
      <w:r w:rsidR="00FA13DE">
        <w:rPr>
          <w:rFonts w:ascii="Times New Roman" w:hAnsi="Times New Roman" w:cs="Times New Roman"/>
          <w:b/>
          <w:sz w:val="24"/>
        </w:rPr>
        <w:t>......</w:t>
      </w:r>
      <w:r w:rsidR="0098167B">
        <w:rPr>
          <w:rFonts w:ascii="Times New Roman" w:hAnsi="Times New Roman" w:cs="Times New Roman"/>
          <w:b/>
          <w:sz w:val="24"/>
        </w:rPr>
        <w:t xml:space="preserve"> 25</w:t>
      </w:r>
    </w:p>
    <w:p w:rsidR="00356002" w:rsidRDefault="0094313C" w:rsidP="00B74F82">
      <w:pPr>
        <w:spacing w:line="360" w:lineRule="auto"/>
        <w:jc w:val="both"/>
        <w:rPr>
          <w:rFonts w:ascii="Times New Roman" w:hAnsi="Times New Roman" w:cs="Times New Roman"/>
          <w:b/>
          <w:sz w:val="24"/>
        </w:rPr>
      </w:pPr>
      <w:r>
        <w:rPr>
          <w:rFonts w:ascii="Times New Roman" w:hAnsi="Times New Roman" w:cs="Times New Roman"/>
          <w:b/>
          <w:sz w:val="24"/>
        </w:rPr>
        <w:t xml:space="preserve">   </w:t>
      </w:r>
      <w:r w:rsidR="00E9746D">
        <w:rPr>
          <w:rFonts w:ascii="Times New Roman" w:hAnsi="Times New Roman" w:cs="Times New Roman"/>
          <w:b/>
          <w:sz w:val="24"/>
        </w:rPr>
        <w:t>4</w:t>
      </w:r>
      <w:r w:rsidR="00356002">
        <w:rPr>
          <w:rFonts w:ascii="Times New Roman" w:hAnsi="Times New Roman" w:cs="Times New Roman"/>
          <w:b/>
          <w:sz w:val="24"/>
        </w:rPr>
        <w:t>.7. Declaración judicial de incumplimiento del acuerdo homologado</w:t>
      </w:r>
      <w:r w:rsidR="0098167B">
        <w:rPr>
          <w:rFonts w:ascii="Times New Roman" w:hAnsi="Times New Roman" w:cs="Times New Roman"/>
          <w:b/>
          <w:sz w:val="24"/>
        </w:rPr>
        <w:t>…</w:t>
      </w:r>
      <w:r>
        <w:rPr>
          <w:rFonts w:ascii="Times New Roman" w:hAnsi="Times New Roman" w:cs="Times New Roman"/>
          <w:b/>
          <w:sz w:val="24"/>
        </w:rPr>
        <w:t>.</w:t>
      </w:r>
      <w:bookmarkStart w:id="1" w:name="_GoBack"/>
      <w:bookmarkEnd w:id="1"/>
      <w:r w:rsidR="0098167B">
        <w:rPr>
          <w:rFonts w:ascii="Times New Roman" w:hAnsi="Times New Roman" w:cs="Times New Roman"/>
          <w:b/>
          <w:sz w:val="24"/>
        </w:rPr>
        <w:t>…….</w:t>
      </w:r>
      <w:r w:rsidR="00FA13DE">
        <w:rPr>
          <w:rFonts w:ascii="Times New Roman" w:hAnsi="Times New Roman" w:cs="Times New Roman"/>
          <w:b/>
          <w:sz w:val="24"/>
        </w:rPr>
        <w:t>.</w:t>
      </w:r>
      <w:r w:rsidR="0098167B">
        <w:rPr>
          <w:rFonts w:ascii="Times New Roman" w:hAnsi="Times New Roman" w:cs="Times New Roman"/>
          <w:b/>
          <w:sz w:val="24"/>
        </w:rPr>
        <w:t>. 28</w:t>
      </w:r>
    </w:p>
    <w:p w:rsidR="00E81C80" w:rsidRDefault="00E81C80" w:rsidP="00B74F82">
      <w:pPr>
        <w:spacing w:line="360" w:lineRule="auto"/>
        <w:jc w:val="both"/>
        <w:rPr>
          <w:rFonts w:ascii="Times New Roman" w:hAnsi="Times New Roman" w:cs="Times New Roman"/>
          <w:b/>
          <w:sz w:val="24"/>
        </w:rPr>
      </w:pPr>
    </w:p>
    <w:p w:rsidR="00E81C80" w:rsidRDefault="00E81C80" w:rsidP="00B74F82">
      <w:pPr>
        <w:spacing w:line="360" w:lineRule="auto"/>
        <w:jc w:val="both"/>
        <w:rPr>
          <w:rFonts w:ascii="Times New Roman" w:hAnsi="Times New Roman" w:cs="Times New Roman"/>
          <w:b/>
          <w:sz w:val="24"/>
        </w:rPr>
      </w:pPr>
      <w:r>
        <w:rPr>
          <w:rFonts w:ascii="Times New Roman" w:hAnsi="Times New Roman" w:cs="Times New Roman"/>
          <w:b/>
          <w:sz w:val="24"/>
        </w:rPr>
        <w:t>5. PROTECCIÓN DE LOS ACUERDOS DE REFINANCIACIÓN</w:t>
      </w:r>
      <w:r w:rsidR="00FA13DE">
        <w:rPr>
          <w:rFonts w:ascii="Times New Roman" w:hAnsi="Times New Roman" w:cs="Times New Roman"/>
          <w:b/>
          <w:sz w:val="24"/>
        </w:rPr>
        <w:t>…………...</w:t>
      </w:r>
      <w:r w:rsidR="00BD2D4B">
        <w:rPr>
          <w:rFonts w:ascii="Times New Roman" w:hAnsi="Times New Roman" w:cs="Times New Roman"/>
          <w:b/>
          <w:sz w:val="24"/>
        </w:rPr>
        <w:t>.</w:t>
      </w:r>
      <w:r w:rsidR="0098167B">
        <w:rPr>
          <w:rFonts w:ascii="Times New Roman" w:hAnsi="Times New Roman" w:cs="Times New Roman"/>
          <w:b/>
          <w:sz w:val="24"/>
        </w:rPr>
        <w:t xml:space="preserve"> 30</w:t>
      </w:r>
    </w:p>
    <w:p w:rsidR="00E81C80" w:rsidRDefault="00E81C80" w:rsidP="00B74F82">
      <w:pPr>
        <w:spacing w:line="360" w:lineRule="auto"/>
        <w:jc w:val="both"/>
        <w:rPr>
          <w:rFonts w:ascii="Times New Roman" w:hAnsi="Times New Roman" w:cs="Times New Roman"/>
          <w:b/>
          <w:sz w:val="24"/>
        </w:rPr>
      </w:pPr>
      <w:r>
        <w:rPr>
          <w:rFonts w:ascii="Times New Roman" w:hAnsi="Times New Roman" w:cs="Times New Roman"/>
          <w:b/>
          <w:sz w:val="24"/>
        </w:rPr>
        <w:t xml:space="preserve">    5.1. </w:t>
      </w:r>
      <w:r w:rsidRPr="00E81C80">
        <w:rPr>
          <w:rFonts w:ascii="Times New Roman" w:hAnsi="Times New Roman" w:cs="Times New Roman"/>
          <w:b/>
          <w:sz w:val="24"/>
        </w:rPr>
        <w:t>Protección frente a solicitudes de concurso necesario</w:t>
      </w:r>
      <w:r w:rsidR="00FA13DE">
        <w:rPr>
          <w:rFonts w:ascii="Times New Roman" w:hAnsi="Times New Roman" w:cs="Times New Roman"/>
          <w:b/>
          <w:sz w:val="24"/>
        </w:rPr>
        <w:t>……………………...</w:t>
      </w:r>
      <w:r w:rsidR="0098167B">
        <w:rPr>
          <w:rFonts w:ascii="Times New Roman" w:hAnsi="Times New Roman" w:cs="Times New Roman"/>
          <w:b/>
          <w:sz w:val="24"/>
        </w:rPr>
        <w:t xml:space="preserve"> 30</w:t>
      </w:r>
    </w:p>
    <w:p w:rsidR="00E81C80" w:rsidRDefault="00E81C80" w:rsidP="00B74F82">
      <w:pPr>
        <w:spacing w:line="360" w:lineRule="auto"/>
        <w:jc w:val="both"/>
        <w:rPr>
          <w:rFonts w:ascii="Times New Roman" w:hAnsi="Times New Roman" w:cs="Times New Roman"/>
          <w:b/>
          <w:sz w:val="24"/>
        </w:rPr>
      </w:pPr>
      <w:r>
        <w:rPr>
          <w:rFonts w:ascii="Times New Roman" w:hAnsi="Times New Roman" w:cs="Times New Roman"/>
          <w:b/>
          <w:sz w:val="24"/>
        </w:rPr>
        <w:t xml:space="preserve">    5.2. </w:t>
      </w:r>
      <w:r w:rsidRPr="00E81C80">
        <w:rPr>
          <w:rFonts w:ascii="Times New Roman" w:hAnsi="Times New Roman" w:cs="Times New Roman"/>
          <w:b/>
          <w:sz w:val="24"/>
        </w:rPr>
        <w:t>Protección frente a una eventual rescisión concursal</w:t>
      </w:r>
      <w:r w:rsidR="00FA13DE">
        <w:rPr>
          <w:rFonts w:ascii="Times New Roman" w:hAnsi="Times New Roman" w:cs="Times New Roman"/>
          <w:b/>
          <w:sz w:val="24"/>
        </w:rPr>
        <w:t>…………………........</w:t>
      </w:r>
      <w:r w:rsidR="0098167B">
        <w:rPr>
          <w:rFonts w:ascii="Times New Roman" w:hAnsi="Times New Roman" w:cs="Times New Roman"/>
          <w:b/>
          <w:sz w:val="24"/>
        </w:rPr>
        <w:t xml:space="preserve"> 30</w:t>
      </w:r>
    </w:p>
    <w:p w:rsidR="00E81C80" w:rsidRDefault="00E81C80" w:rsidP="00B74F82">
      <w:pPr>
        <w:spacing w:line="360" w:lineRule="auto"/>
        <w:jc w:val="both"/>
        <w:rPr>
          <w:rFonts w:ascii="Times New Roman" w:hAnsi="Times New Roman" w:cs="Times New Roman"/>
          <w:b/>
          <w:sz w:val="24"/>
        </w:rPr>
      </w:pPr>
      <w:r>
        <w:rPr>
          <w:rFonts w:ascii="Times New Roman" w:hAnsi="Times New Roman" w:cs="Times New Roman"/>
          <w:b/>
          <w:sz w:val="24"/>
        </w:rPr>
        <w:lastRenderedPageBreak/>
        <w:t xml:space="preserve">    5.3. </w:t>
      </w:r>
      <w:r w:rsidRPr="00E81C80">
        <w:rPr>
          <w:rFonts w:ascii="Times New Roman" w:hAnsi="Times New Roman" w:cs="Times New Roman"/>
          <w:b/>
          <w:sz w:val="24"/>
        </w:rPr>
        <w:t>Reconocimiento del «</w:t>
      </w:r>
      <w:proofErr w:type="spellStart"/>
      <w:r w:rsidRPr="00E81C80">
        <w:rPr>
          <w:rFonts w:ascii="Times New Roman" w:hAnsi="Times New Roman" w:cs="Times New Roman"/>
          <w:b/>
          <w:sz w:val="24"/>
        </w:rPr>
        <w:t>freshmoney</w:t>
      </w:r>
      <w:proofErr w:type="spellEnd"/>
      <w:r w:rsidRPr="00E81C80">
        <w:rPr>
          <w:rFonts w:ascii="Times New Roman" w:hAnsi="Times New Roman" w:cs="Times New Roman"/>
          <w:b/>
          <w:sz w:val="24"/>
        </w:rPr>
        <w:t>» y financiación de empresas en crisis</w:t>
      </w:r>
      <w:r w:rsidR="00FA13DE">
        <w:rPr>
          <w:rFonts w:ascii="Times New Roman" w:hAnsi="Times New Roman" w:cs="Times New Roman"/>
          <w:b/>
          <w:sz w:val="24"/>
        </w:rPr>
        <w:t>….</w:t>
      </w:r>
      <w:r w:rsidR="0098167B">
        <w:rPr>
          <w:rFonts w:ascii="Times New Roman" w:hAnsi="Times New Roman" w:cs="Times New Roman"/>
          <w:b/>
          <w:sz w:val="24"/>
        </w:rPr>
        <w:t xml:space="preserve"> 31</w:t>
      </w:r>
    </w:p>
    <w:p w:rsidR="00E81C80" w:rsidRDefault="00E81C80" w:rsidP="00B74F82">
      <w:pPr>
        <w:spacing w:line="360" w:lineRule="auto"/>
        <w:jc w:val="both"/>
        <w:rPr>
          <w:rFonts w:ascii="Times New Roman" w:hAnsi="Times New Roman" w:cs="Times New Roman"/>
          <w:b/>
          <w:sz w:val="24"/>
        </w:rPr>
      </w:pPr>
    </w:p>
    <w:p w:rsidR="00E81C80" w:rsidRDefault="00E81C80" w:rsidP="00B74F82">
      <w:pPr>
        <w:spacing w:line="360" w:lineRule="auto"/>
        <w:jc w:val="both"/>
        <w:rPr>
          <w:rFonts w:ascii="Times New Roman" w:hAnsi="Times New Roman" w:cs="Times New Roman"/>
          <w:b/>
          <w:sz w:val="24"/>
        </w:rPr>
      </w:pPr>
      <w:r>
        <w:rPr>
          <w:rFonts w:ascii="Times New Roman" w:hAnsi="Times New Roman" w:cs="Times New Roman"/>
          <w:b/>
          <w:sz w:val="24"/>
        </w:rPr>
        <w:t>6. CONCLUSIONES</w:t>
      </w:r>
      <w:r w:rsidR="00FA13DE">
        <w:rPr>
          <w:rFonts w:ascii="Times New Roman" w:hAnsi="Times New Roman" w:cs="Times New Roman"/>
          <w:b/>
          <w:sz w:val="24"/>
        </w:rPr>
        <w:t xml:space="preserve">……………………………………………………………….... </w:t>
      </w:r>
      <w:r w:rsidR="0098167B">
        <w:rPr>
          <w:rFonts w:ascii="Times New Roman" w:hAnsi="Times New Roman" w:cs="Times New Roman"/>
          <w:b/>
          <w:sz w:val="24"/>
        </w:rPr>
        <w:t>33</w:t>
      </w:r>
    </w:p>
    <w:p w:rsidR="0074421F" w:rsidRDefault="0074421F" w:rsidP="00B74F82">
      <w:pPr>
        <w:spacing w:line="360" w:lineRule="auto"/>
        <w:jc w:val="both"/>
        <w:rPr>
          <w:rFonts w:ascii="Times New Roman" w:hAnsi="Times New Roman" w:cs="Times New Roman"/>
          <w:b/>
          <w:sz w:val="24"/>
        </w:rPr>
      </w:pPr>
    </w:p>
    <w:p w:rsidR="0074421F" w:rsidRDefault="0074421F" w:rsidP="00B74F82">
      <w:pPr>
        <w:spacing w:line="360" w:lineRule="auto"/>
        <w:jc w:val="both"/>
        <w:rPr>
          <w:rFonts w:ascii="Times New Roman" w:hAnsi="Times New Roman" w:cs="Times New Roman"/>
          <w:b/>
          <w:sz w:val="24"/>
        </w:rPr>
      </w:pPr>
      <w:r>
        <w:rPr>
          <w:rFonts w:ascii="Times New Roman" w:hAnsi="Times New Roman" w:cs="Times New Roman"/>
          <w:b/>
          <w:sz w:val="24"/>
        </w:rPr>
        <w:t>7. ANEXOS</w:t>
      </w:r>
      <w:r w:rsidR="00FA13DE">
        <w:rPr>
          <w:rFonts w:ascii="Times New Roman" w:hAnsi="Times New Roman" w:cs="Times New Roman"/>
          <w:b/>
          <w:sz w:val="24"/>
        </w:rPr>
        <w:t xml:space="preserve">…………………………………………………………………………... </w:t>
      </w:r>
      <w:r w:rsidR="0098167B">
        <w:rPr>
          <w:rFonts w:ascii="Times New Roman" w:hAnsi="Times New Roman" w:cs="Times New Roman"/>
          <w:b/>
          <w:sz w:val="24"/>
        </w:rPr>
        <w:t>34</w:t>
      </w:r>
    </w:p>
    <w:p w:rsidR="00492AAD" w:rsidRDefault="0098167B" w:rsidP="00B74F82">
      <w:pPr>
        <w:spacing w:line="360" w:lineRule="auto"/>
        <w:jc w:val="both"/>
        <w:rPr>
          <w:rFonts w:ascii="Times New Roman" w:hAnsi="Times New Roman" w:cs="Times New Roman"/>
          <w:b/>
          <w:sz w:val="24"/>
        </w:rPr>
      </w:pPr>
      <w:r>
        <w:rPr>
          <w:rFonts w:ascii="Times New Roman" w:hAnsi="Times New Roman" w:cs="Times New Roman"/>
          <w:b/>
          <w:sz w:val="24"/>
        </w:rPr>
        <w:t xml:space="preserve">    </w:t>
      </w:r>
      <w:r w:rsidR="00492AAD" w:rsidRPr="00492AAD">
        <w:rPr>
          <w:rFonts w:ascii="Times New Roman" w:hAnsi="Times New Roman" w:cs="Times New Roman"/>
          <w:b/>
          <w:sz w:val="24"/>
        </w:rPr>
        <w:t>7.1. Modelo de solicitud de homologación judicial</w:t>
      </w:r>
      <w:r w:rsidR="00FA13DE">
        <w:rPr>
          <w:rFonts w:ascii="Times New Roman" w:hAnsi="Times New Roman" w:cs="Times New Roman"/>
          <w:b/>
          <w:sz w:val="24"/>
        </w:rPr>
        <w:t>………………………………</w:t>
      </w:r>
      <w:r>
        <w:rPr>
          <w:rFonts w:ascii="Times New Roman" w:hAnsi="Times New Roman" w:cs="Times New Roman"/>
          <w:b/>
          <w:sz w:val="24"/>
        </w:rPr>
        <w:t xml:space="preserve"> 34</w:t>
      </w:r>
    </w:p>
    <w:p w:rsidR="00E81C80" w:rsidRDefault="0074421F" w:rsidP="00B74F82">
      <w:pPr>
        <w:spacing w:line="360" w:lineRule="auto"/>
        <w:jc w:val="both"/>
        <w:rPr>
          <w:rFonts w:ascii="Times New Roman" w:hAnsi="Times New Roman" w:cs="Times New Roman"/>
          <w:b/>
          <w:sz w:val="24"/>
        </w:rPr>
      </w:pPr>
      <w:r>
        <w:rPr>
          <w:rFonts w:ascii="Times New Roman" w:hAnsi="Times New Roman" w:cs="Times New Roman"/>
          <w:b/>
          <w:sz w:val="24"/>
        </w:rPr>
        <w:t xml:space="preserve">    7.</w:t>
      </w:r>
      <w:r w:rsidR="00492AAD">
        <w:rPr>
          <w:rFonts w:ascii="Times New Roman" w:hAnsi="Times New Roman" w:cs="Times New Roman"/>
          <w:b/>
          <w:sz w:val="24"/>
        </w:rPr>
        <w:t>2</w:t>
      </w:r>
      <w:r>
        <w:rPr>
          <w:rFonts w:ascii="Times New Roman" w:hAnsi="Times New Roman" w:cs="Times New Roman"/>
          <w:b/>
          <w:sz w:val="24"/>
        </w:rPr>
        <w:t xml:space="preserve">. </w:t>
      </w:r>
      <w:r w:rsidRPr="0074421F">
        <w:rPr>
          <w:rFonts w:ascii="Times New Roman" w:hAnsi="Times New Roman" w:cs="Times New Roman"/>
          <w:b/>
          <w:sz w:val="24"/>
        </w:rPr>
        <w:t>Modelo formulario de comunicación del deudo</w:t>
      </w:r>
      <w:r>
        <w:rPr>
          <w:rFonts w:ascii="Times New Roman" w:hAnsi="Times New Roman" w:cs="Times New Roman"/>
          <w:b/>
          <w:sz w:val="24"/>
        </w:rPr>
        <w:t>r</w:t>
      </w:r>
      <w:r w:rsidR="00FA13DE">
        <w:rPr>
          <w:rFonts w:ascii="Times New Roman" w:hAnsi="Times New Roman" w:cs="Times New Roman"/>
          <w:b/>
          <w:sz w:val="24"/>
        </w:rPr>
        <w:t>……………………………</w:t>
      </w:r>
      <w:r w:rsidR="0098167B">
        <w:rPr>
          <w:rFonts w:ascii="Times New Roman" w:hAnsi="Times New Roman" w:cs="Times New Roman"/>
          <w:b/>
          <w:sz w:val="24"/>
        </w:rPr>
        <w:t xml:space="preserve"> 36</w:t>
      </w:r>
    </w:p>
    <w:p w:rsidR="00492AAD" w:rsidRDefault="00492AAD" w:rsidP="00B74F82">
      <w:pPr>
        <w:spacing w:line="360" w:lineRule="auto"/>
        <w:jc w:val="both"/>
        <w:rPr>
          <w:rFonts w:ascii="Times New Roman" w:hAnsi="Times New Roman" w:cs="Times New Roman"/>
          <w:b/>
          <w:sz w:val="24"/>
        </w:rPr>
      </w:pPr>
      <w:r>
        <w:rPr>
          <w:rFonts w:ascii="Times New Roman" w:hAnsi="Times New Roman" w:cs="Times New Roman"/>
          <w:b/>
          <w:sz w:val="24"/>
        </w:rPr>
        <w:t xml:space="preserve">    7.3. </w:t>
      </w:r>
      <w:r w:rsidRPr="00492AAD">
        <w:rPr>
          <w:rFonts w:ascii="Times New Roman" w:hAnsi="Times New Roman" w:cs="Times New Roman"/>
          <w:b/>
          <w:sz w:val="24"/>
        </w:rPr>
        <w:t>Modelo de acuerdo de refinanciación</w:t>
      </w:r>
      <w:r w:rsidR="00FA13DE">
        <w:rPr>
          <w:rFonts w:ascii="Times New Roman" w:hAnsi="Times New Roman" w:cs="Times New Roman"/>
          <w:b/>
          <w:sz w:val="24"/>
        </w:rPr>
        <w:t>………………………………………..</w:t>
      </w:r>
      <w:r w:rsidR="0098167B">
        <w:rPr>
          <w:rFonts w:ascii="Times New Roman" w:hAnsi="Times New Roman" w:cs="Times New Roman"/>
          <w:b/>
          <w:sz w:val="24"/>
        </w:rPr>
        <w:t xml:space="preserve"> 38</w:t>
      </w:r>
    </w:p>
    <w:p w:rsidR="00492AAD" w:rsidRDefault="00492AAD" w:rsidP="00B74F82">
      <w:pPr>
        <w:spacing w:line="360" w:lineRule="auto"/>
        <w:jc w:val="both"/>
        <w:rPr>
          <w:rFonts w:ascii="Times New Roman" w:hAnsi="Times New Roman" w:cs="Times New Roman"/>
          <w:b/>
          <w:sz w:val="24"/>
        </w:rPr>
      </w:pPr>
    </w:p>
    <w:p w:rsidR="00E81C80" w:rsidRDefault="0074421F" w:rsidP="00B74F82">
      <w:pPr>
        <w:spacing w:line="360" w:lineRule="auto"/>
        <w:jc w:val="both"/>
        <w:rPr>
          <w:rFonts w:ascii="Times New Roman" w:hAnsi="Times New Roman" w:cs="Times New Roman"/>
          <w:b/>
          <w:sz w:val="24"/>
        </w:rPr>
      </w:pPr>
      <w:r>
        <w:rPr>
          <w:rFonts w:ascii="Times New Roman" w:hAnsi="Times New Roman" w:cs="Times New Roman"/>
          <w:b/>
          <w:sz w:val="24"/>
        </w:rPr>
        <w:t>8</w:t>
      </w:r>
      <w:r w:rsidR="00E81C80">
        <w:rPr>
          <w:rFonts w:ascii="Times New Roman" w:hAnsi="Times New Roman" w:cs="Times New Roman"/>
          <w:b/>
          <w:sz w:val="24"/>
        </w:rPr>
        <w:t>. BIBLIOGRAFÍA</w:t>
      </w:r>
      <w:r w:rsidR="008C1A5C">
        <w:rPr>
          <w:rFonts w:ascii="Times New Roman" w:hAnsi="Times New Roman" w:cs="Times New Roman"/>
          <w:b/>
          <w:sz w:val="24"/>
        </w:rPr>
        <w:t>…………………………………………………………………..</w:t>
      </w:r>
      <w:r w:rsidR="0098167B">
        <w:rPr>
          <w:rFonts w:ascii="Times New Roman" w:hAnsi="Times New Roman" w:cs="Times New Roman"/>
          <w:b/>
          <w:sz w:val="24"/>
        </w:rPr>
        <w:t xml:space="preserve"> 40</w:t>
      </w:r>
    </w:p>
    <w:p w:rsidR="0074421F" w:rsidRDefault="0074421F" w:rsidP="00B74F82">
      <w:pPr>
        <w:spacing w:line="360" w:lineRule="auto"/>
        <w:jc w:val="both"/>
        <w:rPr>
          <w:rFonts w:ascii="Times New Roman" w:hAnsi="Times New Roman" w:cs="Times New Roman"/>
          <w:b/>
          <w:sz w:val="24"/>
        </w:rPr>
      </w:pPr>
    </w:p>
    <w:p w:rsidR="00072923" w:rsidRDefault="00072923">
      <w:pPr>
        <w:rPr>
          <w:rFonts w:ascii="Times New Roman" w:hAnsi="Times New Roman" w:cs="Times New Roman"/>
          <w:b/>
          <w:sz w:val="24"/>
          <w:u w:val="single"/>
        </w:rPr>
      </w:pPr>
    </w:p>
    <w:p w:rsidR="00B74F82" w:rsidRDefault="00B74F82">
      <w:pPr>
        <w:rPr>
          <w:rFonts w:ascii="Times New Roman" w:hAnsi="Times New Roman" w:cs="Times New Roman"/>
          <w:b/>
          <w:sz w:val="24"/>
          <w:u w:val="single"/>
        </w:rPr>
      </w:pPr>
    </w:p>
    <w:p w:rsidR="00B74F82" w:rsidRDefault="00B74F82">
      <w:pPr>
        <w:rPr>
          <w:rFonts w:ascii="Times New Roman" w:hAnsi="Times New Roman" w:cs="Times New Roman"/>
          <w:b/>
          <w:sz w:val="24"/>
          <w:u w:val="single"/>
        </w:rPr>
      </w:pPr>
    </w:p>
    <w:p w:rsidR="00B74F82" w:rsidRDefault="00B74F82">
      <w:pPr>
        <w:rPr>
          <w:rFonts w:ascii="Times New Roman" w:hAnsi="Times New Roman" w:cs="Times New Roman"/>
          <w:b/>
          <w:sz w:val="24"/>
          <w:u w:val="single"/>
        </w:rPr>
      </w:pPr>
    </w:p>
    <w:p w:rsidR="00B74F82" w:rsidRDefault="00B74F82">
      <w:pPr>
        <w:rPr>
          <w:rFonts w:ascii="Times New Roman" w:hAnsi="Times New Roman" w:cs="Times New Roman"/>
          <w:b/>
          <w:sz w:val="24"/>
          <w:u w:val="single"/>
        </w:rPr>
      </w:pPr>
    </w:p>
    <w:p w:rsidR="00B74F82" w:rsidRDefault="00B74F82">
      <w:pPr>
        <w:rPr>
          <w:rFonts w:ascii="Times New Roman" w:hAnsi="Times New Roman" w:cs="Times New Roman"/>
          <w:b/>
          <w:sz w:val="24"/>
          <w:u w:val="single"/>
        </w:rPr>
      </w:pPr>
    </w:p>
    <w:p w:rsidR="00B74F82" w:rsidRDefault="00B74F82">
      <w:pPr>
        <w:rPr>
          <w:rFonts w:ascii="Times New Roman" w:hAnsi="Times New Roman" w:cs="Times New Roman"/>
          <w:b/>
          <w:sz w:val="24"/>
          <w:u w:val="single"/>
        </w:rPr>
      </w:pPr>
    </w:p>
    <w:p w:rsidR="00B74F82" w:rsidRDefault="00B74F82">
      <w:pPr>
        <w:rPr>
          <w:rFonts w:ascii="Times New Roman" w:hAnsi="Times New Roman" w:cs="Times New Roman"/>
          <w:b/>
          <w:sz w:val="24"/>
          <w:u w:val="single"/>
        </w:rPr>
      </w:pPr>
    </w:p>
    <w:p w:rsidR="00B74F82" w:rsidRDefault="00B74F82">
      <w:pPr>
        <w:rPr>
          <w:rFonts w:ascii="Times New Roman" w:hAnsi="Times New Roman" w:cs="Times New Roman"/>
          <w:b/>
          <w:sz w:val="24"/>
          <w:u w:val="single"/>
        </w:rPr>
      </w:pPr>
    </w:p>
    <w:p w:rsidR="00B74F82" w:rsidRDefault="00B74F82">
      <w:pPr>
        <w:rPr>
          <w:rFonts w:ascii="Times New Roman" w:hAnsi="Times New Roman" w:cs="Times New Roman"/>
          <w:b/>
          <w:sz w:val="24"/>
          <w:u w:val="single"/>
        </w:rPr>
      </w:pPr>
    </w:p>
    <w:p w:rsidR="00B74F82" w:rsidRDefault="00B74F82">
      <w:pPr>
        <w:rPr>
          <w:rFonts w:ascii="Times New Roman" w:hAnsi="Times New Roman" w:cs="Times New Roman"/>
          <w:b/>
          <w:sz w:val="24"/>
          <w:u w:val="single"/>
        </w:rPr>
      </w:pPr>
    </w:p>
    <w:p w:rsidR="00B74F82" w:rsidRDefault="00B74F82">
      <w:pPr>
        <w:rPr>
          <w:rFonts w:ascii="Times New Roman" w:hAnsi="Times New Roman" w:cs="Times New Roman"/>
          <w:b/>
          <w:sz w:val="24"/>
          <w:u w:val="single"/>
        </w:rPr>
      </w:pPr>
    </w:p>
    <w:p w:rsidR="00B74F82" w:rsidRDefault="00B74F82">
      <w:pPr>
        <w:rPr>
          <w:rFonts w:ascii="Times New Roman" w:hAnsi="Times New Roman" w:cs="Times New Roman"/>
          <w:b/>
          <w:sz w:val="24"/>
          <w:u w:val="single"/>
        </w:rPr>
      </w:pPr>
    </w:p>
    <w:p w:rsidR="00B74F82" w:rsidRDefault="00B74F82">
      <w:pPr>
        <w:rPr>
          <w:rFonts w:ascii="Times New Roman" w:hAnsi="Times New Roman" w:cs="Times New Roman"/>
          <w:b/>
          <w:sz w:val="24"/>
          <w:u w:val="single"/>
        </w:rPr>
      </w:pPr>
    </w:p>
    <w:p w:rsidR="00B74F82" w:rsidRDefault="00B74F82">
      <w:pPr>
        <w:rPr>
          <w:rFonts w:ascii="Times New Roman" w:hAnsi="Times New Roman" w:cs="Times New Roman"/>
          <w:b/>
          <w:sz w:val="24"/>
          <w:u w:val="single"/>
        </w:rPr>
      </w:pPr>
    </w:p>
    <w:p w:rsidR="00B74F82" w:rsidRDefault="00B74F82">
      <w:pPr>
        <w:rPr>
          <w:rFonts w:ascii="Times New Roman" w:hAnsi="Times New Roman" w:cs="Times New Roman"/>
          <w:b/>
          <w:sz w:val="24"/>
          <w:u w:val="single"/>
        </w:rPr>
      </w:pPr>
    </w:p>
    <w:p w:rsidR="00896FE7" w:rsidRDefault="00896FE7">
      <w:pPr>
        <w:rPr>
          <w:rFonts w:ascii="Times New Roman" w:hAnsi="Times New Roman" w:cs="Times New Roman"/>
          <w:b/>
          <w:sz w:val="24"/>
          <w:u w:val="single"/>
        </w:rPr>
      </w:pPr>
    </w:p>
    <w:p w:rsidR="00B74F82" w:rsidRDefault="00B74F82" w:rsidP="003B67D0">
      <w:pPr>
        <w:spacing w:line="360" w:lineRule="auto"/>
        <w:jc w:val="both"/>
        <w:rPr>
          <w:rFonts w:ascii="Times New Roman" w:hAnsi="Times New Roman" w:cs="Times New Roman"/>
          <w:b/>
          <w:sz w:val="24"/>
        </w:rPr>
      </w:pPr>
      <w:r>
        <w:rPr>
          <w:rFonts w:ascii="Times New Roman" w:hAnsi="Times New Roman" w:cs="Times New Roman"/>
          <w:b/>
          <w:sz w:val="24"/>
        </w:rPr>
        <w:lastRenderedPageBreak/>
        <w:t>RESUMEN</w:t>
      </w:r>
    </w:p>
    <w:p w:rsidR="008A092E" w:rsidRDefault="008A092E" w:rsidP="003B67D0">
      <w:pPr>
        <w:spacing w:line="360" w:lineRule="auto"/>
        <w:ind w:firstLine="709"/>
        <w:jc w:val="both"/>
        <w:rPr>
          <w:rFonts w:ascii="Times New Roman" w:hAnsi="Times New Roman" w:cs="Times New Roman"/>
          <w:sz w:val="24"/>
        </w:rPr>
      </w:pPr>
      <w:r>
        <w:rPr>
          <w:rFonts w:ascii="Times New Roman" w:hAnsi="Times New Roman" w:cs="Times New Roman"/>
          <w:sz w:val="24"/>
        </w:rPr>
        <w:t>Los acuerdos de refinanciación son un procedimiento que se realiza antes de la declaración de concurso con el objetivo de superar la insolvencia para que a corto y medio plazo junto con un plan de viabilidad financiera pueda seguir su actividad empresarial.</w:t>
      </w:r>
    </w:p>
    <w:p w:rsidR="002B5649" w:rsidRDefault="00F93E66" w:rsidP="003B67D0">
      <w:pPr>
        <w:spacing w:line="360" w:lineRule="auto"/>
        <w:ind w:firstLine="709"/>
        <w:jc w:val="both"/>
        <w:rPr>
          <w:rFonts w:ascii="Times New Roman" w:hAnsi="Times New Roman" w:cs="Times New Roman"/>
          <w:sz w:val="24"/>
        </w:rPr>
      </w:pPr>
      <w:r w:rsidRPr="00F93E66">
        <w:rPr>
          <w:rFonts w:ascii="Times New Roman" w:hAnsi="Times New Roman" w:cs="Times New Roman"/>
          <w:sz w:val="24"/>
        </w:rPr>
        <w:t>Este trabajo tiene como objetivo</w:t>
      </w:r>
      <w:r>
        <w:rPr>
          <w:rFonts w:ascii="Times New Roman" w:hAnsi="Times New Roman" w:cs="Times New Roman"/>
          <w:sz w:val="24"/>
        </w:rPr>
        <w:t xml:space="preserve"> observar los acuerdos de refinanciación. Empezando desde su evolución en la regulación hasta su situación actual tras las numerosas reformas </w:t>
      </w:r>
      <w:r w:rsidR="00410BEB">
        <w:rPr>
          <w:rFonts w:ascii="Times New Roman" w:hAnsi="Times New Roman" w:cs="Times New Roman"/>
          <w:sz w:val="24"/>
        </w:rPr>
        <w:t>que se han producido en los últimos años</w:t>
      </w:r>
      <w:r w:rsidR="002B5649">
        <w:rPr>
          <w:rFonts w:ascii="Times New Roman" w:hAnsi="Times New Roman" w:cs="Times New Roman"/>
          <w:sz w:val="24"/>
        </w:rPr>
        <w:t xml:space="preserve"> por</w:t>
      </w:r>
      <w:r w:rsidR="00410BEB">
        <w:rPr>
          <w:rFonts w:ascii="Times New Roman" w:hAnsi="Times New Roman" w:cs="Times New Roman"/>
          <w:sz w:val="24"/>
        </w:rPr>
        <w:t xml:space="preserve"> la situación de crisis en España</w:t>
      </w:r>
      <w:r w:rsidR="002B5649">
        <w:rPr>
          <w:rFonts w:ascii="Times New Roman" w:hAnsi="Times New Roman" w:cs="Times New Roman"/>
          <w:sz w:val="24"/>
        </w:rPr>
        <w:t>.</w:t>
      </w:r>
    </w:p>
    <w:p w:rsidR="00410BEB" w:rsidRDefault="00A23293" w:rsidP="003B67D0">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El grueso de este trabajo se centra en analizar la homologación de los acuerdos de refinanciación fue instaurada en nuestro ordenamiento como tutela judicial por la Ley 38/2011 (RCL 2011,1487), esta ley fue inspirada en los modelos italianos. </w:t>
      </w:r>
    </w:p>
    <w:p w:rsidR="008A092E" w:rsidRDefault="008A092E" w:rsidP="003B67D0">
      <w:pPr>
        <w:spacing w:line="360" w:lineRule="auto"/>
        <w:jc w:val="both"/>
        <w:rPr>
          <w:rFonts w:ascii="Times New Roman" w:hAnsi="Times New Roman" w:cs="Times New Roman"/>
          <w:sz w:val="24"/>
        </w:rPr>
      </w:pPr>
    </w:p>
    <w:p w:rsidR="008A092E" w:rsidRPr="004610D0" w:rsidRDefault="008A092E" w:rsidP="003B67D0">
      <w:pPr>
        <w:spacing w:line="360" w:lineRule="auto"/>
        <w:jc w:val="both"/>
        <w:rPr>
          <w:rFonts w:ascii="Times New Roman" w:hAnsi="Times New Roman" w:cs="Times New Roman"/>
          <w:b/>
          <w:sz w:val="24"/>
          <w:lang w:val="en-US"/>
        </w:rPr>
      </w:pPr>
      <w:r w:rsidRPr="004610D0">
        <w:rPr>
          <w:rFonts w:ascii="Times New Roman" w:hAnsi="Times New Roman" w:cs="Times New Roman"/>
          <w:b/>
          <w:sz w:val="24"/>
          <w:lang w:val="en-US"/>
        </w:rPr>
        <w:t>ABSTRACT</w:t>
      </w:r>
    </w:p>
    <w:p w:rsidR="00410BEB" w:rsidRPr="004610D0" w:rsidRDefault="002E704D" w:rsidP="003B67D0">
      <w:pPr>
        <w:spacing w:line="360" w:lineRule="auto"/>
        <w:ind w:firstLine="709"/>
        <w:jc w:val="both"/>
        <w:rPr>
          <w:rFonts w:ascii="Times New Roman" w:hAnsi="Times New Roman" w:cs="Times New Roman"/>
          <w:sz w:val="24"/>
          <w:lang w:val="en-US"/>
        </w:rPr>
      </w:pPr>
      <w:r w:rsidRPr="004610D0">
        <w:rPr>
          <w:rFonts w:ascii="Times New Roman" w:hAnsi="Times New Roman" w:cs="Times New Roman"/>
          <w:sz w:val="24"/>
          <w:lang w:val="en-US"/>
        </w:rPr>
        <w:t>There</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financing</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agreements are a procedure</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that are made</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before</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the</w:t>
      </w:r>
      <w:r w:rsidR="00031EB7">
        <w:rPr>
          <w:rFonts w:ascii="Times New Roman" w:hAnsi="Times New Roman" w:cs="Times New Roman"/>
          <w:sz w:val="24"/>
          <w:lang w:val="en-US"/>
        </w:rPr>
        <w:t xml:space="preserve"> declaration o</w:t>
      </w:r>
      <w:r w:rsidRPr="004610D0">
        <w:rPr>
          <w:rFonts w:ascii="Times New Roman" w:hAnsi="Times New Roman" w:cs="Times New Roman"/>
          <w:sz w:val="24"/>
          <w:lang w:val="en-US"/>
        </w:rPr>
        <w:t>f</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bankruptcy</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with</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 xml:space="preserve">the </w:t>
      </w:r>
      <w:proofErr w:type="spellStart"/>
      <w:r w:rsidRPr="004610D0">
        <w:rPr>
          <w:rFonts w:ascii="Times New Roman" w:hAnsi="Times New Roman" w:cs="Times New Roman"/>
          <w:sz w:val="24"/>
          <w:lang w:val="en-US"/>
        </w:rPr>
        <w:t>objetive</w:t>
      </w:r>
      <w:proofErr w:type="spellEnd"/>
      <w:r w:rsidRPr="004610D0">
        <w:rPr>
          <w:rFonts w:ascii="Times New Roman" w:hAnsi="Times New Roman" w:cs="Times New Roman"/>
          <w:sz w:val="24"/>
          <w:lang w:val="en-US"/>
        </w:rPr>
        <w:t xml:space="preserve"> of</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overcoming</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 xml:space="preserve">insolvency so that in the short and </w:t>
      </w:r>
      <w:proofErr w:type="spellStart"/>
      <w:r w:rsidRPr="004610D0">
        <w:rPr>
          <w:rFonts w:ascii="Times New Roman" w:hAnsi="Times New Roman" w:cs="Times New Roman"/>
          <w:sz w:val="24"/>
          <w:lang w:val="en-US"/>
        </w:rPr>
        <w:t>médium</w:t>
      </w:r>
      <w:proofErr w:type="spellEnd"/>
      <w:r w:rsidRPr="004610D0">
        <w:rPr>
          <w:rFonts w:ascii="Times New Roman" w:hAnsi="Times New Roman" w:cs="Times New Roman"/>
          <w:sz w:val="24"/>
          <w:lang w:val="en-US"/>
        </w:rPr>
        <w:t xml:space="preserve"> term</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together</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with</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financial</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feasibility plan for</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the</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company can continue</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its</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activity.</w:t>
      </w:r>
    </w:p>
    <w:p w:rsidR="002E704D" w:rsidRPr="004610D0" w:rsidRDefault="002E704D" w:rsidP="003B67D0">
      <w:pPr>
        <w:spacing w:line="360" w:lineRule="auto"/>
        <w:ind w:firstLine="709"/>
        <w:jc w:val="both"/>
        <w:rPr>
          <w:rFonts w:ascii="Times New Roman" w:hAnsi="Times New Roman" w:cs="Times New Roman"/>
          <w:sz w:val="24"/>
          <w:lang w:val="en-US"/>
        </w:rPr>
      </w:pPr>
      <w:r w:rsidRPr="004610D0">
        <w:rPr>
          <w:rFonts w:ascii="Times New Roman" w:hAnsi="Times New Roman" w:cs="Times New Roman"/>
          <w:sz w:val="24"/>
          <w:lang w:val="en-US"/>
        </w:rPr>
        <w:t>This</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 xml:space="preserve">work </w:t>
      </w:r>
      <w:proofErr w:type="spellStart"/>
      <w:r w:rsidRPr="004610D0">
        <w:rPr>
          <w:rFonts w:ascii="Times New Roman" w:hAnsi="Times New Roman" w:cs="Times New Roman"/>
          <w:sz w:val="24"/>
          <w:lang w:val="en-US"/>
        </w:rPr>
        <w:t>objetive</w:t>
      </w:r>
      <w:proofErr w:type="spellEnd"/>
      <w:r w:rsidRPr="004610D0">
        <w:rPr>
          <w:rFonts w:ascii="Times New Roman" w:hAnsi="Times New Roman" w:cs="Times New Roman"/>
          <w:sz w:val="24"/>
          <w:lang w:val="en-US"/>
        </w:rPr>
        <w:t xml:space="preserve"> to observe there</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financing</w:t>
      </w:r>
      <w:r w:rsidR="00031EB7">
        <w:rPr>
          <w:rFonts w:ascii="Times New Roman" w:hAnsi="Times New Roman" w:cs="Times New Roman"/>
          <w:sz w:val="24"/>
          <w:lang w:val="en-US"/>
        </w:rPr>
        <w:t xml:space="preserve"> agreement.</w:t>
      </w:r>
      <w:r w:rsidRPr="004610D0">
        <w:rPr>
          <w:rFonts w:ascii="Times New Roman" w:hAnsi="Times New Roman" w:cs="Times New Roman"/>
          <w:sz w:val="24"/>
          <w:lang w:val="en-US"/>
        </w:rPr>
        <w:t xml:space="preserve"> Starting</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from</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its</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evolution in regulation</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to</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its</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current</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situation after numerous</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reforms</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that</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have</w:t>
      </w:r>
      <w:r w:rsidR="00031EB7">
        <w:rPr>
          <w:rFonts w:ascii="Times New Roman" w:hAnsi="Times New Roman" w:cs="Times New Roman"/>
          <w:sz w:val="24"/>
          <w:lang w:val="en-US"/>
        </w:rPr>
        <w:t xml:space="preserve"> </w:t>
      </w:r>
      <w:proofErr w:type="spellStart"/>
      <w:r w:rsidRPr="004610D0">
        <w:rPr>
          <w:rFonts w:ascii="Times New Roman" w:hAnsi="Times New Roman" w:cs="Times New Roman"/>
          <w:sz w:val="24"/>
          <w:lang w:val="en-US"/>
        </w:rPr>
        <w:t>ocurred</w:t>
      </w:r>
      <w:proofErr w:type="spellEnd"/>
      <w:r w:rsidRPr="004610D0">
        <w:rPr>
          <w:rFonts w:ascii="Times New Roman" w:hAnsi="Times New Roman" w:cs="Times New Roman"/>
          <w:sz w:val="24"/>
          <w:lang w:val="en-US"/>
        </w:rPr>
        <w:t xml:space="preserve"> in the</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last</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years in Spain</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due</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to</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the crisis situation.</w:t>
      </w:r>
    </w:p>
    <w:p w:rsidR="00FA24FF" w:rsidRPr="00F93E66" w:rsidRDefault="00FA24FF" w:rsidP="003B67D0">
      <w:pPr>
        <w:spacing w:line="360" w:lineRule="auto"/>
        <w:ind w:firstLine="709"/>
        <w:jc w:val="both"/>
        <w:rPr>
          <w:rFonts w:ascii="Times New Roman" w:hAnsi="Times New Roman" w:cs="Times New Roman"/>
          <w:sz w:val="24"/>
        </w:rPr>
      </w:pPr>
      <w:r w:rsidRPr="004610D0">
        <w:rPr>
          <w:rFonts w:ascii="Times New Roman" w:hAnsi="Times New Roman" w:cs="Times New Roman"/>
          <w:sz w:val="24"/>
          <w:lang w:val="en-US"/>
        </w:rPr>
        <w:t xml:space="preserve">Thebulkoftheworkfocusesonanalyzingthehomologationofrefinancingagreements, </w:t>
      </w:r>
      <w:r w:rsidR="00031EB7">
        <w:rPr>
          <w:rFonts w:ascii="Times New Roman" w:hAnsi="Times New Roman" w:cs="Times New Roman"/>
          <w:sz w:val="24"/>
          <w:lang w:val="en-US"/>
        </w:rPr>
        <w:t xml:space="preserve">that </w:t>
      </w:r>
      <w:r w:rsidRPr="004610D0">
        <w:rPr>
          <w:rFonts w:ascii="Times New Roman" w:hAnsi="Times New Roman" w:cs="Times New Roman"/>
          <w:sz w:val="24"/>
          <w:lang w:val="en-US"/>
        </w:rPr>
        <w:t>were</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established in our legal system as judicial tutelage</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by</w:t>
      </w:r>
      <w:r w:rsidR="00031EB7">
        <w:rPr>
          <w:rFonts w:ascii="Times New Roman" w:hAnsi="Times New Roman" w:cs="Times New Roman"/>
          <w:sz w:val="24"/>
          <w:lang w:val="en-US"/>
        </w:rPr>
        <w:t xml:space="preserve"> </w:t>
      </w:r>
      <w:r w:rsidRPr="004610D0">
        <w:rPr>
          <w:rFonts w:ascii="Times New Roman" w:hAnsi="Times New Roman" w:cs="Times New Roman"/>
          <w:sz w:val="24"/>
          <w:lang w:val="en-US"/>
        </w:rPr>
        <w:t xml:space="preserve">law 38/2011 (RCL 2011,1487). </w:t>
      </w:r>
      <w:proofErr w:type="spellStart"/>
      <w:r>
        <w:rPr>
          <w:rFonts w:ascii="Times New Roman" w:hAnsi="Times New Roman" w:cs="Times New Roman"/>
          <w:sz w:val="24"/>
        </w:rPr>
        <w:t>This</w:t>
      </w:r>
      <w:proofErr w:type="spellEnd"/>
      <w:r w:rsidR="00031EB7">
        <w:rPr>
          <w:rFonts w:ascii="Times New Roman" w:hAnsi="Times New Roman" w:cs="Times New Roman"/>
          <w:sz w:val="24"/>
        </w:rPr>
        <w:t xml:space="preserve"> </w:t>
      </w:r>
      <w:proofErr w:type="spellStart"/>
      <w:r>
        <w:rPr>
          <w:rFonts w:ascii="Times New Roman" w:hAnsi="Times New Roman" w:cs="Times New Roman"/>
          <w:sz w:val="24"/>
        </w:rPr>
        <w:t>law</w:t>
      </w:r>
      <w:proofErr w:type="spellEnd"/>
      <w:r w:rsidR="00031EB7">
        <w:rPr>
          <w:rFonts w:ascii="Times New Roman" w:hAnsi="Times New Roman" w:cs="Times New Roman"/>
          <w:sz w:val="24"/>
        </w:rPr>
        <w:t xml:space="preserve"> </w:t>
      </w:r>
      <w:proofErr w:type="spellStart"/>
      <w:r>
        <w:rPr>
          <w:rFonts w:ascii="Times New Roman" w:hAnsi="Times New Roman" w:cs="Times New Roman"/>
          <w:sz w:val="24"/>
        </w:rPr>
        <w:t>was</w:t>
      </w:r>
      <w:proofErr w:type="spellEnd"/>
      <w:r w:rsidR="00031EB7">
        <w:rPr>
          <w:rFonts w:ascii="Times New Roman" w:hAnsi="Times New Roman" w:cs="Times New Roman"/>
          <w:sz w:val="24"/>
        </w:rPr>
        <w:t xml:space="preserve"> </w:t>
      </w:r>
      <w:proofErr w:type="spellStart"/>
      <w:r>
        <w:rPr>
          <w:rFonts w:ascii="Times New Roman" w:hAnsi="Times New Roman" w:cs="Times New Roman"/>
          <w:sz w:val="24"/>
        </w:rPr>
        <w:t>inspired</w:t>
      </w:r>
      <w:proofErr w:type="spellEnd"/>
      <w:r w:rsidR="00031EB7">
        <w:rPr>
          <w:rFonts w:ascii="Times New Roman" w:hAnsi="Times New Roman" w:cs="Times New Roman"/>
          <w:sz w:val="24"/>
        </w:rPr>
        <w:t xml:space="preserve"> </w:t>
      </w:r>
      <w:proofErr w:type="spellStart"/>
      <w:r>
        <w:rPr>
          <w:rFonts w:ascii="Times New Roman" w:hAnsi="Times New Roman" w:cs="Times New Roman"/>
          <w:sz w:val="24"/>
        </w:rPr>
        <w:t>by</w:t>
      </w:r>
      <w:proofErr w:type="spellEnd"/>
      <w:r w:rsidR="00031EB7">
        <w:rPr>
          <w:rFonts w:ascii="Times New Roman" w:hAnsi="Times New Roman" w:cs="Times New Roman"/>
          <w:sz w:val="24"/>
        </w:rPr>
        <w:t xml:space="preserve"> </w:t>
      </w:r>
      <w:proofErr w:type="spellStart"/>
      <w:r>
        <w:rPr>
          <w:rFonts w:ascii="Times New Roman" w:hAnsi="Times New Roman" w:cs="Times New Roman"/>
          <w:sz w:val="24"/>
        </w:rPr>
        <w:t>Italian</w:t>
      </w:r>
      <w:proofErr w:type="spellEnd"/>
      <w:r>
        <w:rPr>
          <w:rFonts w:ascii="Times New Roman" w:hAnsi="Times New Roman" w:cs="Times New Roman"/>
          <w:sz w:val="24"/>
        </w:rPr>
        <w:t xml:space="preserve"> modelos. </w:t>
      </w:r>
    </w:p>
    <w:p w:rsidR="00896FE7" w:rsidRDefault="00896FE7" w:rsidP="003B67D0">
      <w:pPr>
        <w:spacing w:line="360" w:lineRule="auto"/>
        <w:jc w:val="both"/>
        <w:rPr>
          <w:rFonts w:ascii="Times New Roman" w:hAnsi="Times New Roman" w:cs="Times New Roman"/>
          <w:b/>
          <w:sz w:val="24"/>
        </w:rPr>
      </w:pPr>
    </w:p>
    <w:p w:rsidR="002E704D" w:rsidRDefault="002E704D" w:rsidP="003B67D0">
      <w:pPr>
        <w:spacing w:line="360" w:lineRule="auto"/>
        <w:jc w:val="both"/>
        <w:rPr>
          <w:rFonts w:ascii="Times New Roman" w:hAnsi="Times New Roman" w:cs="Times New Roman"/>
          <w:sz w:val="24"/>
        </w:rPr>
      </w:pPr>
      <w:r>
        <w:rPr>
          <w:rFonts w:ascii="Times New Roman" w:hAnsi="Times New Roman" w:cs="Times New Roman"/>
          <w:b/>
          <w:sz w:val="24"/>
        </w:rPr>
        <w:t>PALABRAS CLAVE</w:t>
      </w:r>
    </w:p>
    <w:p w:rsidR="002E704D" w:rsidRPr="00031EB7" w:rsidRDefault="00EE3174" w:rsidP="00EE3174">
      <w:pPr>
        <w:spacing w:line="360" w:lineRule="auto"/>
        <w:jc w:val="both"/>
        <w:rPr>
          <w:rFonts w:ascii="Times New Roman" w:hAnsi="Times New Roman" w:cs="Times New Roman"/>
          <w:sz w:val="24"/>
        </w:rPr>
      </w:pPr>
      <w:r>
        <w:rPr>
          <w:rFonts w:ascii="Times New Roman" w:hAnsi="Times New Roman" w:cs="Times New Roman"/>
          <w:sz w:val="24"/>
        </w:rPr>
        <w:t>Acuerdo de refinanciación, homologación, acreedores, concurso, problemas financieros, deudor, insolvencia.</w:t>
      </w:r>
    </w:p>
    <w:p w:rsidR="00B751E8" w:rsidRDefault="00B751E8" w:rsidP="00EE3174">
      <w:pPr>
        <w:spacing w:line="360" w:lineRule="auto"/>
        <w:jc w:val="both"/>
        <w:rPr>
          <w:rFonts w:ascii="Times New Roman" w:hAnsi="Times New Roman" w:cs="Times New Roman"/>
          <w:b/>
          <w:sz w:val="24"/>
        </w:rPr>
      </w:pPr>
    </w:p>
    <w:p w:rsidR="00896FE7" w:rsidRDefault="00896FE7" w:rsidP="00EE3174">
      <w:pPr>
        <w:spacing w:line="360" w:lineRule="auto"/>
        <w:jc w:val="both"/>
        <w:rPr>
          <w:rFonts w:ascii="Times New Roman" w:hAnsi="Times New Roman" w:cs="Times New Roman"/>
          <w:b/>
          <w:sz w:val="24"/>
        </w:rPr>
      </w:pPr>
      <w:r>
        <w:rPr>
          <w:rFonts w:ascii="Times New Roman" w:hAnsi="Times New Roman" w:cs="Times New Roman"/>
          <w:b/>
          <w:sz w:val="24"/>
        </w:rPr>
        <w:lastRenderedPageBreak/>
        <w:t>ABREVIATURA</w:t>
      </w:r>
    </w:p>
    <w:p w:rsidR="00896FE7" w:rsidRDefault="00896FE7" w:rsidP="00EE3174">
      <w:pPr>
        <w:spacing w:line="360" w:lineRule="auto"/>
        <w:jc w:val="both"/>
        <w:rPr>
          <w:rFonts w:ascii="Times New Roman" w:hAnsi="Times New Roman" w:cs="Times New Roman"/>
          <w:sz w:val="24"/>
        </w:rPr>
      </w:pPr>
      <w:r>
        <w:rPr>
          <w:rFonts w:ascii="Times New Roman" w:hAnsi="Times New Roman" w:cs="Times New Roman"/>
          <w:sz w:val="24"/>
        </w:rPr>
        <w:t>LC                    Ley Concursal</w:t>
      </w:r>
    </w:p>
    <w:p w:rsidR="00896FE7" w:rsidRDefault="00896FE7" w:rsidP="00EE3174">
      <w:pPr>
        <w:spacing w:line="360" w:lineRule="auto"/>
        <w:jc w:val="both"/>
        <w:rPr>
          <w:rFonts w:ascii="Times New Roman" w:hAnsi="Times New Roman" w:cs="Times New Roman"/>
          <w:sz w:val="24"/>
        </w:rPr>
      </w:pPr>
      <w:r>
        <w:rPr>
          <w:rFonts w:ascii="Times New Roman" w:hAnsi="Times New Roman" w:cs="Times New Roman"/>
          <w:sz w:val="24"/>
        </w:rPr>
        <w:t>CC                    Código Civil</w:t>
      </w:r>
    </w:p>
    <w:p w:rsidR="00896FE7" w:rsidRDefault="00896FE7" w:rsidP="00EE3174">
      <w:pPr>
        <w:spacing w:line="360" w:lineRule="auto"/>
        <w:jc w:val="both"/>
        <w:rPr>
          <w:rFonts w:ascii="Times New Roman" w:hAnsi="Times New Roman" w:cs="Times New Roman"/>
          <w:sz w:val="24"/>
        </w:rPr>
      </w:pPr>
      <w:proofErr w:type="spellStart"/>
      <w:r>
        <w:rPr>
          <w:rFonts w:ascii="Times New Roman" w:hAnsi="Times New Roman" w:cs="Times New Roman"/>
          <w:sz w:val="24"/>
        </w:rPr>
        <w:t>Ccom</w:t>
      </w:r>
      <w:proofErr w:type="spellEnd"/>
      <w:r>
        <w:rPr>
          <w:rFonts w:ascii="Times New Roman" w:hAnsi="Times New Roman" w:cs="Times New Roman"/>
          <w:sz w:val="24"/>
        </w:rPr>
        <w:t xml:space="preserve">                Código de Comercio</w:t>
      </w:r>
    </w:p>
    <w:p w:rsidR="00896FE7" w:rsidRDefault="00896FE7" w:rsidP="00EE3174">
      <w:pPr>
        <w:spacing w:line="360" w:lineRule="auto"/>
        <w:jc w:val="both"/>
        <w:rPr>
          <w:rFonts w:ascii="Times New Roman" w:hAnsi="Times New Roman" w:cs="Times New Roman"/>
          <w:sz w:val="24"/>
        </w:rPr>
      </w:pPr>
      <w:r>
        <w:rPr>
          <w:rFonts w:ascii="Times New Roman" w:hAnsi="Times New Roman" w:cs="Times New Roman"/>
          <w:sz w:val="24"/>
        </w:rPr>
        <w:t xml:space="preserve">Art                    </w:t>
      </w:r>
      <w:r w:rsidR="00CB2737">
        <w:rPr>
          <w:rFonts w:ascii="Times New Roman" w:hAnsi="Times New Roman" w:cs="Times New Roman"/>
          <w:sz w:val="24"/>
        </w:rPr>
        <w:t>Artículo</w:t>
      </w:r>
    </w:p>
    <w:p w:rsidR="00CB2737" w:rsidRDefault="00CB2737" w:rsidP="00EE3174">
      <w:pPr>
        <w:spacing w:line="360" w:lineRule="auto"/>
        <w:jc w:val="both"/>
        <w:rPr>
          <w:rFonts w:ascii="Times New Roman" w:hAnsi="Times New Roman" w:cs="Times New Roman"/>
          <w:sz w:val="24"/>
        </w:rPr>
      </w:pPr>
      <w:proofErr w:type="spellStart"/>
      <w:r>
        <w:rPr>
          <w:rFonts w:ascii="Times New Roman" w:hAnsi="Times New Roman" w:cs="Times New Roman"/>
          <w:sz w:val="24"/>
        </w:rPr>
        <w:t>Disp.Adic</w:t>
      </w:r>
      <w:proofErr w:type="spellEnd"/>
      <w:r>
        <w:rPr>
          <w:rFonts w:ascii="Times New Roman" w:hAnsi="Times New Roman" w:cs="Times New Roman"/>
          <w:sz w:val="24"/>
        </w:rPr>
        <w:t xml:space="preserve">         Disposición Adicional</w:t>
      </w:r>
    </w:p>
    <w:p w:rsidR="00CB2737" w:rsidRDefault="00CB2737" w:rsidP="00EE3174">
      <w:pPr>
        <w:spacing w:line="360" w:lineRule="auto"/>
        <w:jc w:val="both"/>
        <w:rPr>
          <w:rFonts w:ascii="Times New Roman" w:hAnsi="Times New Roman" w:cs="Times New Roman"/>
          <w:sz w:val="24"/>
        </w:rPr>
      </w:pPr>
      <w:r>
        <w:rPr>
          <w:rFonts w:ascii="Times New Roman" w:hAnsi="Times New Roman" w:cs="Times New Roman"/>
          <w:sz w:val="24"/>
        </w:rPr>
        <w:t>SAP                  Sentencia de la Audiencia Provincial</w:t>
      </w:r>
    </w:p>
    <w:p w:rsidR="00CB2737" w:rsidRDefault="00CB2737" w:rsidP="00EE3174">
      <w:pPr>
        <w:spacing w:line="360" w:lineRule="auto"/>
        <w:jc w:val="both"/>
        <w:rPr>
          <w:rFonts w:ascii="Times New Roman" w:hAnsi="Times New Roman" w:cs="Times New Roman"/>
          <w:sz w:val="24"/>
        </w:rPr>
      </w:pPr>
      <w:r>
        <w:rPr>
          <w:rFonts w:ascii="Times New Roman" w:hAnsi="Times New Roman" w:cs="Times New Roman"/>
          <w:sz w:val="24"/>
        </w:rPr>
        <w:t>LEC                  Ley de Enjuiciamiento Civil</w:t>
      </w:r>
    </w:p>
    <w:p w:rsidR="00CB2737" w:rsidRDefault="00CB2737" w:rsidP="00EE3174">
      <w:pPr>
        <w:spacing w:line="360" w:lineRule="auto"/>
        <w:ind w:left="708" w:hanging="708"/>
        <w:jc w:val="both"/>
        <w:rPr>
          <w:rFonts w:ascii="Times New Roman" w:hAnsi="Times New Roman" w:cs="Times New Roman"/>
          <w:sz w:val="24"/>
        </w:rPr>
      </w:pPr>
      <w:r>
        <w:rPr>
          <w:rFonts w:ascii="Times New Roman" w:hAnsi="Times New Roman" w:cs="Times New Roman"/>
          <w:sz w:val="24"/>
        </w:rPr>
        <w:t>BOE                  Boletín Oficial del Estado</w:t>
      </w:r>
    </w:p>
    <w:p w:rsidR="00CB2737" w:rsidRDefault="00CB2737" w:rsidP="00EE3174">
      <w:pPr>
        <w:spacing w:line="360" w:lineRule="auto"/>
        <w:ind w:left="708" w:hanging="708"/>
        <w:jc w:val="both"/>
        <w:rPr>
          <w:rFonts w:ascii="Times New Roman" w:hAnsi="Times New Roman" w:cs="Times New Roman"/>
          <w:sz w:val="24"/>
        </w:rPr>
      </w:pPr>
      <w:r>
        <w:rPr>
          <w:rFonts w:ascii="Times New Roman" w:hAnsi="Times New Roman" w:cs="Times New Roman"/>
          <w:sz w:val="24"/>
        </w:rPr>
        <w:t xml:space="preserve">RCL                  </w:t>
      </w:r>
      <w:r w:rsidRPr="00CB2737">
        <w:rPr>
          <w:rFonts w:ascii="Times New Roman" w:hAnsi="Times New Roman" w:cs="Times New Roman"/>
          <w:sz w:val="24"/>
        </w:rPr>
        <w:t>Repertorio Cronológico de Legislación</w:t>
      </w:r>
    </w:p>
    <w:p w:rsidR="005357AD" w:rsidRDefault="005357AD" w:rsidP="00EE3174">
      <w:pPr>
        <w:spacing w:line="360" w:lineRule="auto"/>
        <w:ind w:left="708" w:hanging="708"/>
        <w:jc w:val="both"/>
        <w:rPr>
          <w:rFonts w:ascii="Times New Roman" w:hAnsi="Times New Roman" w:cs="Times New Roman"/>
          <w:sz w:val="24"/>
        </w:rPr>
      </w:pPr>
      <w:proofErr w:type="spellStart"/>
      <w:r w:rsidRPr="005357AD">
        <w:rPr>
          <w:rFonts w:ascii="Times New Roman" w:hAnsi="Times New Roman" w:cs="Times New Roman"/>
          <w:sz w:val="24"/>
        </w:rPr>
        <w:t>Pág</w:t>
      </w:r>
      <w:proofErr w:type="spellEnd"/>
      <w:r w:rsidRPr="005357AD">
        <w:rPr>
          <w:rFonts w:ascii="Times New Roman" w:hAnsi="Times New Roman" w:cs="Times New Roman"/>
          <w:sz w:val="24"/>
        </w:rPr>
        <w:t xml:space="preserve">/ </w:t>
      </w:r>
      <w:proofErr w:type="spellStart"/>
      <w:r w:rsidRPr="005357AD">
        <w:rPr>
          <w:rFonts w:ascii="Times New Roman" w:hAnsi="Times New Roman" w:cs="Times New Roman"/>
          <w:sz w:val="24"/>
        </w:rPr>
        <w:t>Págs</w:t>
      </w:r>
      <w:proofErr w:type="spellEnd"/>
      <w:r>
        <w:rPr>
          <w:rFonts w:ascii="Times New Roman" w:hAnsi="Times New Roman" w:cs="Times New Roman"/>
          <w:sz w:val="24"/>
        </w:rPr>
        <w:t xml:space="preserve">          Página/paginas</w:t>
      </w:r>
    </w:p>
    <w:p w:rsidR="005357AD" w:rsidRDefault="005357AD" w:rsidP="00EE3174">
      <w:pPr>
        <w:spacing w:line="360" w:lineRule="auto"/>
        <w:ind w:left="708" w:hanging="708"/>
        <w:jc w:val="both"/>
        <w:rPr>
          <w:rFonts w:ascii="Times New Roman" w:hAnsi="Times New Roman" w:cs="Times New Roman"/>
          <w:sz w:val="24"/>
        </w:rPr>
      </w:pPr>
      <w:r w:rsidRPr="005357AD">
        <w:rPr>
          <w:rFonts w:ascii="Times New Roman" w:hAnsi="Times New Roman" w:cs="Times New Roman"/>
          <w:sz w:val="24"/>
        </w:rPr>
        <w:t xml:space="preserve">ob. </w:t>
      </w:r>
      <w:proofErr w:type="spellStart"/>
      <w:r w:rsidRPr="005357AD">
        <w:rPr>
          <w:rFonts w:ascii="Times New Roman" w:hAnsi="Times New Roman" w:cs="Times New Roman"/>
          <w:sz w:val="24"/>
        </w:rPr>
        <w:t>Cit</w:t>
      </w:r>
      <w:proofErr w:type="spellEnd"/>
      <w:r>
        <w:rPr>
          <w:rFonts w:ascii="Times New Roman" w:hAnsi="Times New Roman" w:cs="Times New Roman"/>
          <w:sz w:val="24"/>
        </w:rPr>
        <w:t xml:space="preserve">               Obra citada</w:t>
      </w:r>
    </w:p>
    <w:p w:rsidR="005357AD" w:rsidRDefault="005357AD" w:rsidP="00EE3174">
      <w:pPr>
        <w:spacing w:line="360" w:lineRule="auto"/>
        <w:ind w:left="708" w:hanging="708"/>
        <w:jc w:val="both"/>
        <w:rPr>
          <w:rFonts w:ascii="Times New Roman" w:hAnsi="Times New Roman" w:cs="Times New Roman"/>
          <w:sz w:val="24"/>
        </w:rPr>
      </w:pPr>
      <w:r>
        <w:rPr>
          <w:rFonts w:ascii="Times New Roman" w:hAnsi="Times New Roman" w:cs="Times New Roman"/>
          <w:sz w:val="24"/>
        </w:rPr>
        <w:t xml:space="preserve">ADC                 </w:t>
      </w:r>
      <w:r w:rsidRPr="005357AD">
        <w:rPr>
          <w:rFonts w:ascii="Times New Roman" w:hAnsi="Times New Roman" w:cs="Times New Roman"/>
          <w:sz w:val="24"/>
        </w:rPr>
        <w:t>Anuario de Derecho Civil</w:t>
      </w:r>
    </w:p>
    <w:p w:rsidR="005357AD" w:rsidRDefault="005357AD" w:rsidP="00EE3174">
      <w:pPr>
        <w:spacing w:line="360" w:lineRule="auto"/>
        <w:ind w:left="708" w:hanging="708"/>
        <w:jc w:val="both"/>
        <w:rPr>
          <w:rFonts w:ascii="Times New Roman" w:hAnsi="Times New Roman" w:cs="Times New Roman"/>
          <w:sz w:val="24"/>
        </w:rPr>
      </w:pPr>
      <w:r>
        <w:rPr>
          <w:rFonts w:ascii="Times New Roman" w:hAnsi="Times New Roman" w:cs="Times New Roman"/>
          <w:sz w:val="24"/>
        </w:rPr>
        <w:t xml:space="preserve">BOCG              </w:t>
      </w:r>
      <w:r w:rsidRPr="005357AD">
        <w:rPr>
          <w:rFonts w:ascii="Times New Roman" w:hAnsi="Times New Roman" w:cs="Times New Roman"/>
          <w:sz w:val="24"/>
        </w:rPr>
        <w:t>Boletín Oficial de las Cortes Generales</w:t>
      </w:r>
    </w:p>
    <w:p w:rsidR="00F402C5" w:rsidRDefault="005357AD" w:rsidP="00EE3174">
      <w:pPr>
        <w:spacing w:line="360" w:lineRule="auto"/>
        <w:ind w:left="708" w:hanging="708"/>
        <w:jc w:val="both"/>
        <w:rPr>
          <w:rFonts w:ascii="Times New Roman" w:hAnsi="Times New Roman" w:cs="Times New Roman"/>
          <w:sz w:val="24"/>
        </w:rPr>
      </w:pPr>
      <w:proofErr w:type="spellStart"/>
      <w:r>
        <w:rPr>
          <w:rFonts w:ascii="Times New Roman" w:hAnsi="Times New Roman" w:cs="Times New Roman"/>
          <w:sz w:val="24"/>
        </w:rPr>
        <w:t>Nº</w:t>
      </w:r>
      <w:proofErr w:type="spellEnd"/>
      <w:r>
        <w:rPr>
          <w:rFonts w:ascii="Times New Roman" w:hAnsi="Times New Roman" w:cs="Times New Roman"/>
          <w:sz w:val="24"/>
        </w:rPr>
        <w:t>/</w:t>
      </w:r>
      <w:proofErr w:type="spellStart"/>
      <w:r>
        <w:rPr>
          <w:rFonts w:ascii="Times New Roman" w:hAnsi="Times New Roman" w:cs="Times New Roman"/>
          <w:sz w:val="24"/>
        </w:rPr>
        <w:t>Num</w:t>
      </w:r>
      <w:proofErr w:type="spellEnd"/>
      <w:r>
        <w:rPr>
          <w:rFonts w:ascii="Times New Roman" w:hAnsi="Times New Roman" w:cs="Times New Roman"/>
          <w:sz w:val="24"/>
        </w:rPr>
        <w:t xml:space="preserve">            Número</w:t>
      </w:r>
    </w:p>
    <w:p w:rsidR="00EE3174" w:rsidRDefault="00662168" w:rsidP="00EE3174">
      <w:pPr>
        <w:spacing w:line="360" w:lineRule="auto"/>
        <w:ind w:left="708" w:hanging="708"/>
        <w:jc w:val="both"/>
        <w:rPr>
          <w:rFonts w:ascii="Times New Roman" w:hAnsi="Times New Roman" w:cs="Times New Roman"/>
          <w:sz w:val="24"/>
        </w:rPr>
      </w:pPr>
      <w:r>
        <w:rPr>
          <w:rFonts w:ascii="Times New Roman" w:hAnsi="Times New Roman" w:cs="Times New Roman"/>
          <w:sz w:val="24"/>
        </w:rPr>
        <w:t>RD                    Real Decreto</w:t>
      </w:r>
    </w:p>
    <w:p w:rsidR="00EE3174" w:rsidRDefault="00127656" w:rsidP="00EE3174">
      <w:pPr>
        <w:spacing w:line="360" w:lineRule="auto"/>
        <w:ind w:left="708" w:hanging="708"/>
        <w:jc w:val="both"/>
        <w:rPr>
          <w:rFonts w:ascii="Times New Roman" w:hAnsi="Times New Roman" w:cs="Times New Roman"/>
          <w:sz w:val="24"/>
        </w:rPr>
      </w:pPr>
      <w:r w:rsidRPr="00127656">
        <w:rPr>
          <w:rFonts w:ascii="Times New Roman" w:hAnsi="Times New Roman" w:cs="Times New Roman"/>
          <w:sz w:val="24"/>
        </w:rPr>
        <w:t>AJM</w:t>
      </w:r>
      <w:r>
        <w:rPr>
          <w:rFonts w:ascii="Times New Roman" w:hAnsi="Times New Roman" w:cs="Times New Roman"/>
          <w:sz w:val="24"/>
        </w:rPr>
        <w:t xml:space="preserve">                  Auto del Juzgado Mercantil</w:t>
      </w:r>
    </w:p>
    <w:p w:rsidR="006D269D" w:rsidRDefault="00683425" w:rsidP="00EE3174">
      <w:pPr>
        <w:spacing w:line="360" w:lineRule="auto"/>
        <w:ind w:left="708" w:hanging="708"/>
        <w:jc w:val="both"/>
        <w:rPr>
          <w:rFonts w:ascii="Times New Roman" w:hAnsi="Times New Roman" w:cs="Times New Roman"/>
          <w:sz w:val="24"/>
        </w:rPr>
      </w:pPr>
      <w:r>
        <w:rPr>
          <w:rFonts w:ascii="Times New Roman" w:hAnsi="Times New Roman" w:cs="Times New Roman"/>
          <w:sz w:val="24"/>
        </w:rPr>
        <w:t>JM                     Juzgado Mercantil</w:t>
      </w:r>
    </w:p>
    <w:p w:rsidR="006F165D" w:rsidRDefault="006F165D" w:rsidP="00EE3174">
      <w:pPr>
        <w:spacing w:line="360" w:lineRule="auto"/>
        <w:ind w:left="708" w:hanging="708"/>
        <w:jc w:val="both"/>
        <w:rPr>
          <w:rFonts w:ascii="Times New Roman" w:hAnsi="Times New Roman" w:cs="Times New Roman"/>
          <w:sz w:val="24"/>
        </w:rPr>
      </w:pPr>
      <w:r>
        <w:rPr>
          <w:rFonts w:ascii="Times New Roman" w:hAnsi="Times New Roman" w:cs="Times New Roman"/>
          <w:sz w:val="24"/>
        </w:rPr>
        <w:t>JPI                     Juzgado Primera Instancia</w:t>
      </w:r>
    </w:p>
    <w:p w:rsidR="003B67D0" w:rsidRDefault="003B67D0" w:rsidP="00127656">
      <w:pPr>
        <w:spacing w:line="360" w:lineRule="auto"/>
        <w:jc w:val="both"/>
        <w:rPr>
          <w:rFonts w:ascii="Times New Roman" w:hAnsi="Times New Roman" w:cs="Times New Roman"/>
          <w:sz w:val="24"/>
        </w:rPr>
      </w:pPr>
    </w:p>
    <w:p w:rsidR="00127656" w:rsidRDefault="00127656" w:rsidP="00127656">
      <w:pPr>
        <w:spacing w:line="360" w:lineRule="auto"/>
        <w:jc w:val="both"/>
        <w:rPr>
          <w:rFonts w:ascii="Times New Roman" w:hAnsi="Times New Roman" w:cs="Times New Roman"/>
          <w:b/>
          <w:sz w:val="24"/>
        </w:rPr>
      </w:pPr>
    </w:p>
    <w:p w:rsidR="003B67D0" w:rsidRDefault="003B67D0" w:rsidP="00410BEB">
      <w:pPr>
        <w:spacing w:line="360" w:lineRule="auto"/>
        <w:jc w:val="both"/>
        <w:rPr>
          <w:rFonts w:ascii="Times New Roman" w:hAnsi="Times New Roman" w:cs="Times New Roman"/>
          <w:b/>
          <w:sz w:val="24"/>
        </w:rPr>
      </w:pPr>
    </w:p>
    <w:p w:rsidR="003B67D0" w:rsidRDefault="003B67D0" w:rsidP="00410BEB">
      <w:pPr>
        <w:spacing w:line="360" w:lineRule="auto"/>
        <w:jc w:val="both"/>
        <w:rPr>
          <w:rFonts w:ascii="Times New Roman" w:hAnsi="Times New Roman" w:cs="Times New Roman"/>
          <w:b/>
          <w:sz w:val="24"/>
        </w:rPr>
      </w:pPr>
    </w:p>
    <w:p w:rsidR="00B751E8" w:rsidRDefault="00B751E8" w:rsidP="00410BEB">
      <w:pPr>
        <w:spacing w:line="360" w:lineRule="auto"/>
        <w:jc w:val="both"/>
        <w:rPr>
          <w:rFonts w:ascii="Times New Roman" w:hAnsi="Times New Roman" w:cs="Times New Roman"/>
          <w:b/>
          <w:sz w:val="24"/>
        </w:rPr>
      </w:pPr>
    </w:p>
    <w:p w:rsidR="00410BEB" w:rsidRDefault="00410BEB" w:rsidP="00410BEB">
      <w:pPr>
        <w:spacing w:line="360" w:lineRule="auto"/>
        <w:jc w:val="both"/>
        <w:rPr>
          <w:rFonts w:ascii="Times New Roman" w:hAnsi="Times New Roman" w:cs="Times New Roman"/>
          <w:b/>
          <w:sz w:val="24"/>
        </w:rPr>
      </w:pPr>
      <w:r>
        <w:rPr>
          <w:rFonts w:ascii="Times New Roman" w:hAnsi="Times New Roman" w:cs="Times New Roman"/>
          <w:b/>
          <w:sz w:val="24"/>
        </w:rPr>
        <w:lastRenderedPageBreak/>
        <w:t>1. INTRODUCCIÓN.</w:t>
      </w:r>
    </w:p>
    <w:p w:rsidR="00F402C5" w:rsidRDefault="0021399C" w:rsidP="0021399C">
      <w:pPr>
        <w:spacing w:line="360" w:lineRule="auto"/>
        <w:ind w:firstLine="709"/>
        <w:jc w:val="both"/>
        <w:rPr>
          <w:rFonts w:ascii="Times New Roman" w:hAnsi="Times New Roman" w:cs="Times New Roman"/>
          <w:sz w:val="24"/>
        </w:rPr>
      </w:pPr>
      <w:r w:rsidRPr="0021399C">
        <w:rPr>
          <w:rFonts w:ascii="Times New Roman" w:hAnsi="Times New Roman" w:cs="Times New Roman"/>
          <w:sz w:val="24"/>
        </w:rPr>
        <w:t xml:space="preserve">En la búsqueda </w:t>
      </w:r>
      <w:r>
        <w:rPr>
          <w:rFonts w:ascii="Times New Roman" w:hAnsi="Times New Roman" w:cs="Times New Roman"/>
          <w:sz w:val="24"/>
        </w:rPr>
        <w:t>de encontrar una manera de huida</w:t>
      </w:r>
      <w:r w:rsidR="006D269D">
        <w:rPr>
          <w:rFonts w:ascii="Times New Roman" w:hAnsi="Times New Roman" w:cs="Times New Roman"/>
          <w:sz w:val="24"/>
        </w:rPr>
        <w:t xml:space="preserve"> de una </w:t>
      </w:r>
      <w:r>
        <w:rPr>
          <w:rFonts w:ascii="Times New Roman" w:hAnsi="Times New Roman" w:cs="Times New Roman"/>
          <w:sz w:val="24"/>
        </w:rPr>
        <w:t>posible situación de insolvencia actual o inminente a través de un plan de viabilidad, se ha realizado a través de la adopción de medidas legislativas de carácter concursal. Destacan las medidas que dan una especial protección a los acuerdos de refinanciación en caso de producirse la declaración del concurso, para así evitar los problemas que conlleven posteriormente la declaración del concurso</w:t>
      </w:r>
      <w:r>
        <w:rPr>
          <w:rStyle w:val="Refdenotaalpie"/>
          <w:rFonts w:ascii="Times New Roman" w:hAnsi="Times New Roman" w:cs="Times New Roman"/>
          <w:sz w:val="24"/>
        </w:rPr>
        <w:footnoteReference w:id="1"/>
      </w:r>
      <w:r>
        <w:rPr>
          <w:rFonts w:ascii="Times New Roman" w:hAnsi="Times New Roman" w:cs="Times New Roman"/>
          <w:sz w:val="24"/>
        </w:rPr>
        <w:t>.</w:t>
      </w:r>
    </w:p>
    <w:p w:rsidR="006D269D" w:rsidRDefault="006D269D" w:rsidP="0021399C">
      <w:pPr>
        <w:spacing w:line="360" w:lineRule="auto"/>
        <w:ind w:firstLine="709"/>
        <w:jc w:val="both"/>
        <w:rPr>
          <w:rFonts w:ascii="Times New Roman" w:hAnsi="Times New Roman" w:cs="Times New Roman"/>
          <w:sz w:val="24"/>
        </w:rPr>
      </w:pPr>
      <w:r>
        <w:rPr>
          <w:rFonts w:ascii="Times New Roman" w:hAnsi="Times New Roman" w:cs="Times New Roman"/>
          <w:sz w:val="24"/>
        </w:rPr>
        <w:t>Todas las medidas adoptadas tienen un claro objetivo, el cual gira en torno hacia la resolución extrajudicial de la situación de problemas financieros en los que se encuentran inmersos algunas empresas. A través de la autonomía de la voluntad el deudor podrás llegar a alcanzar un acuerdo con sus acreedores para poner fin a esta situación y a través de un plan de viabilidad viable permitir que a corto y medio plazo la empresa pueda seguir con su actividad.</w:t>
      </w:r>
    </w:p>
    <w:p w:rsidR="00000084" w:rsidRDefault="00000084" w:rsidP="0021399C">
      <w:pPr>
        <w:spacing w:line="360" w:lineRule="auto"/>
        <w:ind w:firstLine="709"/>
        <w:jc w:val="both"/>
        <w:rPr>
          <w:rFonts w:ascii="Times New Roman" w:hAnsi="Times New Roman" w:cs="Times New Roman"/>
          <w:sz w:val="24"/>
        </w:rPr>
      </w:pPr>
      <w:r>
        <w:rPr>
          <w:rFonts w:ascii="Times New Roman" w:hAnsi="Times New Roman" w:cs="Times New Roman"/>
          <w:sz w:val="24"/>
        </w:rPr>
        <w:t>Tradicionalmente nuestro ordenamiento no disponía de mecanismo de prevención de una situación concursal, no creía sobre la posibilidad de llegar a un acuerdo entre el deudor con sus acreedores fuera del proceso para solucionar la situación de insolvencia actual o inminente.</w:t>
      </w:r>
    </w:p>
    <w:p w:rsidR="00185111" w:rsidRDefault="00185111" w:rsidP="0021399C">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En los primeros años de la situación de crisis producida en España se empezaron a realizar los primeros acuerdos de refinanciación surgiendo numerosos riesgos precedentes de esos acuerdos, que se intentaron resolver con </w:t>
      </w:r>
      <w:r w:rsidRPr="00185111">
        <w:rPr>
          <w:rFonts w:ascii="Times New Roman" w:hAnsi="Times New Roman" w:cs="Times New Roman"/>
          <w:sz w:val="24"/>
        </w:rPr>
        <w:t>la reforma de la Ley Concursal por el Real Decreto Ley 3/2009, de 27 de marzo, de medidas urgentes en materia tributaria, financiera y concursal</w:t>
      </w:r>
      <w:r>
        <w:rPr>
          <w:rFonts w:ascii="Times New Roman" w:hAnsi="Times New Roman" w:cs="Times New Roman"/>
          <w:sz w:val="24"/>
        </w:rPr>
        <w:t>.</w:t>
      </w:r>
    </w:p>
    <w:p w:rsidR="00BD2D4B" w:rsidRPr="00B751E8" w:rsidRDefault="007C7E3C" w:rsidP="00282676">
      <w:pPr>
        <w:spacing w:line="360" w:lineRule="auto"/>
        <w:ind w:firstLine="709"/>
        <w:jc w:val="both"/>
        <w:rPr>
          <w:rFonts w:ascii="Times New Roman" w:hAnsi="Times New Roman" w:cs="Times New Roman"/>
          <w:sz w:val="24"/>
        </w:rPr>
      </w:pPr>
      <w:r>
        <w:rPr>
          <w:rFonts w:ascii="Times New Roman" w:hAnsi="Times New Roman" w:cs="Times New Roman"/>
          <w:sz w:val="24"/>
        </w:rPr>
        <w:t>Finalmente,</w:t>
      </w:r>
      <w:r w:rsidR="00185111">
        <w:rPr>
          <w:rFonts w:ascii="Times New Roman" w:hAnsi="Times New Roman" w:cs="Times New Roman"/>
          <w:sz w:val="24"/>
        </w:rPr>
        <w:t xml:space="preserve"> tras las numerosas reformas que se ha realizado y con ello los numerosos avances que se han producido en esta materia, nos encontramos con la última reforma introducida </w:t>
      </w:r>
      <w:r w:rsidR="00185111" w:rsidRPr="00185111">
        <w:rPr>
          <w:rFonts w:ascii="Times New Roman" w:hAnsi="Times New Roman" w:cs="Times New Roman"/>
          <w:sz w:val="24"/>
        </w:rPr>
        <w:t>Ley 9/2015</w:t>
      </w:r>
      <w:r w:rsidR="00185111">
        <w:rPr>
          <w:rFonts w:ascii="Times New Roman" w:hAnsi="Times New Roman" w:cs="Times New Roman"/>
          <w:sz w:val="24"/>
        </w:rPr>
        <w:t xml:space="preserve"> que</w:t>
      </w:r>
      <w:r w:rsidR="00185111" w:rsidRPr="00185111">
        <w:rPr>
          <w:rFonts w:ascii="Times New Roman" w:hAnsi="Times New Roman" w:cs="Times New Roman"/>
          <w:sz w:val="24"/>
        </w:rPr>
        <w:t xml:space="preserve"> introdujo importantes reformas en la Ley Concursal en materia de convenio y de liquidación concursal con la finalidad de facilitar la continuidad de empresas económicamente viables.</w:t>
      </w:r>
    </w:p>
    <w:p w:rsidR="00E9746D" w:rsidRDefault="00F402C5" w:rsidP="00E9746D">
      <w:pPr>
        <w:spacing w:line="360" w:lineRule="auto"/>
        <w:jc w:val="both"/>
        <w:rPr>
          <w:rFonts w:ascii="Times New Roman" w:hAnsi="Times New Roman" w:cs="Times New Roman"/>
          <w:b/>
          <w:sz w:val="24"/>
        </w:rPr>
      </w:pPr>
      <w:r w:rsidRPr="007402BF">
        <w:rPr>
          <w:rFonts w:ascii="Times New Roman" w:hAnsi="Times New Roman" w:cs="Times New Roman"/>
          <w:b/>
          <w:sz w:val="24"/>
          <w:szCs w:val="24"/>
        </w:rPr>
        <w:lastRenderedPageBreak/>
        <w:t>2.</w:t>
      </w:r>
      <w:r w:rsidR="00B751E8">
        <w:rPr>
          <w:rFonts w:ascii="Times New Roman" w:hAnsi="Times New Roman" w:cs="Times New Roman"/>
          <w:b/>
          <w:sz w:val="24"/>
          <w:szCs w:val="24"/>
        </w:rPr>
        <w:t xml:space="preserve"> </w:t>
      </w:r>
      <w:r w:rsidR="00E9746D">
        <w:rPr>
          <w:rFonts w:ascii="Times New Roman" w:hAnsi="Times New Roman" w:cs="Times New Roman"/>
          <w:b/>
          <w:sz w:val="24"/>
        </w:rPr>
        <w:t>EVOLUCIÓN DE LA REGULACIÓN HASTA LA SITUACIÓN ACTUAL.</w:t>
      </w:r>
    </w:p>
    <w:p w:rsidR="00E9746D" w:rsidRDefault="00216BBC" w:rsidP="00B72BAB">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Tradicionalmente </w:t>
      </w:r>
      <w:r w:rsidR="00B72BAB">
        <w:rPr>
          <w:rFonts w:ascii="Times New Roman" w:hAnsi="Times New Roman" w:cs="Times New Roman"/>
          <w:sz w:val="24"/>
        </w:rPr>
        <w:t xml:space="preserve">nuestro ordenamiento español no ha tenío un modelo de prevención concursal. En la ley Concursal (Ley 22/2003) no se pensó de la posibilidad de que los acreedores pudieran llegar a un acuerdo fuera del proceso para aliviar la situación de insolvencia en la que se encuentran para tener un en caso de entrar en concurso posteriormente tener cierta protección, es lo que se conoce como escudos protectores, esto crea seguridad jurídica. </w:t>
      </w:r>
    </w:p>
    <w:p w:rsidR="00B72BAB" w:rsidRDefault="00B72BAB" w:rsidP="00B72BAB">
      <w:pPr>
        <w:spacing w:line="360" w:lineRule="auto"/>
        <w:ind w:firstLine="709"/>
        <w:jc w:val="both"/>
        <w:rPr>
          <w:rFonts w:ascii="Times New Roman" w:hAnsi="Times New Roman" w:cs="Times New Roman"/>
          <w:sz w:val="24"/>
        </w:rPr>
      </w:pPr>
      <w:r>
        <w:rPr>
          <w:rFonts w:ascii="Times New Roman" w:hAnsi="Times New Roman" w:cs="Times New Roman"/>
          <w:sz w:val="24"/>
        </w:rPr>
        <w:t>Durante la crisis económica empiezan a surgir los primeros acuerdos de refinanciación y como consecuencia empiezan a producirse riesgos derivados de la negociación, como, por ejemplo: solicitud de acreedores presentadas y que no son intervinientes en el acuerdo o discrepan, ejecuciones respecto del patrimonio del concursado. También se gen</w:t>
      </w:r>
      <w:r w:rsidR="00DF1104">
        <w:rPr>
          <w:rFonts w:ascii="Times New Roman" w:hAnsi="Times New Roman" w:cs="Times New Roman"/>
          <w:sz w:val="24"/>
        </w:rPr>
        <w:t>e</w:t>
      </w:r>
      <w:r>
        <w:rPr>
          <w:rFonts w:ascii="Times New Roman" w:hAnsi="Times New Roman" w:cs="Times New Roman"/>
          <w:sz w:val="24"/>
        </w:rPr>
        <w:t>ran ciertos riesgo</w:t>
      </w:r>
      <w:r w:rsidR="00DF1104">
        <w:rPr>
          <w:rFonts w:ascii="Times New Roman" w:hAnsi="Times New Roman" w:cs="Times New Roman"/>
          <w:sz w:val="24"/>
        </w:rPr>
        <w:t>s ligados al fracaso del acuerdo y como consecuencia el deudor desemboque en un procedimiento concursal.</w:t>
      </w:r>
    </w:p>
    <w:p w:rsidR="003B67D0" w:rsidRDefault="00DF1104" w:rsidP="003B67D0">
      <w:pPr>
        <w:spacing w:line="360" w:lineRule="auto"/>
        <w:ind w:firstLine="709"/>
        <w:jc w:val="both"/>
        <w:rPr>
          <w:rFonts w:ascii="Times New Roman" w:hAnsi="Times New Roman" w:cs="Times New Roman"/>
          <w:sz w:val="24"/>
        </w:rPr>
      </w:pPr>
      <w:r>
        <w:rPr>
          <w:rFonts w:ascii="Times New Roman" w:hAnsi="Times New Roman" w:cs="Times New Roman"/>
          <w:sz w:val="24"/>
        </w:rPr>
        <w:t>Los primeros problemas que surgieron en las primeras negociaciones se pretendieron solucionar con la reforma de la Le</w:t>
      </w:r>
      <w:r w:rsidR="00582A3F">
        <w:rPr>
          <w:rFonts w:ascii="Times New Roman" w:hAnsi="Times New Roman" w:cs="Times New Roman"/>
          <w:sz w:val="24"/>
        </w:rPr>
        <w:t>y</w:t>
      </w:r>
      <w:r>
        <w:rPr>
          <w:rFonts w:ascii="Times New Roman" w:hAnsi="Times New Roman" w:cs="Times New Roman"/>
          <w:sz w:val="24"/>
        </w:rPr>
        <w:t xml:space="preserve"> Concursal por el Real Decreto Ley 3/2009 del 27 de marzo, referentes a medidas urgentes respecto de aspectos financieros, concursales y tributarios, ante la situación que se estaba dando de evolución económica. En esta norma, a través de la Disposición Adicional 4ª, se empezaron a regular los primeros escudos protectores frente a la rescisoria concursal para los acuerdos en el cual la </w:t>
      </w:r>
      <w:r w:rsidR="00582A3F">
        <w:rPr>
          <w:rFonts w:ascii="Times New Roman" w:hAnsi="Times New Roman" w:cs="Times New Roman"/>
          <w:sz w:val="24"/>
        </w:rPr>
        <w:t>refinanciación se</w:t>
      </w:r>
      <w:r>
        <w:rPr>
          <w:rFonts w:ascii="Times New Roman" w:hAnsi="Times New Roman" w:cs="Times New Roman"/>
          <w:sz w:val="24"/>
        </w:rPr>
        <w:t xml:space="preserve"> acompaña de un plan de viabilidad para permitir </w:t>
      </w:r>
      <w:r w:rsidR="00582A3F">
        <w:rPr>
          <w:rFonts w:ascii="Times New Roman" w:hAnsi="Times New Roman" w:cs="Times New Roman"/>
          <w:sz w:val="24"/>
        </w:rPr>
        <w:t>que el deudor pueda continuar su actividad empresarial o profesional a medio o corto plazo. Además, también se introduce el art 5.3 para proteger al deudor en el momento que realiza la negociación de una propuesta anticipada del convenio para ampliar el plazo de concurso voluntario y así paralizar las posibles solicitudes para concurso mientras no superen los plazos establecidos en dicho art 5.3 LC en relación con el art 15.3 LC.</w:t>
      </w:r>
    </w:p>
    <w:p w:rsidR="00582A3F" w:rsidRDefault="00582A3F" w:rsidP="003B67D0">
      <w:pPr>
        <w:spacing w:line="360" w:lineRule="auto"/>
        <w:ind w:firstLine="709"/>
        <w:jc w:val="both"/>
        <w:rPr>
          <w:rFonts w:ascii="Times New Roman" w:hAnsi="Times New Roman" w:cs="Times New Roman"/>
          <w:sz w:val="24"/>
        </w:rPr>
      </w:pPr>
      <w:r>
        <w:rPr>
          <w:rFonts w:ascii="Times New Roman" w:hAnsi="Times New Roman" w:cs="Times New Roman"/>
          <w:sz w:val="24"/>
        </w:rPr>
        <w:t>La eficacia de estas</w:t>
      </w:r>
      <w:r w:rsidR="00CC2CFF">
        <w:rPr>
          <w:rFonts w:ascii="Times New Roman" w:hAnsi="Times New Roman" w:cs="Times New Roman"/>
          <w:sz w:val="24"/>
        </w:rPr>
        <w:t xml:space="preserve"> dos </w:t>
      </w:r>
      <w:r>
        <w:rPr>
          <w:rFonts w:ascii="Times New Roman" w:hAnsi="Times New Roman" w:cs="Times New Roman"/>
          <w:sz w:val="24"/>
        </w:rPr>
        <w:t xml:space="preserve"> inst</w:t>
      </w:r>
      <w:r w:rsidR="00CC2CFF">
        <w:rPr>
          <w:rFonts w:ascii="Times New Roman" w:hAnsi="Times New Roman" w:cs="Times New Roman"/>
          <w:sz w:val="24"/>
        </w:rPr>
        <w:t>itu</w:t>
      </w:r>
      <w:r>
        <w:rPr>
          <w:rFonts w:ascii="Times New Roman" w:hAnsi="Times New Roman" w:cs="Times New Roman"/>
          <w:sz w:val="24"/>
        </w:rPr>
        <w:t>ciones</w:t>
      </w:r>
      <w:r w:rsidR="00CC2CFF">
        <w:rPr>
          <w:rStyle w:val="Refdenotaalpie"/>
          <w:rFonts w:ascii="Times New Roman" w:hAnsi="Times New Roman" w:cs="Times New Roman"/>
          <w:sz w:val="24"/>
        </w:rPr>
        <w:footnoteReference w:id="2"/>
      </w:r>
      <w:r w:rsidR="00CC2CFF">
        <w:rPr>
          <w:rFonts w:ascii="Times New Roman" w:hAnsi="Times New Roman" w:cs="Times New Roman"/>
          <w:sz w:val="24"/>
        </w:rPr>
        <w:t xml:space="preserve"> durante su vigencia se han planteado ciertas dudas interpretativas y se han hecho críticas doctrinales, estas carencias se han intentado resolver con la reforma de la Ley Concursal  realizada por la Ley 38/2011</w:t>
      </w:r>
      <w:r w:rsidR="00A1346A">
        <w:rPr>
          <w:rFonts w:ascii="Times New Roman" w:hAnsi="Times New Roman" w:cs="Times New Roman"/>
          <w:sz w:val="24"/>
        </w:rPr>
        <w:t xml:space="preserve">, la cual supone la incentivación de los institutos </w:t>
      </w:r>
      <w:proofErr w:type="spellStart"/>
      <w:r w:rsidR="00A1346A">
        <w:rPr>
          <w:rFonts w:ascii="Times New Roman" w:hAnsi="Times New Roman" w:cs="Times New Roman"/>
          <w:sz w:val="24"/>
        </w:rPr>
        <w:t>preconcursales</w:t>
      </w:r>
      <w:proofErr w:type="spellEnd"/>
      <w:r w:rsidR="00A1346A">
        <w:rPr>
          <w:rFonts w:ascii="Times New Roman" w:hAnsi="Times New Roman" w:cs="Times New Roman"/>
          <w:sz w:val="24"/>
        </w:rPr>
        <w:t xml:space="preserve"> como vía de alternativa al concurso, suponiendo un nueva institución y conocida en otros ordenamientos, como es </w:t>
      </w:r>
      <w:r w:rsidR="00A1346A">
        <w:rPr>
          <w:rFonts w:ascii="Times New Roman" w:hAnsi="Times New Roman" w:cs="Times New Roman"/>
          <w:sz w:val="24"/>
        </w:rPr>
        <w:lastRenderedPageBreak/>
        <w:t>la homologación de los acuerdos de refinanciación inscritos</w:t>
      </w:r>
      <w:r w:rsidR="00A1346A" w:rsidRPr="00A1346A">
        <w:rPr>
          <w:rFonts w:ascii="Times New Roman" w:hAnsi="Times New Roman" w:cs="Times New Roman"/>
          <w:sz w:val="24"/>
        </w:rPr>
        <w:t xml:space="preserve"> con acreedores financieros permitiendo extender sus efecto</w:t>
      </w:r>
      <w:r w:rsidR="00A1346A">
        <w:rPr>
          <w:rFonts w:ascii="Times New Roman" w:hAnsi="Times New Roman" w:cs="Times New Roman"/>
          <w:sz w:val="24"/>
        </w:rPr>
        <w:t>s, se trata de una vía alternativa para superar la situación de insolvencia y no entrar en un proceso concursal.</w:t>
      </w:r>
    </w:p>
    <w:p w:rsidR="005814B2" w:rsidRDefault="005814B2" w:rsidP="00B72BAB">
      <w:pPr>
        <w:spacing w:line="360" w:lineRule="auto"/>
        <w:ind w:firstLine="709"/>
        <w:jc w:val="both"/>
        <w:rPr>
          <w:rFonts w:ascii="Times New Roman" w:hAnsi="Times New Roman" w:cs="Times New Roman"/>
          <w:sz w:val="24"/>
        </w:rPr>
      </w:pPr>
      <w:r>
        <w:rPr>
          <w:rFonts w:ascii="Times New Roman" w:hAnsi="Times New Roman" w:cs="Times New Roman"/>
          <w:sz w:val="24"/>
        </w:rPr>
        <w:t>La reforma que se hace en el 2011 intenta cubrir ciertas lagunas que se producen en el art 5.3 LC, ahora 5bis, ampliando los supuestos de</w:t>
      </w:r>
      <w:r w:rsidR="00115C0C">
        <w:rPr>
          <w:rFonts w:ascii="Times New Roman" w:hAnsi="Times New Roman" w:cs="Times New Roman"/>
          <w:sz w:val="24"/>
        </w:rPr>
        <w:t xml:space="preserve"> comunicación de la</w:t>
      </w:r>
      <w:r>
        <w:rPr>
          <w:rFonts w:ascii="Times New Roman" w:hAnsi="Times New Roman" w:cs="Times New Roman"/>
          <w:sz w:val="24"/>
        </w:rPr>
        <w:t xml:space="preserve"> negociación de los acuerdos, también se reubica los acuerdos en el art donde producen sus efectos. </w:t>
      </w:r>
    </w:p>
    <w:p w:rsidR="005814B2" w:rsidRDefault="005814B2" w:rsidP="00B72BAB">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Tras los cambios se consigue perfeccionar el </w:t>
      </w:r>
      <w:r w:rsidR="003B67D0" w:rsidRPr="005814B2">
        <w:rPr>
          <w:rFonts w:ascii="Times New Roman" w:hAnsi="Times New Roman" w:cs="Times New Roman"/>
          <w:sz w:val="24"/>
        </w:rPr>
        <w:t>rustico,</w:t>
      </w:r>
      <w:r w:rsidRPr="005814B2">
        <w:rPr>
          <w:rFonts w:ascii="Times New Roman" w:hAnsi="Times New Roman" w:cs="Times New Roman"/>
          <w:sz w:val="24"/>
        </w:rPr>
        <w:t xml:space="preserve"> pero emergente derecho preventivo español iniciado en el Real Decreto-Ley 3/2009, y que el reciente Real Decreto-Ley 4/2014</w:t>
      </w:r>
      <w:r>
        <w:rPr>
          <w:rFonts w:ascii="Times New Roman" w:hAnsi="Times New Roman" w:cs="Times New Roman"/>
          <w:sz w:val="24"/>
        </w:rPr>
        <w:t>, con el objetivo de que haya más mecanismos para evitar el concurso mediante los acuerdos de refinanciación.</w:t>
      </w:r>
    </w:p>
    <w:p w:rsidR="005814B2" w:rsidRDefault="005D1BC8" w:rsidP="00B72BAB">
      <w:pPr>
        <w:spacing w:line="360" w:lineRule="auto"/>
        <w:ind w:firstLine="709"/>
        <w:jc w:val="both"/>
        <w:rPr>
          <w:rFonts w:ascii="Times New Roman" w:hAnsi="Times New Roman" w:cs="Times New Roman"/>
          <w:sz w:val="24"/>
        </w:rPr>
      </w:pPr>
      <w:r>
        <w:rPr>
          <w:rFonts w:ascii="Times New Roman" w:hAnsi="Times New Roman" w:cs="Times New Roman"/>
          <w:sz w:val="24"/>
        </w:rPr>
        <w:t>Tras tantas reformas debido a la crisis económica, se realiza de nuevo otra reforma a la Ley Concursal añadiendo el título X sobre el acuerdo extrajudicial de pagos a través de la Ley 14/2013 del 27 de septiembre, para apoyar a los acreedores y la internacionalización, dando lugar a que el deudor que se encuentre en situación de insolvencia pueda llegar a alcanzar un acuerdo extrajudicial, mientras que su pasivo no supere los cinco millones. En caso de que se produzca un incumplimiento del acuerdo provocará que el deudor desemboque en situación de concurso.</w:t>
      </w:r>
    </w:p>
    <w:p w:rsidR="005D1BC8" w:rsidRDefault="005D1BC8" w:rsidP="00B72BAB">
      <w:pPr>
        <w:spacing w:line="360" w:lineRule="auto"/>
        <w:ind w:firstLine="709"/>
        <w:jc w:val="both"/>
        <w:rPr>
          <w:rFonts w:ascii="Times New Roman" w:hAnsi="Times New Roman" w:cs="Times New Roman"/>
          <w:sz w:val="24"/>
        </w:rPr>
      </w:pPr>
      <w:r>
        <w:rPr>
          <w:rFonts w:ascii="Times New Roman" w:hAnsi="Times New Roman" w:cs="Times New Roman"/>
          <w:sz w:val="24"/>
        </w:rPr>
        <w:t>E</w:t>
      </w:r>
      <w:r w:rsidRPr="005D1BC8">
        <w:rPr>
          <w:rFonts w:ascii="Times New Roman" w:hAnsi="Times New Roman" w:cs="Times New Roman"/>
          <w:sz w:val="24"/>
        </w:rPr>
        <w:t xml:space="preserve">sta </w:t>
      </w:r>
      <w:r>
        <w:rPr>
          <w:rFonts w:ascii="Times New Roman" w:hAnsi="Times New Roman" w:cs="Times New Roman"/>
          <w:sz w:val="24"/>
        </w:rPr>
        <w:t>reformaredujo</w:t>
      </w:r>
      <w:r w:rsidRPr="005D1BC8">
        <w:rPr>
          <w:rFonts w:ascii="Times New Roman" w:hAnsi="Times New Roman" w:cs="Times New Roman"/>
          <w:sz w:val="24"/>
        </w:rPr>
        <w:t xml:space="preserve"> el porcentaje inicial del 75% exigido en la Disposición Adicional 4ª para </w:t>
      </w:r>
      <w:r>
        <w:rPr>
          <w:rFonts w:ascii="Times New Roman" w:hAnsi="Times New Roman" w:cs="Times New Roman"/>
          <w:sz w:val="24"/>
        </w:rPr>
        <w:t xml:space="preserve">conseguir </w:t>
      </w:r>
      <w:r w:rsidRPr="005D1BC8">
        <w:rPr>
          <w:rFonts w:ascii="Times New Roman" w:hAnsi="Times New Roman" w:cs="Times New Roman"/>
          <w:sz w:val="24"/>
        </w:rPr>
        <w:t xml:space="preserve">la homologación al 55% del pasivo financiero, </w:t>
      </w:r>
      <w:r w:rsidR="007911CB">
        <w:rPr>
          <w:rFonts w:ascii="Times New Roman" w:hAnsi="Times New Roman" w:cs="Times New Roman"/>
          <w:sz w:val="24"/>
        </w:rPr>
        <w:t xml:space="preserve">apoyando </w:t>
      </w:r>
      <w:r w:rsidRPr="005D1BC8">
        <w:rPr>
          <w:rFonts w:ascii="Times New Roman" w:hAnsi="Times New Roman" w:cs="Times New Roman"/>
          <w:sz w:val="24"/>
        </w:rPr>
        <w:t>la</w:t>
      </w:r>
      <w:r w:rsidR="007911CB">
        <w:rPr>
          <w:rFonts w:ascii="Times New Roman" w:hAnsi="Times New Roman" w:cs="Times New Roman"/>
          <w:sz w:val="24"/>
        </w:rPr>
        <w:t>s</w:t>
      </w:r>
      <w:r w:rsidRPr="005D1BC8">
        <w:rPr>
          <w:rFonts w:ascii="Times New Roman" w:hAnsi="Times New Roman" w:cs="Times New Roman"/>
          <w:sz w:val="24"/>
        </w:rPr>
        <w:t xml:space="preserve"> tesis de los tribunales de Barcelona que </w:t>
      </w:r>
      <w:r w:rsidR="007911CB">
        <w:rPr>
          <w:rFonts w:ascii="Times New Roman" w:hAnsi="Times New Roman" w:cs="Times New Roman"/>
          <w:sz w:val="24"/>
        </w:rPr>
        <w:t>estaban</w:t>
      </w:r>
      <w:r w:rsidRPr="005D1BC8">
        <w:rPr>
          <w:rFonts w:ascii="Times New Roman" w:hAnsi="Times New Roman" w:cs="Times New Roman"/>
          <w:sz w:val="24"/>
        </w:rPr>
        <w:t xml:space="preserve"> interpretado que el quorum de la </w:t>
      </w:r>
      <w:r w:rsidR="00CB2737">
        <w:rPr>
          <w:rFonts w:ascii="Times New Roman" w:hAnsi="Times New Roman" w:cs="Times New Roman"/>
          <w:sz w:val="24"/>
        </w:rPr>
        <w:t>Disp.Adic</w:t>
      </w:r>
      <w:r w:rsidRPr="005D1BC8">
        <w:rPr>
          <w:rFonts w:ascii="Times New Roman" w:hAnsi="Times New Roman" w:cs="Times New Roman"/>
          <w:sz w:val="24"/>
        </w:rPr>
        <w:t>4ª estaba desvinculado del exigido en el artículo 71.6.</w:t>
      </w:r>
    </w:p>
    <w:p w:rsidR="00E9746D" w:rsidRDefault="007911CB" w:rsidP="00115C0C">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Con respecto a la reforma realizada por el Real Decreto-Ley 4/2014, en la cual se establecen medidas de urgencias con respecto a la reestructuración de deuda empresarial y en materia de refinanciación. Esta norma vuelve a </w:t>
      </w:r>
      <w:r w:rsidR="00115C0C">
        <w:rPr>
          <w:rFonts w:ascii="Times New Roman" w:hAnsi="Times New Roman" w:cs="Times New Roman"/>
          <w:sz w:val="24"/>
        </w:rPr>
        <w:t>modificar</w:t>
      </w:r>
      <w:r>
        <w:rPr>
          <w:rFonts w:ascii="Times New Roman" w:hAnsi="Times New Roman" w:cs="Times New Roman"/>
          <w:sz w:val="24"/>
        </w:rPr>
        <w:t xml:space="preserve"> el mecanismo de </w:t>
      </w:r>
      <w:r w:rsidR="00115C0C">
        <w:rPr>
          <w:rFonts w:ascii="Times New Roman" w:hAnsi="Times New Roman" w:cs="Times New Roman"/>
          <w:sz w:val="24"/>
        </w:rPr>
        <w:t xml:space="preserve">comunicación de </w:t>
      </w:r>
      <w:r>
        <w:rPr>
          <w:rFonts w:ascii="Times New Roman" w:hAnsi="Times New Roman" w:cs="Times New Roman"/>
          <w:sz w:val="24"/>
        </w:rPr>
        <w:t xml:space="preserve">negociación del art 5bis para que se pueda suspender </w:t>
      </w:r>
      <w:r w:rsidR="00115C0C">
        <w:rPr>
          <w:rFonts w:ascii="Times New Roman" w:hAnsi="Times New Roman" w:cs="Times New Roman"/>
          <w:sz w:val="24"/>
        </w:rPr>
        <w:t>las ejecuciones durante el periodo en el que se realiza la negociación.</w:t>
      </w:r>
    </w:p>
    <w:p w:rsidR="00115C0C" w:rsidRDefault="00115C0C" w:rsidP="00115C0C">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Finalmente, la ultima reforma introducida en la Ley Concursal por la </w:t>
      </w:r>
      <w:r w:rsidR="00C95C2B">
        <w:rPr>
          <w:rFonts w:ascii="Times New Roman" w:hAnsi="Times New Roman" w:cs="Times New Roman"/>
          <w:sz w:val="24"/>
        </w:rPr>
        <w:t>L</w:t>
      </w:r>
      <w:r>
        <w:rPr>
          <w:rFonts w:ascii="Times New Roman" w:hAnsi="Times New Roman" w:cs="Times New Roman"/>
          <w:sz w:val="24"/>
        </w:rPr>
        <w:t xml:space="preserve">ey 9/2015 ha introducido </w:t>
      </w:r>
      <w:r w:rsidR="00C95C2B">
        <w:rPr>
          <w:rFonts w:ascii="Times New Roman" w:hAnsi="Times New Roman" w:cs="Times New Roman"/>
          <w:sz w:val="24"/>
        </w:rPr>
        <w:t>relevantes modificaciones con respecto a los acuerdos de refinanciación, introduciendo novedades respecto del art 5bis</w:t>
      </w:r>
      <w:r w:rsidR="00D3640F">
        <w:rPr>
          <w:rFonts w:ascii="Times New Roman" w:hAnsi="Times New Roman" w:cs="Times New Roman"/>
          <w:sz w:val="24"/>
        </w:rPr>
        <w:t xml:space="preserve"> sobre la paralización de ejecuciones, </w:t>
      </w:r>
      <w:r w:rsidR="008375A6">
        <w:rPr>
          <w:rFonts w:ascii="Times New Roman" w:hAnsi="Times New Roman" w:cs="Times New Roman"/>
          <w:sz w:val="24"/>
        </w:rPr>
        <w:t xml:space="preserve">siendo solicitado este procedimiento por la gente que opera en el mercado ante las </w:t>
      </w:r>
      <w:r w:rsidR="008375A6">
        <w:rPr>
          <w:rFonts w:ascii="Times New Roman" w:hAnsi="Times New Roman" w:cs="Times New Roman"/>
          <w:sz w:val="24"/>
        </w:rPr>
        <w:lastRenderedPageBreak/>
        <w:t>contradicciones que se producían en la práctica</w:t>
      </w:r>
      <w:r w:rsidR="008375A6">
        <w:rPr>
          <w:rStyle w:val="Refdenotaalpie"/>
          <w:rFonts w:ascii="Times New Roman" w:hAnsi="Times New Roman" w:cs="Times New Roman"/>
          <w:sz w:val="24"/>
        </w:rPr>
        <w:footnoteReference w:id="3"/>
      </w:r>
      <w:r w:rsidR="008375A6">
        <w:rPr>
          <w:rFonts w:ascii="Times New Roman" w:hAnsi="Times New Roman" w:cs="Times New Roman"/>
          <w:sz w:val="24"/>
        </w:rPr>
        <w:t>. EN su nueva redacción da respuesta a las siguientes cuestiones que había generado el debate:</w:t>
      </w:r>
    </w:p>
    <w:p w:rsidR="008375A6" w:rsidRDefault="002D41AA" w:rsidP="008375A6">
      <w:pPr>
        <w:pStyle w:val="Prrafodelista"/>
        <w:numPr>
          <w:ilvl w:val="0"/>
          <w:numId w:val="8"/>
        </w:numPr>
        <w:spacing w:line="360" w:lineRule="auto"/>
        <w:jc w:val="both"/>
        <w:rPr>
          <w:rFonts w:ascii="Times New Roman" w:hAnsi="Times New Roman" w:cs="Times New Roman"/>
          <w:sz w:val="24"/>
        </w:rPr>
      </w:pPr>
      <w:r>
        <w:rPr>
          <w:rFonts w:ascii="Times New Roman" w:hAnsi="Times New Roman" w:cs="Times New Roman"/>
          <w:sz w:val="24"/>
        </w:rPr>
        <w:t>El deudor cuando remita al juez debe de dar una lista de l</w:t>
      </w:r>
      <w:r w:rsidR="00B7795D">
        <w:rPr>
          <w:rFonts w:ascii="Times New Roman" w:hAnsi="Times New Roman" w:cs="Times New Roman"/>
          <w:sz w:val="24"/>
        </w:rPr>
        <w:t>as ejecuciones que se producen contra su patrimonio, calificando aquellos que sean o no necesarios para la continuidad empresarial.</w:t>
      </w:r>
    </w:p>
    <w:p w:rsidR="00B7795D" w:rsidRDefault="00B7795D" w:rsidP="008375A6">
      <w:pPr>
        <w:pStyle w:val="Prrafodelista"/>
        <w:numPr>
          <w:ilvl w:val="0"/>
          <w:numId w:val="8"/>
        </w:numPr>
        <w:spacing w:line="360" w:lineRule="auto"/>
        <w:jc w:val="both"/>
        <w:rPr>
          <w:rFonts w:ascii="Times New Roman" w:hAnsi="Times New Roman" w:cs="Times New Roman"/>
          <w:sz w:val="24"/>
        </w:rPr>
      </w:pPr>
      <w:r>
        <w:rPr>
          <w:rFonts w:ascii="Times New Roman" w:hAnsi="Times New Roman" w:cs="Times New Roman"/>
          <w:sz w:val="24"/>
        </w:rPr>
        <w:t>El juez es el que se encargará de resolver ese carácter necesario o no de los bienes que el deudor ha establecido para él como necesarios para la continuidad empresarial.</w:t>
      </w:r>
    </w:p>
    <w:p w:rsidR="00B7795D" w:rsidRDefault="00EA2F9F" w:rsidP="008375A6">
      <w:pPr>
        <w:pStyle w:val="Prrafodelista"/>
        <w:numPr>
          <w:ilvl w:val="0"/>
          <w:numId w:val="8"/>
        </w:numPr>
        <w:spacing w:line="360" w:lineRule="auto"/>
        <w:jc w:val="both"/>
        <w:rPr>
          <w:rFonts w:ascii="Times New Roman" w:hAnsi="Times New Roman" w:cs="Times New Roman"/>
          <w:sz w:val="24"/>
        </w:rPr>
      </w:pPr>
      <w:r>
        <w:rPr>
          <w:rFonts w:ascii="Times New Roman" w:hAnsi="Times New Roman" w:cs="Times New Roman"/>
          <w:sz w:val="24"/>
        </w:rPr>
        <w:t>Las ejecuciones llevadas a cabo por los acreedores paralizaran el proceso sobre los bienes del deudor siempre que acrediten el 51% del pasivo que han apoyado la realización del acuerdo de financiación.</w:t>
      </w:r>
    </w:p>
    <w:p w:rsidR="003D7A90" w:rsidRDefault="003D7A90" w:rsidP="003D7A90">
      <w:pPr>
        <w:spacing w:line="360" w:lineRule="auto"/>
        <w:jc w:val="both"/>
        <w:rPr>
          <w:rFonts w:ascii="Times New Roman" w:hAnsi="Times New Roman" w:cs="Times New Roman"/>
          <w:sz w:val="24"/>
        </w:rPr>
      </w:pPr>
    </w:p>
    <w:p w:rsidR="003D7A90" w:rsidRDefault="003D7A90" w:rsidP="003D7A90">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En la </w:t>
      </w:r>
      <w:proofErr w:type="spellStart"/>
      <w:r>
        <w:rPr>
          <w:rFonts w:ascii="Times New Roman" w:hAnsi="Times New Roman" w:cs="Times New Roman"/>
          <w:sz w:val="24"/>
        </w:rPr>
        <w:t>Disp.Adic</w:t>
      </w:r>
      <w:proofErr w:type="spellEnd"/>
      <w:r>
        <w:rPr>
          <w:rFonts w:ascii="Times New Roman" w:hAnsi="Times New Roman" w:cs="Times New Roman"/>
          <w:sz w:val="24"/>
        </w:rPr>
        <w:t xml:space="preserve"> 4ª LC con respecto a la homologación judicial se elimina la regla del 75% en los casos de los acuerdos al cómputo de las mayorías necesarios y su extensión de los efectos a los acreedores que no participan o están en desacuerdo. </w:t>
      </w:r>
    </w:p>
    <w:p w:rsidR="003D7A90" w:rsidRPr="003D7A90" w:rsidRDefault="003D7A90" w:rsidP="003D7A90">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Otras </w:t>
      </w:r>
      <w:r w:rsidR="0049405D">
        <w:rPr>
          <w:rFonts w:ascii="Times New Roman" w:hAnsi="Times New Roman" w:cs="Times New Roman"/>
          <w:sz w:val="24"/>
        </w:rPr>
        <w:t>novedades</w:t>
      </w:r>
      <w:r w:rsidR="00E268EE">
        <w:rPr>
          <w:rFonts w:ascii="Times New Roman" w:hAnsi="Times New Roman" w:cs="Times New Roman"/>
          <w:sz w:val="24"/>
        </w:rPr>
        <w:t>introducidas son</w:t>
      </w:r>
      <w:r>
        <w:rPr>
          <w:rFonts w:ascii="Times New Roman" w:hAnsi="Times New Roman" w:cs="Times New Roman"/>
          <w:sz w:val="24"/>
        </w:rPr>
        <w:t xml:space="preserve">, por un </w:t>
      </w:r>
      <w:r w:rsidR="00E268EE">
        <w:rPr>
          <w:rFonts w:ascii="Times New Roman" w:hAnsi="Times New Roman" w:cs="Times New Roman"/>
          <w:sz w:val="24"/>
        </w:rPr>
        <w:t>lado,</w:t>
      </w:r>
      <w:r>
        <w:rPr>
          <w:rFonts w:ascii="Times New Roman" w:hAnsi="Times New Roman" w:cs="Times New Roman"/>
          <w:sz w:val="24"/>
        </w:rPr>
        <w:t xml:space="preserve"> el valor de la garantía real no podrá ser superior al que se haya pactado con respecto a la responsabilidad hipotecario y por otro lado</w:t>
      </w:r>
      <w:r w:rsidR="0049405D">
        <w:rPr>
          <w:rFonts w:ascii="Times New Roman" w:hAnsi="Times New Roman" w:cs="Times New Roman"/>
          <w:sz w:val="24"/>
        </w:rPr>
        <w:t xml:space="preserve">, no hará falta la intervención del experto independiente cuando </w:t>
      </w:r>
      <w:r w:rsidR="00373E00">
        <w:rPr>
          <w:rFonts w:ascii="Times New Roman" w:hAnsi="Times New Roman" w:cs="Times New Roman"/>
          <w:sz w:val="24"/>
        </w:rPr>
        <w:t>actué</w:t>
      </w:r>
      <w:r w:rsidR="0049405D">
        <w:rPr>
          <w:rFonts w:ascii="Times New Roman" w:hAnsi="Times New Roman" w:cs="Times New Roman"/>
          <w:sz w:val="24"/>
        </w:rPr>
        <w:t xml:space="preserve"> sobre efectivo, dinero electrónico….</w:t>
      </w:r>
    </w:p>
    <w:p w:rsidR="00115C0C" w:rsidRDefault="00115C0C" w:rsidP="003D7A90">
      <w:pPr>
        <w:spacing w:line="360" w:lineRule="auto"/>
        <w:jc w:val="both"/>
        <w:rPr>
          <w:rFonts w:ascii="Times New Roman" w:hAnsi="Times New Roman" w:cs="Times New Roman"/>
          <w:sz w:val="24"/>
        </w:rPr>
      </w:pPr>
    </w:p>
    <w:p w:rsidR="004610D0" w:rsidRDefault="004610D0" w:rsidP="00FD6022">
      <w:pPr>
        <w:spacing w:line="360" w:lineRule="auto"/>
        <w:jc w:val="both"/>
        <w:rPr>
          <w:rFonts w:ascii="Times New Roman" w:hAnsi="Times New Roman" w:cs="Times New Roman"/>
          <w:b/>
          <w:sz w:val="24"/>
        </w:rPr>
      </w:pPr>
    </w:p>
    <w:p w:rsidR="004610D0" w:rsidRDefault="004610D0" w:rsidP="00FD6022">
      <w:pPr>
        <w:spacing w:line="360" w:lineRule="auto"/>
        <w:jc w:val="both"/>
        <w:rPr>
          <w:rFonts w:ascii="Times New Roman" w:hAnsi="Times New Roman" w:cs="Times New Roman"/>
          <w:b/>
          <w:sz w:val="24"/>
        </w:rPr>
      </w:pPr>
    </w:p>
    <w:p w:rsidR="00F402C5" w:rsidRPr="000879DC" w:rsidRDefault="00E9746D" w:rsidP="00FD6022">
      <w:pPr>
        <w:spacing w:line="360" w:lineRule="auto"/>
        <w:jc w:val="both"/>
        <w:rPr>
          <w:rFonts w:ascii="Times New Roman" w:hAnsi="Times New Roman" w:cs="Times New Roman"/>
          <w:b/>
          <w:sz w:val="24"/>
        </w:rPr>
      </w:pPr>
      <w:r>
        <w:rPr>
          <w:rFonts w:ascii="Times New Roman" w:hAnsi="Times New Roman" w:cs="Times New Roman"/>
          <w:b/>
          <w:sz w:val="24"/>
        </w:rPr>
        <w:lastRenderedPageBreak/>
        <w:t xml:space="preserve">3. </w:t>
      </w:r>
      <w:r w:rsidR="00F402C5" w:rsidRPr="000879DC">
        <w:rPr>
          <w:rFonts w:ascii="Times New Roman" w:hAnsi="Times New Roman" w:cs="Times New Roman"/>
          <w:b/>
          <w:sz w:val="24"/>
        </w:rPr>
        <w:t>CONCEPTO Y TIPOLOGÍA.</w:t>
      </w:r>
    </w:p>
    <w:p w:rsidR="00F402C5" w:rsidRDefault="00E9746D" w:rsidP="00FD6022">
      <w:pPr>
        <w:spacing w:line="360" w:lineRule="auto"/>
        <w:jc w:val="both"/>
        <w:rPr>
          <w:rFonts w:ascii="Times New Roman" w:hAnsi="Times New Roman" w:cs="Times New Roman"/>
          <w:b/>
          <w:sz w:val="24"/>
        </w:rPr>
      </w:pPr>
      <w:r>
        <w:rPr>
          <w:rFonts w:ascii="Times New Roman" w:hAnsi="Times New Roman" w:cs="Times New Roman"/>
          <w:b/>
          <w:sz w:val="24"/>
        </w:rPr>
        <w:t>3</w:t>
      </w:r>
      <w:r w:rsidR="00F402C5" w:rsidRPr="000879DC">
        <w:rPr>
          <w:rFonts w:ascii="Times New Roman" w:hAnsi="Times New Roman" w:cs="Times New Roman"/>
          <w:b/>
          <w:sz w:val="24"/>
        </w:rPr>
        <w:t>.1. Concepto</w:t>
      </w:r>
      <w:r w:rsidR="00F402C5">
        <w:rPr>
          <w:rFonts w:ascii="Times New Roman" w:hAnsi="Times New Roman" w:cs="Times New Roman"/>
          <w:b/>
          <w:sz w:val="24"/>
        </w:rPr>
        <w:t xml:space="preserve"> y naturaleza jurídica</w:t>
      </w:r>
      <w:r w:rsidR="00F402C5" w:rsidRPr="000879DC">
        <w:rPr>
          <w:rFonts w:ascii="Times New Roman" w:hAnsi="Times New Roman" w:cs="Times New Roman"/>
          <w:b/>
          <w:sz w:val="24"/>
        </w:rPr>
        <w:t xml:space="preserve"> de</w:t>
      </w:r>
      <w:r w:rsidR="00472B1F">
        <w:rPr>
          <w:rFonts w:ascii="Times New Roman" w:hAnsi="Times New Roman" w:cs="Times New Roman"/>
          <w:b/>
          <w:sz w:val="24"/>
        </w:rPr>
        <w:t xml:space="preserve"> los</w:t>
      </w:r>
      <w:r w:rsidR="00F402C5" w:rsidRPr="000879DC">
        <w:rPr>
          <w:rFonts w:ascii="Times New Roman" w:hAnsi="Times New Roman" w:cs="Times New Roman"/>
          <w:b/>
          <w:sz w:val="24"/>
        </w:rPr>
        <w:t xml:space="preserve"> acuerdo</w:t>
      </w:r>
      <w:r w:rsidR="00472B1F">
        <w:rPr>
          <w:rFonts w:ascii="Times New Roman" w:hAnsi="Times New Roman" w:cs="Times New Roman"/>
          <w:b/>
          <w:sz w:val="24"/>
        </w:rPr>
        <w:t>s</w:t>
      </w:r>
      <w:r w:rsidR="00F402C5" w:rsidRPr="000879DC">
        <w:rPr>
          <w:rFonts w:ascii="Times New Roman" w:hAnsi="Times New Roman" w:cs="Times New Roman"/>
          <w:b/>
          <w:sz w:val="24"/>
        </w:rPr>
        <w:t xml:space="preserve"> de refinanciación</w:t>
      </w:r>
      <w:r w:rsidR="00F402C5">
        <w:rPr>
          <w:rFonts w:ascii="Times New Roman" w:hAnsi="Times New Roman" w:cs="Times New Roman"/>
          <w:b/>
          <w:sz w:val="24"/>
        </w:rPr>
        <w:t>.</w:t>
      </w:r>
    </w:p>
    <w:p w:rsidR="00F402C5" w:rsidRDefault="00F402C5" w:rsidP="00FD6022">
      <w:pPr>
        <w:spacing w:line="360" w:lineRule="auto"/>
        <w:ind w:firstLine="709"/>
        <w:jc w:val="both"/>
        <w:rPr>
          <w:rFonts w:ascii="Times New Roman" w:hAnsi="Times New Roman" w:cs="Times New Roman"/>
          <w:sz w:val="24"/>
        </w:rPr>
      </w:pPr>
      <w:r>
        <w:rPr>
          <w:rFonts w:ascii="Times New Roman" w:hAnsi="Times New Roman" w:cs="Times New Roman"/>
          <w:sz w:val="24"/>
        </w:rPr>
        <w:t>La LC (RCL 2003,1748) no se pronuncia con respecto a que es acuerdo de refinanciación. Por el contrario, se centra en establecer cuando estos convenios tendrán efectos previsto en la norma, es decir, cuales estarán tutelados en un supuesto eventual de concurso.</w:t>
      </w:r>
    </w:p>
    <w:p w:rsidR="00F402C5" w:rsidRDefault="00F402C5" w:rsidP="00FD6022">
      <w:pPr>
        <w:spacing w:line="360" w:lineRule="auto"/>
        <w:ind w:firstLine="709"/>
        <w:jc w:val="both"/>
        <w:rPr>
          <w:rFonts w:ascii="Times New Roman" w:hAnsi="Times New Roman" w:cs="Times New Roman"/>
          <w:sz w:val="24"/>
        </w:rPr>
      </w:pPr>
      <w:r>
        <w:rPr>
          <w:rFonts w:ascii="Times New Roman" w:hAnsi="Times New Roman" w:cs="Times New Roman"/>
          <w:sz w:val="24"/>
        </w:rPr>
        <w:t>Para algún autor</w:t>
      </w:r>
      <w:r>
        <w:rPr>
          <w:rStyle w:val="Refdenotaalpie"/>
          <w:rFonts w:ascii="Times New Roman" w:hAnsi="Times New Roman"/>
          <w:sz w:val="24"/>
        </w:rPr>
        <w:footnoteReference w:id="4"/>
      </w:r>
      <w:r>
        <w:rPr>
          <w:rFonts w:ascii="Times New Roman" w:hAnsi="Times New Roman" w:cs="Times New Roman"/>
          <w:sz w:val="24"/>
        </w:rPr>
        <w:t xml:space="preserve"> la LC (RCL 2003,1748) no da un concepto sobre acuerdo de refinanciación, solo se limita a indicar ciertas exigencias adicionales, por un </w:t>
      </w:r>
      <w:r w:rsidR="0068720C">
        <w:rPr>
          <w:rFonts w:ascii="Times New Roman" w:hAnsi="Times New Roman" w:cs="Times New Roman"/>
          <w:sz w:val="24"/>
        </w:rPr>
        <w:t>lado,</w:t>
      </w:r>
      <w:r>
        <w:rPr>
          <w:rFonts w:ascii="Times New Roman" w:hAnsi="Times New Roman" w:cs="Times New Roman"/>
          <w:sz w:val="24"/>
        </w:rPr>
        <w:t xml:space="preserve"> para proteger los acuerdos del riesgo de rescisión y por otro lado establecer las medidas de homologación judicial. Aunque, del texto literal de la ley podemos saber, desde un punto de vista objetivo, los acuerdos son una ampliación significativa de crédito por parte del deudor o también un cambio de las obligaciones ya contraídas, bien prorrogando el vencimiento, o bien determinar nuevas garantías, es decir, generando nuevas obligaciones sustituyéndolas por las ya existentes.</w:t>
      </w:r>
    </w:p>
    <w:p w:rsidR="00F402C5" w:rsidRDefault="00F402C5" w:rsidP="00FD6022">
      <w:pPr>
        <w:spacing w:line="360" w:lineRule="auto"/>
        <w:ind w:firstLine="709"/>
        <w:jc w:val="both"/>
        <w:rPr>
          <w:rFonts w:ascii="Times New Roman" w:hAnsi="Times New Roman" w:cs="Times New Roman"/>
          <w:sz w:val="24"/>
        </w:rPr>
      </w:pPr>
      <w:r>
        <w:rPr>
          <w:rFonts w:ascii="Times New Roman" w:hAnsi="Times New Roman" w:cs="Times New Roman"/>
          <w:sz w:val="24"/>
        </w:rPr>
        <w:t>Se ha afirmado por la doctrina</w:t>
      </w:r>
      <w:r>
        <w:rPr>
          <w:rStyle w:val="Refdenotaalpie"/>
          <w:rFonts w:ascii="Times New Roman" w:hAnsi="Times New Roman"/>
          <w:sz w:val="24"/>
        </w:rPr>
        <w:footnoteReference w:id="5"/>
      </w:r>
      <w:r>
        <w:rPr>
          <w:rFonts w:ascii="Times New Roman" w:hAnsi="Times New Roman" w:cs="Times New Roman"/>
          <w:sz w:val="24"/>
        </w:rPr>
        <w:t xml:space="preserve"> que los acuerdos de refinanciación se tratan de un acuerdo extrajudicial entre el deudor y sus acreedores ex artículo 1255</w:t>
      </w:r>
      <w:r w:rsidR="0068720C">
        <w:rPr>
          <w:rStyle w:val="Refdenotaalpie"/>
          <w:rFonts w:ascii="Times New Roman" w:hAnsi="Times New Roman" w:cs="Times New Roman"/>
          <w:sz w:val="24"/>
        </w:rPr>
        <w:footnoteReference w:id="6"/>
      </w:r>
      <w:r>
        <w:rPr>
          <w:rFonts w:ascii="Times New Roman" w:hAnsi="Times New Roman" w:cs="Times New Roman"/>
          <w:sz w:val="24"/>
        </w:rPr>
        <w:t xml:space="preserve"> del CC, a falta de regulación especial se aplicará el artículo de 1258</w:t>
      </w:r>
      <w:r w:rsidR="00814F72">
        <w:rPr>
          <w:rStyle w:val="Refdenotaalpie"/>
          <w:rFonts w:ascii="Times New Roman" w:hAnsi="Times New Roman" w:cs="Times New Roman"/>
          <w:sz w:val="24"/>
        </w:rPr>
        <w:footnoteReference w:id="7"/>
      </w:r>
      <w:r>
        <w:rPr>
          <w:rFonts w:ascii="Times New Roman" w:hAnsi="Times New Roman" w:cs="Times New Roman"/>
          <w:sz w:val="24"/>
        </w:rPr>
        <w:t xml:space="preserve"> del CC y 2</w:t>
      </w:r>
      <w:r w:rsidR="00814F72">
        <w:rPr>
          <w:rStyle w:val="Refdenotaalpie"/>
          <w:rFonts w:ascii="Times New Roman" w:hAnsi="Times New Roman" w:cs="Times New Roman"/>
          <w:sz w:val="24"/>
        </w:rPr>
        <w:footnoteReference w:id="8"/>
      </w:r>
      <w:r>
        <w:rPr>
          <w:rFonts w:ascii="Times New Roman" w:hAnsi="Times New Roman" w:cs="Times New Roman"/>
          <w:sz w:val="24"/>
        </w:rPr>
        <w:t xml:space="preserve"> del </w:t>
      </w:r>
      <w:proofErr w:type="spellStart"/>
      <w:r>
        <w:rPr>
          <w:rFonts w:ascii="Times New Roman" w:hAnsi="Times New Roman" w:cs="Times New Roman"/>
          <w:sz w:val="24"/>
        </w:rPr>
        <w:t>Ccom</w:t>
      </w:r>
      <w:proofErr w:type="spellEnd"/>
      <w:r>
        <w:rPr>
          <w:rFonts w:ascii="Times New Roman" w:hAnsi="Times New Roman" w:cs="Times New Roman"/>
          <w:sz w:val="24"/>
        </w:rPr>
        <w:t xml:space="preserve"> (LEG 1885,21).</w:t>
      </w:r>
    </w:p>
    <w:p w:rsidR="00F402C5" w:rsidRDefault="00F402C5" w:rsidP="00FD6022">
      <w:pPr>
        <w:spacing w:line="360" w:lineRule="auto"/>
        <w:ind w:firstLine="709"/>
        <w:jc w:val="both"/>
        <w:rPr>
          <w:rFonts w:ascii="Times New Roman" w:hAnsi="Times New Roman" w:cs="Times New Roman"/>
          <w:sz w:val="24"/>
        </w:rPr>
      </w:pPr>
      <w:r>
        <w:rPr>
          <w:rFonts w:ascii="Times New Roman" w:hAnsi="Times New Roman" w:cs="Times New Roman"/>
          <w:sz w:val="24"/>
        </w:rPr>
        <w:t>En otro lugar la misma autora</w:t>
      </w:r>
      <w:r>
        <w:rPr>
          <w:rStyle w:val="Refdenotaalpie"/>
          <w:rFonts w:ascii="Times New Roman" w:hAnsi="Times New Roman"/>
          <w:sz w:val="24"/>
        </w:rPr>
        <w:footnoteReference w:id="9"/>
      </w:r>
      <w:r>
        <w:rPr>
          <w:rFonts w:ascii="Times New Roman" w:hAnsi="Times New Roman" w:cs="Times New Roman"/>
          <w:sz w:val="24"/>
        </w:rPr>
        <w:t xml:space="preserve"> afirma que la protección se extiende a todos los acuerdos de refinanciación que el deudor sea o no empresario, se encuentre en insolvencia actual o inminente cuyo acuerdo que alcance con los acreedores sea conservativo y se acompañe de un plan de viabilidad para continuar con la actividad profesional o empresarial en el corto o medio plazo.</w:t>
      </w:r>
    </w:p>
    <w:p w:rsidR="00F402C5" w:rsidRDefault="00F402C5" w:rsidP="00FD6022">
      <w:pPr>
        <w:spacing w:line="360" w:lineRule="auto"/>
        <w:ind w:firstLine="709"/>
        <w:jc w:val="both"/>
        <w:rPr>
          <w:rFonts w:ascii="Times New Roman" w:hAnsi="Times New Roman" w:cs="Times New Roman"/>
          <w:sz w:val="24"/>
        </w:rPr>
      </w:pPr>
      <w:r>
        <w:rPr>
          <w:rFonts w:ascii="Times New Roman" w:hAnsi="Times New Roman" w:cs="Times New Roman"/>
          <w:sz w:val="24"/>
        </w:rPr>
        <w:lastRenderedPageBreak/>
        <w:t>Para otros autores</w:t>
      </w:r>
      <w:r>
        <w:rPr>
          <w:rStyle w:val="Refdenotaalpie"/>
          <w:rFonts w:ascii="Times New Roman" w:hAnsi="Times New Roman"/>
          <w:sz w:val="24"/>
        </w:rPr>
        <w:footnoteReference w:id="10"/>
      </w:r>
      <w:r>
        <w:rPr>
          <w:rFonts w:ascii="Times New Roman" w:hAnsi="Times New Roman" w:cs="Times New Roman"/>
          <w:sz w:val="24"/>
        </w:rPr>
        <w:t xml:space="preserve"> el acuerdo de refinanciación lo ha definido como el contrato amparado por el artículo 1255 CC, en el que un deudor o varios y un acreedor o varios, realizan un negocio jurídico que tienen como base y fundamento un plan de viabilidad, para procurar la viabilidad y continuidad empresarial del deudor, y así evitar la insolvencia o dificultades financieras.</w:t>
      </w:r>
    </w:p>
    <w:p w:rsidR="00F402C5" w:rsidRDefault="00F402C5" w:rsidP="00FD6022">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En cuanto al contenido de los acuerdos de refinanciación no es cerrado, sino abierto, amplio y flexible para así atender las diferentes necesidades para el caso concreto. </w:t>
      </w:r>
      <w:r w:rsidR="001A2BFA">
        <w:rPr>
          <w:rFonts w:ascii="Times New Roman" w:hAnsi="Times New Roman" w:cs="Times New Roman"/>
          <w:sz w:val="24"/>
        </w:rPr>
        <w:t xml:space="preserve">Contendrá una modificación de las obligaciones, como la de los plazos también, además se pueden asumir una gran variedad de pactos, como la cambiar la deuda en acciones o bien adjudicar bienes como forma de pago para la deuda, esa nueva liquidez – </w:t>
      </w:r>
      <w:proofErr w:type="spellStart"/>
      <w:r w:rsidR="001A2BFA">
        <w:rPr>
          <w:rFonts w:ascii="Times New Roman" w:hAnsi="Times New Roman" w:cs="Times New Roman"/>
          <w:sz w:val="24"/>
        </w:rPr>
        <w:t>freshmoney</w:t>
      </w:r>
      <w:proofErr w:type="spellEnd"/>
      <w:r w:rsidR="001A2BFA">
        <w:rPr>
          <w:rFonts w:ascii="Times New Roman" w:hAnsi="Times New Roman" w:cs="Times New Roman"/>
          <w:sz w:val="24"/>
        </w:rPr>
        <w:t xml:space="preserve"> - permite al </w:t>
      </w:r>
      <w:r w:rsidR="00FF0983">
        <w:rPr>
          <w:rFonts w:ascii="Times New Roman" w:hAnsi="Times New Roman" w:cs="Times New Roman"/>
          <w:sz w:val="24"/>
        </w:rPr>
        <w:t>deudor continuar</w:t>
      </w:r>
      <w:r w:rsidR="001A2BFA">
        <w:rPr>
          <w:rFonts w:ascii="Times New Roman" w:hAnsi="Times New Roman" w:cs="Times New Roman"/>
          <w:sz w:val="24"/>
        </w:rPr>
        <w:t xml:space="preserve"> con su negocio y responder frente a las deudas.</w:t>
      </w:r>
    </w:p>
    <w:p w:rsidR="001A2BFA" w:rsidRDefault="001A2BFA" w:rsidP="00FD6022">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Como se ha venido observando </w:t>
      </w:r>
      <w:r w:rsidR="00FF0983">
        <w:rPr>
          <w:rFonts w:ascii="Times New Roman" w:hAnsi="Times New Roman" w:cs="Times New Roman"/>
          <w:sz w:val="24"/>
        </w:rPr>
        <w:t>consiste</w:t>
      </w:r>
      <w:r>
        <w:rPr>
          <w:rFonts w:ascii="Times New Roman" w:hAnsi="Times New Roman" w:cs="Times New Roman"/>
          <w:sz w:val="24"/>
        </w:rPr>
        <w:t xml:space="preserve"> en una figura </w:t>
      </w:r>
      <w:r w:rsidR="00FF0983">
        <w:rPr>
          <w:rFonts w:ascii="Times New Roman" w:hAnsi="Times New Roman" w:cs="Times New Roman"/>
          <w:sz w:val="24"/>
        </w:rPr>
        <w:t>extraña en el sistema, con el objetivo de proteger a las entidades financieras frente al riesgo del concurso del acreditado y cuya naturaleza jurídica se trata de un contrato entre deudor y acreedor, con efectos que se llegan a extender a quienes no han formado parte de él o los que han ignorado su existencia</w:t>
      </w:r>
      <w:r w:rsidR="00FF0983">
        <w:rPr>
          <w:rStyle w:val="Refdenotaalpie"/>
          <w:rFonts w:ascii="Times New Roman" w:hAnsi="Times New Roman" w:cs="Times New Roman"/>
          <w:sz w:val="24"/>
        </w:rPr>
        <w:footnoteReference w:id="11"/>
      </w:r>
      <w:r w:rsidR="00FF0983">
        <w:rPr>
          <w:rFonts w:ascii="Times New Roman" w:hAnsi="Times New Roman" w:cs="Times New Roman"/>
          <w:sz w:val="24"/>
        </w:rPr>
        <w:t>.</w:t>
      </w:r>
    </w:p>
    <w:p w:rsidR="00472B1F" w:rsidRDefault="00472B1F" w:rsidP="00FD6022">
      <w:pPr>
        <w:spacing w:line="360" w:lineRule="auto"/>
        <w:ind w:firstLine="709"/>
        <w:jc w:val="both"/>
        <w:rPr>
          <w:rFonts w:ascii="Times New Roman" w:hAnsi="Times New Roman" w:cs="Times New Roman"/>
          <w:sz w:val="24"/>
        </w:rPr>
      </w:pPr>
    </w:p>
    <w:p w:rsidR="00472B1F" w:rsidRDefault="00E9746D" w:rsidP="00FD6022">
      <w:pPr>
        <w:spacing w:line="360" w:lineRule="auto"/>
        <w:jc w:val="both"/>
        <w:rPr>
          <w:rFonts w:ascii="Times New Roman" w:hAnsi="Times New Roman" w:cs="Times New Roman"/>
          <w:b/>
          <w:sz w:val="24"/>
        </w:rPr>
      </w:pPr>
      <w:r>
        <w:rPr>
          <w:rFonts w:ascii="Times New Roman" w:hAnsi="Times New Roman" w:cs="Times New Roman"/>
          <w:b/>
          <w:sz w:val="24"/>
        </w:rPr>
        <w:t>3</w:t>
      </w:r>
      <w:r w:rsidR="00472B1F">
        <w:rPr>
          <w:rFonts w:ascii="Times New Roman" w:hAnsi="Times New Roman" w:cs="Times New Roman"/>
          <w:b/>
          <w:sz w:val="24"/>
        </w:rPr>
        <w:t>.2. Tipos de acuerdos de refinanciación.</w:t>
      </w:r>
    </w:p>
    <w:p w:rsidR="00F402C5" w:rsidRDefault="00472B1F" w:rsidP="00FD6022">
      <w:pPr>
        <w:spacing w:line="360" w:lineRule="auto"/>
        <w:ind w:firstLine="709"/>
        <w:jc w:val="both"/>
        <w:rPr>
          <w:rFonts w:ascii="Times New Roman" w:hAnsi="Times New Roman" w:cs="Times New Roman"/>
          <w:sz w:val="24"/>
        </w:rPr>
      </w:pPr>
      <w:r>
        <w:rPr>
          <w:rFonts w:ascii="Times New Roman" w:hAnsi="Times New Roman" w:cs="Times New Roman"/>
          <w:sz w:val="24"/>
        </w:rPr>
        <w:t>Se ha señalado</w:t>
      </w:r>
      <w:r>
        <w:rPr>
          <w:rStyle w:val="Refdenotaalpie"/>
          <w:rFonts w:ascii="Times New Roman" w:hAnsi="Times New Roman" w:cs="Times New Roman"/>
          <w:sz w:val="24"/>
        </w:rPr>
        <w:footnoteReference w:id="12"/>
      </w:r>
      <w:r>
        <w:rPr>
          <w:rFonts w:ascii="Times New Roman" w:hAnsi="Times New Roman" w:cs="Times New Roman"/>
          <w:sz w:val="24"/>
        </w:rPr>
        <w:t xml:space="preserve"> que una de las innovaciones más destacadas en la última reforma se trata de la complejidad y variedad de dichos acuerdos, configurándose varios tipos de acuerdos y así creando diferentes vías </w:t>
      </w:r>
      <w:r w:rsidR="00FD6022">
        <w:rPr>
          <w:rFonts w:ascii="Times New Roman" w:hAnsi="Times New Roman" w:cs="Times New Roman"/>
          <w:sz w:val="24"/>
        </w:rPr>
        <w:t>que hagan posible la continuidad de la actividad mediante la celebración del acuerdo que permita ajustarse a cada supuesto.</w:t>
      </w:r>
    </w:p>
    <w:p w:rsidR="006245E4" w:rsidRDefault="00057EDC" w:rsidP="00031EB7">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Tras los cambios introducidos en la LC </w:t>
      </w:r>
      <w:r w:rsidR="00383325" w:rsidRPr="00057EDC">
        <w:rPr>
          <w:rFonts w:ascii="Times New Roman" w:hAnsi="Times New Roman" w:cs="Times New Roman"/>
          <w:sz w:val="24"/>
        </w:rPr>
        <w:t>(RCL</w:t>
      </w:r>
      <w:r w:rsidRPr="00057EDC">
        <w:rPr>
          <w:rFonts w:ascii="Times New Roman" w:hAnsi="Times New Roman" w:cs="Times New Roman"/>
          <w:sz w:val="24"/>
        </w:rPr>
        <w:t xml:space="preserve"> 2003, </w:t>
      </w:r>
      <w:r w:rsidR="00383325" w:rsidRPr="00057EDC">
        <w:rPr>
          <w:rFonts w:ascii="Times New Roman" w:hAnsi="Times New Roman" w:cs="Times New Roman"/>
          <w:sz w:val="24"/>
        </w:rPr>
        <w:t>1748) por</w:t>
      </w:r>
      <w:r>
        <w:rPr>
          <w:rFonts w:ascii="Times New Roman" w:hAnsi="Times New Roman" w:cs="Times New Roman"/>
          <w:sz w:val="24"/>
        </w:rPr>
        <w:t xml:space="preserve"> la LRR </w:t>
      </w:r>
      <w:r w:rsidR="00383325">
        <w:rPr>
          <w:rFonts w:ascii="Times New Roman" w:hAnsi="Times New Roman" w:cs="Times New Roman"/>
          <w:sz w:val="24"/>
        </w:rPr>
        <w:t>(RCL</w:t>
      </w:r>
      <w:r>
        <w:rPr>
          <w:rFonts w:ascii="Times New Roman" w:hAnsi="Times New Roman" w:cs="Times New Roman"/>
          <w:sz w:val="24"/>
        </w:rPr>
        <w:t xml:space="preserve"> 2014,1291) y el RDRR </w:t>
      </w:r>
      <w:r w:rsidR="00383325">
        <w:rPr>
          <w:rFonts w:ascii="Times New Roman" w:hAnsi="Times New Roman" w:cs="Times New Roman"/>
          <w:sz w:val="24"/>
        </w:rPr>
        <w:t>(RCL</w:t>
      </w:r>
      <w:r>
        <w:rPr>
          <w:rFonts w:ascii="Times New Roman" w:hAnsi="Times New Roman" w:cs="Times New Roman"/>
          <w:sz w:val="24"/>
        </w:rPr>
        <w:t xml:space="preserve"> 2014,340), permiten establecer los siguientes tipos de acuerdos de refinanciación</w:t>
      </w:r>
      <w:r>
        <w:rPr>
          <w:rStyle w:val="Refdenotaalpie"/>
          <w:rFonts w:ascii="Times New Roman" w:hAnsi="Times New Roman" w:cs="Times New Roman"/>
          <w:sz w:val="24"/>
        </w:rPr>
        <w:footnoteReference w:id="13"/>
      </w:r>
      <w:r>
        <w:rPr>
          <w:rFonts w:ascii="Times New Roman" w:hAnsi="Times New Roman" w:cs="Times New Roman"/>
          <w:sz w:val="24"/>
        </w:rPr>
        <w:t>.</w:t>
      </w:r>
    </w:p>
    <w:p w:rsidR="00057EDC" w:rsidRDefault="00E9746D" w:rsidP="00057EDC">
      <w:pPr>
        <w:spacing w:line="360" w:lineRule="auto"/>
        <w:jc w:val="both"/>
        <w:rPr>
          <w:rFonts w:ascii="Times New Roman" w:hAnsi="Times New Roman" w:cs="Times New Roman"/>
          <w:b/>
          <w:sz w:val="24"/>
        </w:rPr>
      </w:pPr>
      <w:r>
        <w:rPr>
          <w:rFonts w:ascii="Times New Roman" w:hAnsi="Times New Roman" w:cs="Times New Roman"/>
          <w:b/>
          <w:sz w:val="24"/>
        </w:rPr>
        <w:lastRenderedPageBreak/>
        <w:t>3</w:t>
      </w:r>
      <w:r w:rsidR="00057EDC">
        <w:rPr>
          <w:rFonts w:ascii="Times New Roman" w:hAnsi="Times New Roman" w:cs="Times New Roman"/>
          <w:b/>
          <w:sz w:val="24"/>
        </w:rPr>
        <w:t>.2.1. Típicos.</w:t>
      </w:r>
    </w:p>
    <w:p w:rsidR="00057EDC" w:rsidRDefault="00057EDC" w:rsidP="00057EDC">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Los acuerdos de refinanciación típicos son aquellos </w:t>
      </w:r>
      <w:r w:rsidR="00C32E68">
        <w:rPr>
          <w:rFonts w:ascii="Times New Roman" w:hAnsi="Times New Roman" w:cs="Times New Roman"/>
          <w:sz w:val="24"/>
        </w:rPr>
        <w:t xml:space="preserve">que cumplen todos los requisitos del art 71 bis de la LC </w:t>
      </w:r>
      <w:r w:rsidR="00383325">
        <w:rPr>
          <w:rFonts w:ascii="Times New Roman" w:hAnsi="Times New Roman" w:cs="Times New Roman"/>
          <w:sz w:val="24"/>
        </w:rPr>
        <w:t>(RCL</w:t>
      </w:r>
      <w:r w:rsidR="00C32E68">
        <w:rPr>
          <w:rFonts w:ascii="Times New Roman" w:hAnsi="Times New Roman" w:cs="Times New Roman"/>
          <w:sz w:val="24"/>
        </w:rPr>
        <w:t xml:space="preserve"> 2003, </w:t>
      </w:r>
      <w:r w:rsidR="00383325">
        <w:rPr>
          <w:rFonts w:ascii="Times New Roman" w:hAnsi="Times New Roman" w:cs="Times New Roman"/>
          <w:sz w:val="24"/>
        </w:rPr>
        <w:t>1748)</w:t>
      </w:r>
      <w:r w:rsidR="00C32E68">
        <w:rPr>
          <w:rFonts w:ascii="Times New Roman" w:hAnsi="Times New Roman" w:cs="Times New Roman"/>
          <w:sz w:val="24"/>
        </w:rPr>
        <w:t>.</w:t>
      </w:r>
      <w:r w:rsidR="00DC740A">
        <w:rPr>
          <w:rFonts w:ascii="Times New Roman" w:hAnsi="Times New Roman" w:cs="Times New Roman"/>
          <w:sz w:val="24"/>
        </w:rPr>
        <w:t xml:space="preserve"> A la hora de la práctica son los </w:t>
      </w:r>
      <w:r w:rsidR="00BD2D4B">
        <w:rPr>
          <w:rFonts w:ascii="Times New Roman" w:hAnsi="Times New Roman" w:cs="Times New Roman"/>
          <w:sz w:val="24"/>
        </w:rPr>
        <w:t xml:space="preserve">más </w:t>
      </w:r>
      <w:r w:rsidR="00514865">
        <w:rPr>
          <w:rFonts w:ascii="Times New Roman" w:hAnsi="Times New Roman" w:cs="Times New Roman"/>
          <w:sz w:val="24"/>
        </w:rPr>
        <w:t>utilizados,</w:t>
      </w:r>
      <w:r w:rsidR="00DC740A">
        <w:rPr>
          <w:rFonts w:ascii="Times New Roman" w:hAnsi="Times New Roman" w:cs="Times New Roman"/>
          <w:sz w:val="24"/>
        </w:rPr>
        <w:t xml:space="preserve"> debido a que son los únicos que otorgan garantías para los acreedores en lugar de poder verse </w:t>
      </w:r>
      <w:r w:rsidR="00BD2D4B">
        <w:rPr>
          <w:rFonts w:ascii="Times New Roman" w:hAnsi="Times New Roman" w:cs="Times New Roman"/>
          <w:sz w:val="24"/>
        </w:rPr>
        <w:t>indefenso</w:t>
      </w:r>
      <w:r w:rsidR="00DC740A">
        <w:rPr>
          <w:rFonts w:ascii="Times New Roman" w:hAnsi="Times New Roman" w:cs="Times New Roman"/>
          <w:sz w:val="24"/>
        </w:rPr>
        <w:t xml:space="preserve"> en caso de declaración por parte del deudor de una situación concursal. Dentro de estos acuerdos además pueden distinguirse:</w:t>
      </w:r>
    </w:p>
    <w:p w:rsidR="00383325" w:rsidRPr="006245E4" w:rsidRDefault="0075293E" w:rsidP="00DC740A">
      <w:pPr>
        <w:spacing w:line="360" w:lineRule="auto"/>
        <w:jc w:val="both"/>
        <w:rPr>
          <w:rFonts w:ascii="Times New Roman" w:hAnsi="Times New Roman" w:cs="Times New Roman"/>
          <w:sz w:val="24"/>
          <w:u w:val="single"/>
        </w:rPr>
      </w:pPr>
      <w:r w:rsidRPr="003641EC">
        <w:rPr>
          <w:rFonts w:ascii="Times New Roman" w:hAnsi="Times New Roman" w:cs="Times New Roman"/>
          <w:sz w:val="24"/>
        </w:rPr>
        <w:t>A</w:t>
      </w:r>
      <w:r w:rsidR="00DC740A" w:rsidRPr="003641EC">
        <w:rPr>
          <w:rFonts w:ascii="Times New Roman" w:hAnsi="Times New Roman" w:cs="Times New Roman"/>
          <w:sz w:val="24"/>
        </w:rPr>
        <w:t xml:space="preserve">) </w:t>
      </w:r>
      <w:r w:rsidR="00DC740A" w:rsidRPr="006245E4">
        <w:rPr>
          <w:rFonts w:ascii="Times New Roman" w:hAnsi="Times New Roman" w:cs="Times New Roman"/>
          <w:sz w:val="24"/>
          <w:u w:val="single"/>
        </w:rPr>
        <w:t>Colectivos:</w:t>
      </w:r>
    </w:p>
    <w:p w:rsidR="00DC740A" w:rsidRDefault="00514865" w:rsidP="00DC740A">
      <w:pPr>
        <w:spacing w:line="360" w:lineRule="auto"/>
        <w:ind w:firstLine="709"/>
        <w:jc w:val="both"/>
        <w:rPr>
          <w:rFonts w:ascii="Times New Roman" w:hAnsi="Times New Roman" w:cs="Times New Roman"/>
          <w:sz w:val="24"/>
        </w:rPr>
      </w:pPr>
      <w:r w:rsidRPr="00514865">
        <w:rPr>
          <w:rFonts w:ascii="Times New Roman" w:hAnsi="Times New Roman" w:cs="Times New Roman"/>
          <w:sz w:val="24"/>
        </w:rPr>
        <w:t>Estos acuerdos pueden ser denominados por otros autores como acuerdos de mayoría cualificada</w:t>
      </w:r>
      <w:r>
        <w:rPr>
          <w:rStyle w:val="Refdenotaalpie"/>
          <w:rFonts w:ascii="Times New Roman" w:hAnsi="Times New Roman" w:cs="Times New Roman"/>
          <w:sz w:val="24"/>
        </w:rPr>
        <w:footnoteReference w:id="14"/>
      </w:r>
      <w:r w:rsidRPr="00514865">
        <w:rPr>
          <w:rFonts w:ascii="Times New Roman" w:hAnsi="Times New Roman" w:cs="Times New Roman"/>
          <w:sz w:val="24"/>
        </w:rPr>
        <w:t>.</w:t>
      </w:r>
      <w:r w:rsidR="00DC740A">
        <w:rPr>
          <w:rFonts w:ascii="Times New Roman" w:hAnsi="Times New Roman" w:cs="Times New Roman"/>
          <w:sz w:val="24"/>
        </w:rPr>
        <w:t>Son los acuerdos más utilizados en la práctica, deben cumplir los requisitos del art 7</w:t>
      </w:r>
      <w:r w:rsidR="00DC3F00">
        <w:rPr>
          <w:rFonts w:ascii="Times New Roman" w:hAnsi="Times New Roman" w:cs="Times New Roman"/>
          <w:sz w:val="24"/>
        </w:rPr>
        <w:t>1</w:t>
      </w:r>
      <w:r w:rsidR="00DC740A">
        <w:rPr>
          <w:rFonts w:ascii="Times New Roman" w:hAnsi="Times New Roman" w:cs="Times New Roman"/>
          <w:sz w:val="24"/>
        </w:rPr>
        <w:t xml:space="preserve"> bis 1 de </w:t>
      </w:r>
      <w:r w:rsidR="00383325">
        <w:rPr>
          <w:rFonts w:ascii="Times New Roman" w:hAnsi="Times New Roman" w:cs="Times New Roman"/>
          <w:sz w:val="24"/>
        </w:rPr>
        <w:t>la LC</w:t>
      </w:r>
      <w:r w:rsidR="00DC740A">
        <w:rPr>
          <w:rFonts w:ascii="Times New Roman" w:hAnsi="Times New Roman" w:cs="Times New Roman"/>
          <w:sz w:val="24"/>
        </w:rPr>
        <w:t>, por el cual se procede a la ampliación del crédito disponible o extinción o modificación de sus obligaciones, mediante l</w:t>
      </w:r>
      <w:r w:rsidR="00383325">
        <w:rPr>
          <w:rFonts w:ascii="Times New Roman" w:hAnsi="Times New Roman" w:cs="Times New Roman"/>
          <w:sz w:val="24"/>
        </w:rPr>
        <w:t>aprorrogación del plazo de vencimiento o establecimientos de nuevas obligaciones en sustitución de las ya contraídas, respondiendo al plan de viabilidad y además suponga la continuidad de la actividad empresarial a medio y a corto plazo.</w:t>
      </w:r>
    </w:p>
    <w:p w:rsidR="00383325" w:rsidRDefault="00383325" w:rsidP="00DC740A">
      <w:pPr>
        <w:spacing w:line="360" w:lineRule="auto"/>
        <w:ind w:firstLine="709"/>
        <w:jc w:val="both"/>
        <w:rPr>
          <w:rFonts w:ascii="Times New Roman" w:hAnsi="Times New Roman" w:cs="Times New Roman"/>
          <w:sz w:val="24"/>
        </w:rPr>
      </w:pPr>
      <w:r>
        <w:rPr>
          <w:rFonts w:ascii="Times New Roman" w:hAnsi="Times New Roman" w:cs="Times New Roman"/>
          <w:sz w:val="24"/>
        </w:rPr>
        <w:t>Anteriormente a la declaración de la situación concursal, el acuerdo debe ser inscrito por acreedores cuyos créditos supongan tres quintos del pasivo del deudor en el momento de la adopción de dicho acuerdo.</w:t>
      </w:r>
      <w:r w:rsidR="00514865">
        <w:rPr>
          <w:rFonts w:ascii="Times New Roman" w:hAnsi="Times New Roman" w:cs="Times New Roman"/>
          <w:sz w:val="24"/>
        </w:rPr>
        <w:t xml:space="preserve"> En caso de acuerdos de grupo, el porcentaje se calcula en base individual, en relación con todas y cada una de las sociedades afectadas, y en base consolidada, en relación con los créditos de cada grupo afectado, en ambos casos se procederá a excluir los préstamos entregados por la sociedad del grupo.</w:t>
      </w:r>
      <w:r w:rsidR="002F35C1">
        <w:rPr>
          <w:rFonts w:ascii="Times New Roman" w:hAnsi="Times New Roman" w:cs="Times New Roman"/>
          <w:sz w:val="24"/>
        </w:rPr>
        <w:t xml:space="preserve"> El auditor de cuentas debe emitir un certificado sobre la suficiencia del pasivo para adoptar el acuerdo.</w:t>
      </w:r>
    </w:p>
    <w:p w:rsidR="002F35C1" w:rsidRDefault="002F35C1" w:rsidP="00DC740A">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Anteriormente al (RCL 2014/340), ya se regulaban estos tipos de </w:t>
      </w:r>
      <w:r w:rsidR="00373E00">
        <w:rPr>
          <w:rFonts w:ascii="Times New Roman" w:hAnsi="Times New Roman" w:cs="Times New Roman"/>
          <w:sz w:val="24"/>
        </w:rPr>
        <w:t>acuerdos,</w:t>
      </w:r>
      <w:r>
        <w:rPr>
          <w:rFonts w:ascii="Times New Roman" w:hAnsi="Times New Roman" w:cs="Times New Roman"/>
          <w:sz w:val="24"/>
        </w:rPr>
        <w:t xml:space="preserve"> pero en lugar del certificado del auditor se utilizaba un informe de un experto independiente.</w:t>
      </w:r>
    </w:p>
    <w:p w:rsidR="0098167B" w:rsidRDefault="0098167B" w:rsidP="006245E4">
      <w:pPr>
        <w:spacing w:line="360" w:lineRule="auto"/>
        <w:jc w:val="both"/>
        <w:rPr>
          <w:rFonts w:ascii="Times New Roman" w:hAnsi="Times New Roman" w:cs="Times New Roman"/>
          <w:sz w:val="24"/>
        </w:rPr>
      </w:pPr>
    </w:p>
    <w:p w:rsidR="0098167B" w:rsidRDefault="0098167B" w:rsidP="006245E4">
      <w:pPr>
        <w:spacing w:line="360" w:lineRule="auto"/>
        <w:jc w:val="both"/>
        <w:rPr>
          <w:rFonts w:ascii="Times New Roman" w:hAnsi="Times New Roman" w:cs="Times New Roman"/>
          <w:sz w:val="24"/>
        </w:rPr>
      </w:pPr>
    </w:p>
    <w:p w:rsidR="0098167B" w:rsidRDefault="0098167B" w:rsidP="006245E4">
      <w:pPr>
        <w:spacing w:line="360" w:lineRule="auto"/>
        <w:jc w:val="both"/>
        <w:rPr>
          <w:rFonts w:ascii="Times New Roman" w:hAnsi="Times New Roman" w:cs="Times New Roman"/>
          <w:sz w:val="24"/>
        </w:rPr>
      </w:pPr>
    </w:p>
    <w:p w:rsidR="0098167B" w:rsidRDefault="0098167B" w:rsidP="006245E4">
      <w:pPr>
        <w:spacing w:line="360" w:lineRule="auto"/>
        <w:jc w:val="both"/>
        <w:rPr>
          <w:rFonts w:ascii="Times New Roman" w:hAnsi="Times New Roman" w:cs="Times New Roman"/>
          <w:sz w:val="24"/>
        </w:rPr>
      </w:pPr>
    </w:p>
    <w:p w:rsidR="006245E4" w:rsidRPr="006245E4" w:rsidRDefault="0075293E" w:rsidP="006245E4">
      <w:pPr>
        <w:spacing w:line="360" w:lineRule="auto"/>
        <w:jc w:val="both"/>
        <w:rPr>
          <w:rFonts w:ascii="Times New Roman" w:hAnsi="Times New Roman" w:cs="Times New Roman"/>
          <w:sz w:val="24"/>
          <w:u w:val="single"/>
        </w:rPr>
      </w:pPr>
      <w:r w:rsidRPr="00D87E7C">
        <w:rPr>
          <w:rFonts w:ascii="Times New Roman" w:hAnsi="Times New Roman" w:cs="Times New Roman"/>
          <w:sz w:val="24"/>
        </w:rPr>
        <w:lastRenderedPageBreak/>
        <w:t>B</w:t>
      </w:r>
      <w:r w:rsidR="006245E4" w:rsidRPr="00D87E7C">
        <w:rPr>
          <w:rFonts w:ascii="Times New Roman" w:hAnsi="Times New Roman" w:cs="Times New Roman"/>
          <w:sz w:val="24"/>
        </w:rPr>
        <w:t>)</w:t>
      </w:r>
      <w:r w:rsidR="00031EB7">
        <w:rPr>
          <w:rFonts w:ascii="Times New Roman" w:hAnsi="Times New Roman" w:cs="Times New Roman"/>
          <w:sz w:val="24"/>
        </w:rPr>
        <w:t xml:space="preserve"> </w:t>
      </w:r>
      <w:r w:rsidR="006245E4" w:rsidRPr="006245E4">
        <w:rPr>
          <w:rFonts w:ascii="Times New Roman" w:hAnsi="Times New Roman" w:cs="Times New Roman"/>
          <w:sz w:val="24"/>
          <w:u w:val="single"/>
        </w:rPr>
        <w:t>No colectivos, que pueden ser singulares:</w:t>
      </w:r>
    </w:p>
    <w:p w:rsidR="00EC5AF0" w:rsidRDefault="006245E4" w:rsidP="00EC5AF0">
      <w:pPr>
        <w:spacing w:line="360" w:lineRule="auto"/>
        <w:ind w:firstLine="709"/>
        <w:jc w:val="both"/>
        <w:rPr>
          <w:rFonts w:ascii="Times New Roman" w:hAnsi="Times New Roman" w:cs="Times New Roman"/>
          <w:sz w:val="24"/>
        </w:rPr>
      </w:pPr>
      <w:r>
        <w:rPr>
          <w:rFonts w:ascii="Times New Roman" w:hAnsi="Times New Roman" w:cs="Times New Roman"/>
          <w:sz w:val="24"/>
        </w:rPr>
        <w:t>Estos acuerdos han sido introducidos por el RDRR (RCL 2014/340), dando lugar a una nueva redacción del art 71 bis 2. Otros autores lo han denominado como de contenido cualificado</w:t>
      </w:r>
      <w:r>
        <w:rPr>
          <w:rStyle w:val="Refdenotaalpie"/>
          <w:rFonts w:ascii="Times New Roman" w:hAnsi="Times New Roman" w:cs="Times New Roman"/>
          <w:sz w:val="24"/>
        </w:rPr>
        <w:footnoteReference w:id="15"/>
      </w:r>
      <w:r>
        <w:rPr>
          <w:rFonts w:ascii="Times New Roman" w:hAnsi="Times New Roman" w:cs="Times New Roman"/>
          <w:sz w:val="24"/>
        </w:rPr>
        <w:t>.</w:t>
      </w:r>
    </w:p>
    <w:p w:rsidR="006245E4" w:rsidRDefault="006245E4" w:rsidP="00EC5AF0">
      <w:pPr>
        <w:spacing w:line="360" w:lineRule="auto"/>
        <w:ind w:firstLine="709"/>
        <w:jc w:val="both"/>
        <w:rPr>
          <w:rFonts w:ascii="Times New Roman" w:hAnsi="Times New Roman" w:cs="Times New Roman"/>
          <w:sz w:val="24"/>
        </w:rPr>
      </w:pPr>
      <w:r>
        <w:rPr>
          <w:rFonts w:ascii="Times New Roman" w:hAnsi="Times New Roman" w:cs="Times New Roman"/>
          <w:sz w:val="24"/>
        </w:rPr>
        <w:t>En estos acuerdos los requisitos cobran un papel importante</w:t>
      </w:r>
      <w:r w:rsidR="00EC5AF0">
        <w:rPr>
          <w:rFonts w:ascii="Times New Roman" w:hAnsi="Times New Roman" w:cs="Times New Roman"/>
          <w:sz w:val="24"/>
        </w:rPr>
        <w:t xml:space="preserve"> y se regulan con gran detalle para asegurar el acuerdo, y que el acreedor de ofrece financiar no consiga ventajas infundadas. Lo que intenta el legislador es evitar que el acreedor se aproveche de la situación por la que atraviesa el deudor por las dificultades económicas, pudiendo generar ciertos perjuicios a los demás acreedores.</w:t>
      </w:r>
    </w:p>
    <w:p w:rsidR="00EC5AF0" w:rsidRDefault="00EC5AF0" w:rsidP="00EC5AF0">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Estos acuerdos que se hayan realizado </w:t>
      </w:r>
      <w:r w:rsidR="009A4529">
        <w:rPr>
          <w:rFonts w:ascii="Times New Roman" w:hAnsi="Times New Roman" w:cs="Times New Roman"/>
          <w:sz w:val="24"/>
        </w:rPr>
        <w:t>en ejecución del acuerdo deben cumplir ciertos requisitos:</w:t>
      </w:r>
    </w:p>
    <w:p w:rsidR="009A4529" w:rsidRDefault="009A4529" w:rsidP="009A4529">
      <w:pPr>
        <w:pStyle w:val="Prrafodelista"/>
        <w:numPr>
          <w:ilvl w:val="0"/>
          <w:numId w:val="1"/>
        </w:numPr>
        <w:spacing w:line="360" w:lineRule="auto"/>
        <w:jc w:val="both"/>
        <w:rPr>
          <w:rFonts w:ascii="Times New Roman" w:hAnsi="Times New Roman" w:cs="Times New Roman"/>
          <w:sz w:val="24"/>
        </w:rPr>
      </w:pPr>
      <w:r>
        <w:rPr>
          <w:rFonts w:ascii="Times New Roman" w:hAnsi="Times New Roman" w:cs="Times New Roman"/>
          <w:sz w:val="24"/>
        </w:rPr>
        <w:t>Previamente se debe de incrementar la proporción de activo sobre el pasivo, se pude mediante un préstamo o por una dación en pago, o también mediante la combinación de distintas opciones…</w:t>
      </w:r>
    </w:p>
    <w:p w:rsidR="009A4529" w:rsidRDefault="009A4529" w:rsidP="009A4529">
      <w:pPr>
        <w:pStyle w:val="Prrafodelista"/>
        <w:numPr>
          <w:ilvl w:val="0"/>
          <w:numId w:val="1"/>
        </w:numPr>
        <w:spacing w:line="360" w:lineRule="auto"/>
        <w:jc w:val="both"/>
        <w:rPr>
          <w:rFonts w:ascii="Times New Roman" w:hAnsi="Times New Roman" w:cs="Times New Roman"/>
          <w:sz w:val="24"/>
        </w:rPr>
      </w:pPr>
      <w:r>
        <w:rPr>
          <w:rFonts w:ascii="Times New Roman" w:hAnsi="Times New Roman" w:cs="Times New Roman"/>
          <w:sz w:val="24"/>
        </w:rPr>
        <w:t>El activo tiene que ser</w:t>
      </w:r>
      <w:r w:rsidR="00ED5255">
        <w:rPr>
          <w:rFonts w:ascii="Times New Roman" w:hAnsi="Times New Roman" w:cs="Times New Roman"/>
          <w:sz w:val="24"/>
        </w:rPr>
        <w:t xml:space="preserve"> superior o igual al pasivo, es decir, los activos que se vayan a hacer en un plazo menor de un año deben ser superior a los pasivos que vayan a vencer en ese plazo.</w:t>
      </w:r>
    </w:p>
    <w:p w:rsidR="00E361C2" w:rsidRDefault="00E361C2" w:rsidP="009A4529">
      <w:pPr>
        <w:pStyle w:val="Prrafodelista"/>
        <w:numPr>
          <w:ilvl w:val="0"/>
          <w:numId w:val="1"/>
        </w:numPr>
        <w:spacing w:line="360" w:lineRule="auto"/>
        <w:jc w:val="both"/>
        <w:rPr>
          <w:rFonts w:ascii="Times New Roman" w:hAnsi="Times New Roman" w:cs="Times New Roman"/>
          <w:sz w:val="24"/>
        </w:rPr>
      </w:pPr>
      <w:r>
        <w:rPr>
          <w:rFonts w:ascii="Times New Roman" w:hAnsi="Times New Roman" w:cs="Times New Roman"/>
          <w:sz w:val="24"/>
        </w:rPr>
        <w:t>El valor de las garantías resultantes a favor de los acreedores no pude exceder los nueve décimos del valor de la deuda.</w:t>
      </w:r>
    </w:p>
    <w:p w:rsidR="00E361C2" w:rsidRDefault="00E361C2" w:rsidP="009A4529">
      <w:pPr>
        <w:pStyle w:val="Prrafodelista"/>
        <w:numPr>
          <w:ilvl w:val="0"/>
          <w:numId w:val="1"/>
        </w:numPr>
        <w:spacing w:line="360" w:lineRule="auto"/>
        <w:jc w:val="both"/>
        <w:rPr>
          <w:rFonts w:ascii="Times New Roman" w:hAnsi="Times New Roman" w:cs="Times New Roman"/>
          <w:sz w:val="24"/>
        </w:rPr>
      </w:pPr>
      <w:r>
        <w:rPr>
          <w:rFonts w:ascii="Times New Roman" w:hAnsi="Times New Roman" w:cs="Times New Roman"/>
          <w:sz w:val="24"/>
        </w:rPr>
        <w:t>El tipo de interés que se le aplique a la deuda resultante del acuerdo no podrá ser superior de un tercio de la deuda ya existente.</w:t>
      </w:r>
    </w:p>
    <w:p w:rsidR="00E361C2" w:rsidRDefault="001113BF" w:rsidP="009A4529">
      <w:pPr>
        <w:pStyle w:val="Prrafodelista"/>
        <w:numPr>
          <w:ilvl w:val="0"/>
          <w:numId w:val="1"/>
        </w:numPr>
        <w:spacing w:line="360" w:lineRule="auto"/>
        <w:jc w:val="both"/>
        <w:rPr>
          <w:rFonts w:ascii="Times New Roman" w:hAnsi="Times New Roman" w:cs="Times New Roman"/>
          <w:sz w:val="24"/>
        </w:rPr>
      </w:pPr>
      <w:r>
        <w:rPr>
          <w:rFonts w:ascii="Times New Roman" w:hAnsi="Times New Roman" w:cs="Times New Roman"/>
          <w:sz w:val="24"/>
        </w:rPr>
        <w:t>El acuerdo realizado por las partes intervinientes debe formalizarse en documento público y además la doctrina</w:t>
      </w:r>
      <w:r>
        <w:rPr>
          <w:rStyle w:val="Refdenotaalpie"/>
          <w:rFonts w:ascii="Times New Roman" w:hAnsi="Times New Roman" w:cs="Times New Roman"/>
          <w:sz w:val="24"/>
        </w:rPr>
        <w:footnoteReference w:id="16"/>
      </w:r>
      <w:r>
        <w:rPr>
          <w:rFonts w:ascii="Times New Roman" w:hAnsi="Times New Roman" w:cs="Times New Roman"/>
          <w:sz w:val="24"/>
        </w:rPr>
        <w:t xml:space="preserve"> sostiene que las razones económicas deben de justificarse según el art 71.1 de la LC.</w:t>
      </w:r>
    </w:p>
    <w:p w:rsidR="001113BF" w:rsidRDefault="001113BF" w:rsidP="001113BF">
      <w:pPr>
        <w:spacing w:line="360" w:lineRule="auto"/>
        <w:ind w:firstLine="709"/>
        <w:jc w:val="both"/>
        <w:rPr>
          <w:rFonts w:ascii="Times New Roman" w:hAnsi="Times New Roman" w:cs="Times New Roman"/>
          <w:sz w:val="24"/>
        </w:rPr>
      </w:pPr>
      <w:r>
        <w:rPr>
          <w:rFonts w:ascii="Times New Roman" w:hAnsi="Times New Roman" w:cs="Times New Roman"/>
          <w:sz w:val="24"/>
        </w:rPr>
        <w:t>Para comprobar el cumplimiento de los requisitos a y b, habrá de tener en cuenta las consecuencias tanto financieras como patrimoniales, como cláusulas de vencimiento anticipado, etc. Todos los requisitos deben darse en el momento de formalizar el acuerdo en documento público.</w:t>
      </w:r>
    </w:p>
    <w:p w:rsidR="0098167B" w:rsidRDefault="0098167B" w:rsidP="001113BF">
      <w:pPr>
        <w:spacing w:line="360" w:lineRule="auto"/>
        <w:jc w:val="both"/>
        <w:rPr>
          <w:rFonts w:ascii="Times New Roman" w:hAnsi="Times New Roman" w:cs="Times New Roman"/>
          <w:sz w:val="24"/>
        </w:rPr>
      </w:pPr>
    </w:p>
    <w:p w:rsidR="001113BF" w:rsidRDefault="0075293E" w:rsidP="001113BF">
      <w:pPr>
        <w:spacing w:line="360" w:lineRule="auto"/>
        <w:jc w:val="both"/>
        <w:rPr>
          <w:rFonts w:ascii="Times New Roman" w:hAnsi="Times New Roman" w:cs="Times New Roman"/>
          <w:sz w:val="24"/>
          <w:u w:val="single"/>
        </w:rPr>
      </w:pPr>
      <w:r w:rsidRPr="003641EC">
        <w:rPr>
          <w:rFonts w:ascii="Times New Roman" w:hAnsi="Times New Roman" w:cs="Times New Roman"/>
          <w:sz w:val="24"/>
        </w:rPr>
        <w:lastRenderedPageBreak/>
        <w:t>C</w:t>
      </w:r>
      <w:r w:rsidR="001113BF" w:rsidRPr="003641EC">
        <w:rPr>
          <w:rFonts w:ascii="Times New Roman" w:hAnsi="Times New Roman" w:cs="Times New Roman"/>
          <w:sz w:val="24"/>
        </w:rPr>
        <w:t xml:space="preserve">) </w:t>
      </w:r>
      <w:r w:rsidR="001113BF" w:rsidRPr="001113BF">
        <w:rPr>
          <w:rFonts w:ascii="Times New Roman" w:hAnsi="Times New Roman" w:cs="Times New Roman"/>
          <w:sz w:val="24"/>
          <w:u w:val="single"/>
        </w:rPr>
        <w:t>Homologados judicialmente</w:t>
      </w:r>
      <w:r w:rsidR="001113BF">
        <w:rPr>
          <w:rFonts w:ascii="Times New Roman" w:hAnsi="Times New Roman" w:cs="Times New Roman"/>
          <w:sz w:val="24"/>
          <w:u w:val="single"/>
        </w:rPr>
        <w:t>:</w:t>
      </w:r>
    </w:p>
    <w:p w:rsidR="001113BF" w:rsidRDefault="001559A5" w:rsidP="001113BF">
      <w:pPr>
        <w:spacing w:line="360" w:lineRule="auto"/>
        <w:ind w:firstLine="709"/>
        <w:jc w:val="both"/>
        <w:rPr>
          <w:rFonts w:ascii="Times New Roman" w:hAnsi="Times New Roman" w:cs="Times New Roman"/>
          <w:sz w:val="24"/>
        </w:rPr>
      </w:pPr>
      <w:r>
        <w:rPr>
          <w:rFonts w:ascii="Times New Roman" w:hAnsi="Times New Roman" w:cs="Times New Roman"/>
          <w:sz w:val="24"/>
        </w:rPr>
        <w:t>Juntos a los acuerdos anteriores tipificados</w:t>
      </w:r>
      <w:r w:rsidR="00BD2D4B">
        <w:rPr>
          <w:rFonts w:ascii="Times New Roman" w:hAnsi="Times New Roman" w:cs="Times New Roman"/>
          <w:sz w:val="24"/>
        </w:rPr>
        <w:t xml:space="preserve"> en el art 71 bis de la LC, la Disp. </w:t>
      </w:r>
      <w:proofErr w:type="spellStart"/>
      <w:r w:rsidR="00BD2D4B">
        <w:rPr>
          <w:rFonts w:ascii="Times New Roman" w:hAnsi="Times New Roman" w:cs="Times New Roman"/>
          <w:sz w:val="24"/>
        </w:rPr>
        <w:t>A</w:t>
      </w:r>
      <w:r>
        <w:rPr>
          <w:rFonts w:ascii="Times New Roman" w:hAnsi="Times New Roman" w:cs="Times New Roman"/>
          <w:sz w:val="24"/>
        </w:rPr>
        <w:t>dic</w:t>
      </w:r>
      <w:proofErr w:type="spellEnd"/>
      <w:r>
        <w:rPr>
          <w:rFonts w:ascii="Times New Roman" w:hAnsi="Times New Roman" w:cs="Times New Roman"/>
          <w:sz w:val="24"/>
        </w:rPr>
        <w:t>. 4º. Regula también los que han sido homologados judicialmente, gozando de cierta protección según los acreedores que los hayan suscrito y sus efectos se extiendan a acreedores que no hayan suscrito el acuerdo o hayan mostrado su oposición.</w:t>
      </w:r>
    </w:p>
    <w:p w:rsidR="00FD7BD8" w:rsidRDefault="00FD7BD8" w:rsidP="001113BF">
      <w:pPr>
        <w:spacing w:line="360" w:lineRule="auto"/>
        <w:ind w:firstLine="709"/>
        <w:jc w:val="both"/>
        <w:rPr>
          <w:rFonts w:ascii="Times New Roman" w:hAnsi="Times New Roman" w:cs="Times New Roman"/>
          <w:sz w:val="24"/>
        </w:rPr>
      </w:pPr>
      <w:r>
        <w:rPr>
          <w:rFonts w:ascii="Times New Roman" w:hAnsi="Times New Roman" w:cs="Times New Roman"/>
          <w:sz w:val="24"/>
        </w:rPr>
        <w:t>Otros autores</w:t>
      </w:r>
      <w:r>
        <w:rPr>
          <w:rStyle w:val="Refdenotaalpie"/>
          <w:rFonts w:ascii="Times New Roman" w:hAnsi="Times New Roman" w:cs="Times New Roman"/>
          <w:sz w:val="24"/>
        </w:rPr>
        <w:footnoteReference w:id="17"/>
      </w:r>
      <w:r>
        <w:rPr>
          <w:rFonts w:ascii="Times New Roman" w:hAnsi="Times New Roman" w:cs="Times New Roman"/>
          <w:sz w:val="24"/>
        </w:rPr>
        <w:t xml:space="preserve"> señalan que entro los acuerdos particulares y generales, teniendo un contenido común, difieren entre ellos por las mayorías exigidas, además también la publicidad en los que debe de rodearse y especialmente los acuerdos particulares tienen mayor protección frente a los acuerdos generales.</w:t>
      </w:r>
    </w:p>
    <w:p w:rsidR="00B65223" w:rsidRDefault="00AF0FFA" w:rsidP="001113BF">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La autora citada anteriormente además señala, por un lado, acuerdos generales de refinanciación, teniendo como partes a los acreedores </w:t>
      </w:r>
      <w:r w:rsidR="00B65223">
        <w:rPr>
          <w:rFonts w:ascii="Times New Roman" w:hAnsi="Times New Roman" w:cs="Times New Roman"/>
          <w:sz w:val="24"/>
        </w:rPr>
        <w:t xml:space="preserve">y al deudor, contando con todos para los efectos de las mayorías exigidas, regulados en el art 71 bis de la LC representando el máximo grado </w:t>
      </w:r>
      <w:proofErr w:type="spellStart"/>
      <w:r w:rsidR="00B65223">
        <w:rPr>
          <w:rFonts w:ascii="Times New Roman" w:hAnsi="Times New Roman" w:cs="Times New Roman"/>
          <w:sz w:val="24"/>
        </w:rPr>
        <w:t>desjudicialización</w:t>
      </w:r>
      <w:proofErr w:type="spellEnd"/>
      <w:r w:rsidR="00B65223">
        <w:rPr>
          <w:rFonts w:ascii="Times New Roman" w:hAnsi="Times New Roman" w:cs="Times New Roman"/>
          <w:sz w:val="24"/>
        </w:rPr>
        <w:t>, al no ser objeto de homologación, su contenido dependerá de la autonomía de la voluntad de las partes y estos acuerdos no prevén publicidad.</w:t>
      </w:r>
    </w:p>
    <w:p w:rsidR="00AF0FFA" w:rsidRPr="001113BF" w:rsidRDefault="00B65223" w:rsidP="001113BF">
      <w:pPr>
        <w:spacing w:line="360" w:lineRule="auto"/>
        <w:ind w:firstLine="709"/>
        <w:jc w:val="both"/>
        <w:rPr>
          <w:rFonts w:ascii="Times New Roman" w:hAnsi="Times New Roman" w:cs="Times New Roman"/>
          <w:sz w:val="24"/>
        </w:rPr>
      </w:pPr>
      <w:r>
        <w:rPr>
          <w:rFonts w:ascii="Times New Roman" w:hAnsi="Times New Roman" w:cs="Times New Roman"/>
          <w:sz w:val="24"/>
        </w:rPr>
        <w:t>Por otro lado, los acuerdos particulares de refinanciación con hom</w:t>
      </w:r>
      <w:r w:rsidR="00BD2D4B">
        <w:rPr>
          <w:rFonts w:ascii="Times New Roman" w:hAnsi="Times New Roman" w:cs="Times New Roman"/>
          <w:sz w:val="24"/>
        </w:rPr>
        <w:t xml:space="preserve">ologación regulados en la Disp. </w:t>
      </w:r>
      <w:proofErr w:type="spellStart"/>
      <w:r w:rsidR="00235904">
        <w:rPr>
          <w:rFonts w:ascii="Times New Roman" w:hAnsi="Times New Roman" w:cs="Times New Roman"/>
          <w:sz w:val="24"/>
        </w:rPr>
        <w:t>A</w:t>
      </w:r>
      <w:r>
        <w:rPr>
          <w:rFonts w:ascii="Times New Roman" w:hAnsi="Times New Roman" w:cs="Times New Roman"/>
          <w:sz w:val="24"/>
        </w:rPr>
        <w:t>d</w:t>
      </w:r>
      <w:r w:rsidR="00235904">
        <w:rPr>
          <w:rFonts w:ascii="Times New Roman" w:hAnsi="Times New Roman" w:cs="Times New Roman"/>
          <w:sz w:val="24"/>
        </w:rPr>
        <w:t>ic</w:t>
      </w:r>
      <w:proofErr w:type="spellEnd"/>
      <w:r>
        <w:rPr>
          <w:rFonts w:ascii="Times New Roman" w:hAnsi="Times New Roman" w:cs="Times New Roman"/>
          <w:sz w:val="24"/>
        </w:rPr>
        <w:t>. 4º de la LC, teniendo como partes a los acreedores y al deudor, pero en este caso se les exigen a los acreedores que tengan en su titularidad el 51 por ciento del pasivo financiero, en el momento que se produzca la adopción del acuerdo. Estos acuerdos se rigen también por la autonomía de la voluntad y a diferencia del anterior, estos si son objeto de homologación judicial</w:t>
      </w:r>
      <w:r w:rsidR="008B4CA3">
        <w:rPr>
          <w:rFonts w:ascii="Times New Roman" w:hAnsi="Times New Roman" w:cs="Times New Roman"/>
          <w:sz w:val="24"/>
        </w:rPr>
        <w:t>.</w:t>
      </w:r>
    </w:p>
    <w:p w:rsidR="008B4CA3" w:rsidRDefault="008B4CA3" w:rsidP="008B4CA3">
      <w:pPr>
        <w:spacing w:line="360" w:lineRule="auto"/>
        <w:jc w:val="both"/>
        <w:rPr>
          <w:rFonts w:ascii="Times New Roman" w:hAnsi="Times New Roman" w:cs="Times New Roman"/>
          <w:sz w:val="24"/>
        </w:rPr>
      </w:pPr>
    </w:p>
    <w:p w:rsidR="008B4CA3" w:rsidRDefault="00E9746D" w:rsidP="008B4CA3">
      <w:pPr>
        <w:spacing w:line="360" w:lineRule="auto"/>
        <w:jc w:val="both"/>
        <w:rPr>
          <w:rFonts w:ascii="Times New Roman" w:hAnsi="Times New Roman" w:cs="Times New Roman"/>
          <w:b/>
          <w:sz w:val="24"/>
        </w:rPr>
      </w:pPr>
      <w:r>
        <w:rPr>
          <w:rFonts w:ascii="Times New Roman" w:hAnsi="Times New Roman" w:cs="Times New Roman"/>
          <w:b/>
          <w:sz w:val="24"/>
        </w:rPr>
        <w:t>3</w:t>
      </w:r>
      <w:r w:rsidR="008B4CA3">
        <w:rPr>
          <w:rFonts w:ascii="Times New Roman" w:hAnsi="Times New Roman" w:cs="Times New Roman"/>
          <w:b/>
          <w:sz w:val="24"/>
        </w:rPr>
        <w:t>.2.2. Atípicos.</w:t>
      </w:r>
    </w:p>
    <w:p w:rsidR="008B4CA3" w:rsidRDefault="008B4CA3" w:rsidP="008B4CA3">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Los acuerdos de refinanciación atípicos son aquellos que suponen una extinción o modificación de las obligaciones o también una ampliación del crédito, prorrogando el plazo de vencimiento o sustituyendo unas por otras ya contraídas, respondiendo a un plan de viabilidad que no le impida seguir con su actividad ya sea empresarial o profesional a medio y corto plazo, este tipo de acuerdos son estipulados antes de que se </w:t>
      </w:r>
      <w:r w:rsidR="001C352A">
        <w:rPr>
          <w:rFonts w:ascii="Times New Roman" w:hAnsi="Times New Roman" w:cs="Times New Roman"/>
          <w:sz w:val="24"/>
        </w:rPr>
        <w:t>haya</w:t>
      </w:r>
      <w:r>
        <w:rPr>
          <w:rFonts w:ascii="Times New Roman" w:hAnsi="Times New Roman" w:cs="Times New Roman"/>
          <w:sz w:val="24"/>
        </w:rPr>
        <w:t xml:space="preserve"> declarado la situación concursal, no cumpliendo con los requisitos que señala el art </w:t>
      </w:r>
      <w:r>
        <w:rPr>
          <w:rFonts w:ascii="Times New Roman" w:hAnsi="Times New Roman" w:cs="Times New Roman"/>
          <w:sz w:val="24"/>
        </w:rPr>
        <w:lastRenderedPageBreak/>
        <w:t xml:space="preserve">71 bis y la disp. </w:t>
      </w:r>
      <w:proofErr w:type="spellStart"/>
      <w:r>
        <w:rPr>
          <w:rFonts w:ascii="Times New Roman" w:hAnsi="Times New Roman" w:cs="Times New Roman"/>
          <w:sz w:val="24"/>
        </w:rPr>
        <w:t>Ad</w:t>
      </w:r>
      <w:r w:rsidR="00235904">
        <w:rPr>
          <w:rFonts w:ascii="Times New Roman" w:hAnsi="Times New Roman" w:cs="Times New Roman"/>
          <w:sz w:val="24"/>
        </w:rPr>
        <w:t>ic</w:t>
      </w:r>
      <w:proofErr w:type="spellEnd"/>
      <w:r>
        <w:rPr>
          <w:rFonts w:ascii="Times New Roman" w:hAnsi="Times New Roman" w:cs="Times New Roman"/>
          <w:sz w:val="24"/>
        </w:rPr>
        <w:t>. 4º de la LC y debido a eso no disponen de la protección que establece</w:t>
      </w:r>
      <w:r w:rsidR="000375DE">
        <w:rPr>
          <w:rFonts w:ascii="Times New Roman" w:hAnsi="Times New Roman" w:cs="Times New Roman"/>
          <w:sz w:val="24"/>
        </w:rPr>
        <w:t>n dichos preceptos.</w:t>
      </w:r>
    </w:p>
    <w:p w:rsidR="00393757" w:rsidRDefault="00393757" w:rsidP="008B4CA3">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Este tipo de acuerdos no pueden ser rescindibles, como expuso la SAP de Barcelona de 6 de febrero de 2009 (JUR 2009,172445), núm. 58-72009, </w:t>
      </w:r>
      <w:proofErr w:type="spellStart"/>
      <w:r>
        <w:rPr>
          <w:rFonts w:ascii="Times New Roman" w:hAnsi="Times New Roman" w:cs="Times New Roman"/>
          <w:sz w:val="24"/>
        </w:rPr>
        <w:t>rec.</w:t>
      </w:r>
      <w:proofErr w:type="spellEnd"/>
      <w:r>
        <w:rPr>
          <w:rFonts w:ascii="Times New Roman" w:hAnsi="Times New Roman" w:cs="Times New Roman"/>
          <w:sz w:val="24"/>
        </w:rPr>
        <w:t xml:space="preserve"> 607/2008 (EDJ 2009/22460), fue estimada parcialmente el recurso de apelación que puso una de las </w:t>
      </w:r>
      <w:r w:rsidR="001A6A90">
        <w:rPr>
          <w:rFonts w:ascii="Times New Roman" w:hAnsi="Times New Roman" w:cs="Times New Roman"/>
          <w:sz w:val="24"/>
        </w:rPr>
        <w:t>empresas</w:t>
      </w:r>
      <w:r>
        <w:rPr>
          <w:rFonts w:ascii="Times New Roman" w:hAnsi="Times New Roman" w:cs="Times New Roman"/>
          <w:sz w:val="24"/>
        </w:rPr>
        <w:t xml:space="preserve"> financieras contra la sentencia que estableció la </w:t>
      </w:r>
      <w:r w:rsidR="001A6A90">
        <w:rPr>
          <w:rFonts w:ascii="Times New Roman" w:hAnsi="Times New Roman" w:cs="Times New Roman"/>
          <w:sz w:val="24"/>
        </w:rPr>
        <w:t>rescisión de la constitución de cinco hipotecas atribuidas por la concursada en favor de las empresas financieras en el periodo del concurso</w:t>
      </w:r>
      <w:r w:rsidR="00DA1DB6">
        <w:rPr>
          <w:rFonts w:ascii="Times New Roman" w:hAnsi="Times New Roman" w:cs="Times New Roman"/>
          <w:sz w:val="24"/>
        </w:rPr>
        <w:t>, ya que estas hipotecas eran perjudiciales para la masa activa. La sala revocó en favor de una de las hipotecas ya que no se consideró que había perjuicio porque se hizo para ser destinada a cancelar una previa póliza.</w:t>
      </w:r>
    </w:p>
    <w:p w:rsidR="00DA1DB6" w:rsidRDefault="00DA1DB6" w:rsidP="008B4CA3">
      <w:pPr>
        <w:spacing w:line="360" w:lineRule="auto"/>
        <w:ind w:firstLine="709"/>
        <w:jc w:val="both"/>
        <w:rPr>
          <w:rFonts w:ascii="Times New Roman" w:hAnsi="Times New Roman" w:cs="Times New Roman"/>
          <w:sz w:val="24"/>
        </w:rPr>
      </w:pPr>
      <w:r>
        <w:rPr>
          <w:rFonts w:ascii="Times New Roman" w:hAnsi="Times New Roman" w:cs="Times New Roman"/>
          <w:sz w:val="24"/>
        </w:rPr>
        <w:t>En la práctica los acuerdos atípicos son menos utilizados que los típicos, ya que estos tienen menos escudos protectores que los típicos.</w:t>
      </w:r>
    </w:p>
    <w:p w:rsidR="00DA1DB6" w:rsidRDefault="00DA1DB6" w:rsidP="00DA1DB6">
      <w:pPr>
        <w:spacing w:line="360" w:lineRule="auto"/>
        <w:jc w:val="both"/>
        <w:rPr>
          <w:rFonts w:ascii="Times New Roman" w:hAnsi="Times New Roman" w:cs="Times New Roman"/>
          <w:sz w:val="24"/>
        </w:rPr>
      </w:pPr>
    </w:p>
    <w:p w:rsidR="004610D0" w:rsidRDefault="004610D0" w:rsidP="00DA1DB6">
      <w:pPr>
        <w:spacing w:line="360" w:lineRule="auto"/>
        <w:jc w:val="both"/>
        <w:rPr>
          <w:rFonts w:ascii="Times New Roman" w:hAnsi="Times New Roman" w:cs="Times New Roman"/>
          <w:b/>
          <w:sz w:val="24"/>
        </w:rPr>
      </w:pPr>
    </w:p>
    <w:p w:rsidR="004610D0" w:rsidRDefault="004610D0" w:rsidP="00DA1DB6">
      <w:pPr>
        <w:spacing w:line="360" w:lineRule="auto"/>
        <w:jc w:val="both"/>
        <w:rPr>
          <w:rFonts w:ascii="Times New Roman" w:hAnsi="Times New Roman" w:cs="Times New Roman"/>
          <w:b/>
          <w:sz w:val="24"/>
        </w:rPr>
      </w:pPr>
    </w:p>
    <w:p w:rsidR="004610D0" w:rsidRDefault="004610D0" w:rsidP="00DA1DB6">
      <w:pPr>
        <w:spacing w:line="360" w:lineRule="auto"/>
        <w:jc w:val="both"/>
        <w:rPr>
          <w:rFonts w:ascii="Times New Roman" w:hAnsi="Times New Roman" w:cs="Times New Roman"/>
          <w:b/>
          <w:sz w:val="24"/>
        </w:rPr>
      </w:pPr>
    </w:p>
    <w:p w:rsidR="004610D0" w:rsidRDefault="004610D0" w:rsidP="00DA1DB6">
      <w:pPr>
        <w:spacing w:line="360" w:lineRule="auto"/>
        <w:jc w:val="both"/>
        <w:rPr>
          <w:rFonts w:ascii="Times New Roman" w:hAnsi="Times New Roman" w:cs="Times New Roman"/>
          <w:b/>
          <w:sz w:val="24"/>
        </w:rPr>
      </w:pPr>
    </w:p>
    <w:p w:rsidR="004610D0" w:rsidRDefault="004610D0" w:rsidP="00DA1DB6">
      <w:pPr>
        <w:spacing w:line="360" w:lineRule="auto"/>
        <w:jc w:val="both"/>
        <w:rPr>
          <w:rFonts w:ascii="Times New Roman" w:hAnsi="Times New Roman" w:cs="Times New Roman"/>
          <w:b/>
          <w:sz w:val="24"/>
        </w:rPr>
      </w:pPr>
    </w:p>
    <w:p w:rsidR="004610D0" w:rsidRDefault="004610D0" w:rsidP="00DA1DB6">
      <w:pPr>
        <w:spacing w:line="360" w:lineRule="auto"/>
        <w:jc w:val="both"/>
        <w:rPr>
          <w:rFonts w:ascii="Times New Roman" w:hAnsi="Times New Roman" w:cs="Times New Roman"/>
          <w:b/>
          <w:sz w:val="24"/>
        </w:rPr>
      </w:pPr>
    </w:p>
    <w:p w:rsidR="004610D0" w:rsidRDefault="004610D0" w:rsidP="00DA1DB6">
      <w:pPr>
        <w:spacing w:line="360" w:lineRule="auto"/>
        <w:jc w:val="both"/>
        <w:rPr>
          <w:rFonts w:ascii="Times New Roman" w:hAnsi="Times New Roman" w:cs="Times New Roman"/>
          <w:b/>
          <w:sz w:val="24"/>
        </w:rPr>
      </w:pPr>
    </w:p>
    <w:p w:rsidR="004610D0" w:rsidRDefault="004610D0" w:rsidP="00DA1DB6">
      <w:pPr>
        <w:spacing w:line="360" w:lineRule="auto"/>
        <w:jc w:val="both"/>
        <w:rPr>
          <w:rFonts w:ascii="Times New Roman" w:hAnsi="Times New Roman" w:cs="Times New Roman"/>
          <w:b/>
          <w:sz w:val="24"/>
        </w:rPr>
      </w:pPr>
    </w:p>
    <w:p w:rsidR="004610D0" w:rsidRDefault="004610D0" w:rsidP="00DA1DB6">
      <w:pPr>
        <w:spacing w:line="360" w:lineRule="auto"/>
        <w:jc w:val="both"/>
        <w:rPr>
          <w:rFonts w:ascii="Times New Roman" w:hAnsi="Times New Roman" w:cs="Times New Roman"/>
          <w:b/>
          <w:sz w:val="24"/>
        </w:rPr>
      </w:pPr>
    </w:p>
    <w:p w:rsidR="004610D0" w:rsidRDefault="004610D0" w:rsidP="00DA1DB6">
      <w:pPr>
        <w:spacing w:line="360" w:lineRule="auto"/>
        <w:jc w:val="both"/>
        <w:rPr>
          <w:rFonts w:ascii="Times New Roman" w:hAnsi="Times New Roman" w:cs="Times New Roman"/>
          <w:b/>
          <w:sz w:val="24"/>
        </w:rPr>
      </w:pPr>
    </w:p>
    <w:p w:rsidR="004610D0" w:rsidRDefault="004610D0" w:rsidP="00DA1DB6">
      <w:pPr>
        <w:spacing w:line="360" w:lineRule="auto"/>
        <w:jc w:val="both"/>
        <w:rPr>
          <w:rFonts w:ascii="Times New Roman" w:hAnsi="Times New Roman" w:cs="Times New Roman"/>
          <w:b/>
          <w:sz w:val="24"/>
        </w:rPr>
      </w:pPr>
    </w:p>
    <w:p w:rsidR="004610D0" w:rsidRDefault="004610D0" w:rsidP="00DA1DB6">
      <w:pPr>
        <w:spacing w:line="360" w:lineRule="auto"/>
        <w:jc w:val="both"/>
        <w:rPr>
          <w:rFonts w:ascii="Times New Roman" w:hAnsi="Times New Roman" w:cs="Times New Roman"/>
          <w:b/>
          <w:sz w:val="24"/>
        </w:rPr>
      </w:pPr>
    </w:p>
    <w:p w:rsidR="004610D0" w:rsidRDefault="004610D0" w:rsidP="00DA1DB6">
      <w:pPr>
        <w:spacing w:line="360" w:lineRule="auto"/>
        <w:jc w:val="both"/>
        <w:rPr>
          <w:rFonts w:ascii="Times New Roman" w:hAnsi="Times New Roman" w:cs="Times New Roman"/>
          <w:b/>
          <w:sz w:val="24"/>
        </w:rPr>
      </w:pPr>
    </w:p>
    <w:p w:rsidR="004610D0" w:rsidRDefault="004610D0" w:rsidP="00DA1DB6">
      <w:pPr>
        <w:spacing w:line="360" w:lineRule="auto"/>
        <w:jc w:val="both"/>
        <w:rPr>
          <w:rFonts w:ascii="Times New Roman" w:hAnsi="Times New Roman" w:cs="Times New Roman"/>
          <w:b/>
          <w:sz w:val="24"/>
        </w:rPr>
      </w:pPr>
    </w:p>
    <w:p w:rsidR="00DA1DB6" w:rsidRDefault="00E9746D" w:rsidP="00DA1DB6">
      <w:pPr>
        <w:spacing w:line="360" w:lineRule="auto"/>
        <w:jc w:val="both"/>
        <w:rPr>
          <w:rFonts w:ascii="Times New Roman" w:hAnsi="Times New Roman" w:cs="Times New Roman"/>
          <w:b/>
          <w:sz w:val="24"/>
        </w:rPr>
      </w:pPr>
      <w:r>
        <w:rPr>
          <w:rFonts w:ascii="Times New Roman" w:hAnsi="Times New Roman" w:cs="Times New Roman"/>
          <w:b/>
          <w:sz w:val="24"/>
        </w:rPr>
        <w:lastRenderedPageBreak/>
        <w:t>4</w:t>
      </w:r>
      <w:r w:rsidR="00DA1DB6">
        <w:rPr>
          <w:rFonts w:ascii="Times New Roman" w:hAnsi="Times New Roman" w:cs="Times New Roman"/>
          <w:b/>
          <w:sz w:val="24"/>
        </w:rPr>
        <w:t>. LA HOMOLOGACIÓN DE LOS ACUERDOS DE REFINANCIACIÓN.</w:t>
      </w:r>
    </w:p>
    <w:p w:rsidR="00DA1DB6" w:rsidRDefault="00E9746D" w:rsidP="00DA1DB6">
      <w:pPr>
        <w:spacing w:line="360" w:lineRule="auto"/>
        <w:jc w:val="both"/>
        <w:rPr>
          <w:rFonts w:ascii="Times New Roman" w:hAnsi="Times New Roman" w:cs="Times New Roman"/>
          <w:b/>
          <w:sz w:val="24"/>
        </w:rPr>
      </w:pPr>
      <w:r>
        <w:rPr>
          <w:rFonts w:ascii="Times New Roman" w:hAnsi="Times New Roman" w:cs="Times New Roman"/>
          <w:b/>
          <w:sz w:val="24"/>
        </w:rPr>
        <w:t>4</w:t>
      </w:r>
      <w:r w:rsidR="00DA1DB6">
        <w:rPr>
          <w:rFonts w:ascii="Times New Roman" w:hAnsi="Times New Roman" w:cs="Times New Roman"/>
          <w:b/>
          <w:sz w:val="24"/>
        </w:rPr>
        <w:t>.1. Consideraciones generales.</w:t>
      </w:r>
    </w:p>
    <w:p w:rsidR="00DA1DB6" w:rsidRDefault="00DA1DB6" w:rsidP="00DA1DB6">
      <w:pPr>
        <w:spacing w:line="360" w:lineRule="auto"/>
        <w:ind w:firstLine="709"/>
        <w:jc w:val="both"/>
        <w:rPr>
          <w:rFonts w:ascii="Times New Roman" w:hAnsi="Times New Roman" w:cs="Times New Roman"/>
          <w:sz w:val="24"/>
        </w:rPr>
      </w:pPr>
      <w:r w:rsidRPr="00DA1DB6">
        <w:rPr>
          <w:rFonts w:ascii="Times New Roman" w:hAnsi="Times New Roman" w:cs="Times New Roman"/>
          <w:sz w:val="24"/>
        </w:rPr>
        <w:t xml:space="preserve">La homologación </w:t>
      </w:r>
      <w:r>
        <w:rPr>
          <w:rFonts w:ascii="Times New Roman" w:hAnsi="Times New Roman" w:cs="Times New Roman"/>
          <w:sz w:val="24"/>
        </w:rPr>
        <w:t xml:space="preserve">en los acuerdos de </w:t>
      </w:r>
      <w:r w:rsidR="007E6881">
        <w:rPr>
          <w:rFonts w:ascii="Times New Roman" w:hAnsi="Times New Roman" w:cs="Times New Roman"/>
          <w:sz w:val="24"/>
        </w:rPr>
        <w:t xml:space="preserve">refinanciación fue implantada en nuestro ordenamientocomo tutela judicial por la Ley 38/2011 (RCL 2011,1487), la cual tomó como inspiración a la ley italiana. La regulación de la homologación no vino acompañada de </w:t>
      </w:r>
      <w:r w:rsidR="00235904">
        <w:rPr>
          <w:rFonts w:ascii="Times New Roman" w:hAnsi="Times New Roman" w:cs="Times New Roman"/>
          <w:sz w:val="24"/>
        </w:rPr>
        <w:t>explicaciones</w:t>
      </w:r>
      <w:r w:rsidR="007E6881">
        <w:rPr>
          <w:rFonts w:ascii="Times New Roman" w:hAnsi="Times New Roman" w:cs="Times New Roman"/>
          <w:sz w:val="24"/>
        </w:rPr>
        <w:t xml:space="preserve"> para ayudar a la labor del intérprete, teniendo una especial conexión con las instituciones sujetas al derecho de acción. </w:t>
      </w:r>
      <w:r w:rsidR="00FD1531">
        <w:rPr>
          <w:rFonts w:ascii="Times New Roman" w:hAnsi="Times New Roman" w:cs="Times New Roman"/>
          <w:sz w:val="24"/>
        </w:rPr>
        <w:t>Un ejemplo en el caso de incumplimiento del acuerdo homologado, los acreedores podrán solicitar la declaración de concurso, y es por ello que la homologación supone a las empresas financieras una limitación temporal para las acciones ejecutivas, sin verse afectados el resto de acreedores, en su caso, de otras peticiones de tutela cautelar</w:t>
      </w:r>
      <w:r w:rsidR="00FD1531">
        <w:rPr>
          <w:rStyle w:val="Refdenotaalpie"/>
          <w:rFonts w:ascii="Times New Roman" w:hAnsi="Times New Roman" w:cs="Times New Roman"/>
          <w:sz w:val="24"/>
        </w:rPr>
        <w:footnoteReference w:id="18"/>
      </w:r>
      <w:r w:rsidR="00FD1531">
        <w:rPr>
          <w:rFonts w:ascii="Times New Roman" w:hAnsi="Times New Roman" w:cs="Times New Roman"/>
          <w:sz w:val="24"/>
        </w:rPr>
        <w:t>.</w:t>
      </w:r>
    </w:p>
    <w:p w:rsidR="00FD1531" w:rsidRDefault="001213A5" w:rsidP="00DA1DB6">
      <w:pPr>
        <w:spacing w:line="360" w:lineRule="auto"/>
        <w:ind w:firstLine="709"/>
        <w:jc w:val="both"/>
        <w:rPr>
          <w:rFonts w:ascii="Times New Roman" w:hAnsi="Times New Roman" w:cs="Times New Roman"/>
          <w:sz w:val="24"/>
        </w:rPr>
      </w:pPr>
      <w:r>
        <w:rPr>
          <w:rFonts w:ascii="Times New Roman" w:hAnsi="Times New Roman" w:cs="Times New Roman"/>
          <w:sz w:val="24"/>
        </w:rPr>
        <w:t>Además,</w:t>
      </w:r>
      <w:r w:rsidR="00FD1531">
        <w:rPr>
          <w:rFonts w:ascii="Times New Roman" w:hAnsi="Times New Roman" w:cs="Times New Roman"/>
          <w:sz w:val="24"/>
        </w:rPr>
        <w:t xml:space="preserve"> las numerosas y diferentes técnicas de regulación no ayudan tampoco a la labor del intérprete, ya que esto genera un desconocimiento de conceptos procesales creando cierta inseguridad de cómo y cuándo pueden actuar, los interesados y las empresas que se adhieran al acuerdo.</w:t>
      </w:r>
    </w:p>
    <w:p w:rsidR="001213A5" w:rsidRDefault="001213A5" w:rsidP="001213A5">
      <w:pPr>
        <w:spacing w:line="360" w:lineRule="auto"/>
        <w:jc w:val="both"/>
        <w:rPr>
          <w:rFonts w:ascii="Times New Roman" w:hAnsi="Times New Roman" w:cs="Times New Roman"/>
          <w:sz w:val="24"/>
        </w:rPr>
      </w:pPr>
    </w:p>
    <w:p w:rsidR="001213A5" w:rsidRPr="001213A5" w:rsidRDefault="00E9746D" w:rsidP="001213A5">
      <w:pPr>
        <w:spacing w:line="360" w:lineRule="auto"/>
        <w:jc w:val="both"/>
        <w:rPr>
          <w:rFonts w:ascii="Times New Roman" w:hAnsi="Times New Roman" w:cs="Times New Roman"/>
          <w:b/>
          <w:sz w:val="24"/>
        </w:rPr>
      </w:pPr>
      <w:r>
        <w:rPr>
          <w:rFonts w:ascii="Times New Roman" w:hAnsi="Times New Roman" w:cs="Times New Roman"/>
          <w:b/>
          <w:sz w:val="24"/>
        </w:rPr>
        <w:t>4</w:t>
      </w:r>
      <w:r w:rsidR="001213A5">
        <w:rPr>
          <w:rFonts w:ascii="Times New Roman" w:hAnsi="Times New Roman" w:cs="Times New Roman"/>
          <w:b/>
          <w:sz w:val="24"/>
        </w:rPr>
        <w:t>.2. Naturaleza jurídica de la homologación.</w:t>
      </w:r>
    </w:p>
    <w:p w:rsidR="00764B86" w:rsidRDefault="001213A5" w:rsidP="00DA1DB6">
      <w:pPr>
        <w:spacing w:line="360" w:lineRule="auto"/>
        <w:ind w:firstLine="709"/>
        <w:jc w:val="both"/>
        <w:rPr>
          <w:rFonts w:ascii="Times New Roman" w:hAnsi="Times New Roman" w:cs="Times New Roman"/>
          <w:sz w:val="24"/>
        </w:rPr>
      </w:pPr>
      <w:r>
        <w:rPr>
          <w:rFonts w:ascii="Times New Roman" w:hAnsi="Times New Roman" w:cs="Times New Roman"/>
          <w:sz w:val="24"/>
        </w:rPr>
        <w:t>La homologación se trata de un acto de jurisdicción voluntaria, donde interviene el juez, no para aclarar disputas, sino para conseguir</w:t>
      </w:r>
      <w:r w:rsidR="00764B86">
        <w:rPr>
          <w:rFonts w:ascii="Times New Roman" w:hAnsi="Times New Roman" w:cs="Times New Roman"/>
          <w:sz w:val="24"/>
        </w:rPr>
        <w:t xml:space="preserve"> una declaración con la que la ley ligue ciertos efectos jurídicos que el deudor no pude conseguir por sí mismo. </w:t>
      </w:r>
    </w:p>
    <w:p w:rsidR="00335D20" w:rsidRDefault="00335D20" w:rsidP="00DA1DB6">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La naturaleza de jurisdicción voluntaria viene en la </w:t>
      </w:r>
      <w:proofErr w:type="spellStart"/>
      <w:r w:rsidR="00CB2737">
        <w:rPr>
          <w:rFonts w:ascii="Times New Roman" w:hAnsi="Times New Roman" w:cs="Times New Roman"/>
          <w:sz w:val="24"/>
        </w:rPr>
        <w:t>Disp.Adic</w:t>
      </w:r>
      <w:proofErr w:type="spellEnd"/>
      <w:r w:rsidR="00BD2D4B">
        <w:rPr>
          <w:rFonts w:ascii="Times New Roman" w:hAnsi="Times New Roman" w:cs="Times New Roman"/>
          <w:sz w:val="24"/>
        </w:rPr>
        <w:t xml:space="preserve"> </w:t>
      </w:r>
      <w:r>
        <w:rPr>
          <w:rFonts w:ascii="Times New Roman" w:hAnsi="Times New Roman" w:cs="Times New Roman"/>
          <w:sz w:val="24"/>
        </w:rPr>
        <w:t xml:space="preserve">4ª ( RCL 2003/1748), en la cual el deudor se considera promotor del expediente, </w:t>
      </w:r>
      <w:r w:rsidR="003E336B">
        <w:rPr>
          <w:rFonts w:ascii="Times New Roman" w:hAnsi="Times New Roman" w:cs="Times New Roman"/>
          <w:sz w:val="24"/>
        </w:rPr>
        <w:t>que</w:t>
      </w:r>
      <w:r>
        <w:rPr>
          <w:rFonts w:ascii="Times New Roman" w:hAnsi="Times New Roman" w:cs="Times New Roman"/>
          <w:sz w:val="24"/>
        </w:rPr>
        <w:t xml:space="preserve"> es el que </w:t>
      </w:r>
      <w:r>
        <w:rPr>
          <w:rFonts w:ascii="Times New Roman" w:hAnsi="Times New Roman" w:cs="Times New Roman"/>
          <w:sz w:val="24"/>
        </w:rPr>
        <w:lastRenderedPageBreak/>
        <w:t xml:space="preserve">inicia a través de una solicitud </w:t>
      </w:r>
      <w:r w:rsidR="003E336B">
        <w:rPr>
          <w:rFonts w:ascii="Times New Roman" w:hAnsi="Times New Roman" w:cs="Times New Roman"/>
          <w:sz w:val="24"/>
        </w:rPr>
        <w:t>y su resolución se resolverá mediante trámite de urgencia en el plazo más breve que sea posible, siendo una expresión algo inapropiada</w:t>
      </w:r>
      <w:r w:rsidR="003E336B">
        <w:rPr>
          <w:rStyle w:val="Refdenotaalpie"/>
          <w:rFonts w:ascii="Times New Roman" w:hAnsi="Times New Roman" w:cs="Times New Roman"/>
          <w:sz w:val="24"/>
        </w:rPr>
        <w:footnoteReference w:id="19"/>
      </w:r>
      <w:r w:rsidR="003E336B">
        <w:rPr>
          <w:rFonts w:ascii="Times New Roman" w:hAnsi="Times New Roman" w:cs="Times New Roman"/>
          <w:sz w:val="24"/>
        </w:rPr>
        <w:t>.</w:t>
      </w:r>
    </w:p>
    <w:p w:rsidR="003E336B" w:rsidRDefault="003E336B" w:rsidP="00DA1DB6">
      <w:pPr>
        <w:spacing w:line="360" w:lineRule="auto"/>
        <w:ind w:firstLine="709"/>
        <w:jc w:val="both"/>
        <w:rPr>
          <w:rFonts w:ascii="Times New Roman" w:hAnsi="Times New Roman" w:cs="Times New Roman"/>
          <w:sz w:val="24"/>
        </w:rPr>
      </w:pPr>
      <w:r>
        <w:rPr>
          <w:rFonts w:ascii="Times New Roman" w:hAnsi="Times New Roman" w:cs="Times New Roman"/>
          <w:sz w:val="24"/>
        </w:rPr>
        <w:t>El procedimiento de homologación supone que la resolución no está provista de efecto de cosa juzgada, pudiendo ser recurrida por los afectados por un proceso contencioso. Aunque la resolución no tenga efecto de cosa juzgada no impide que la homologación sea eficaz después ser publicada oficialmente, como establece la Ley</w:t>
      </w:r>
      <w:r>
        <w:rPr>
          <w:rStyle w:val="Refdenotaalpie"/>
          <w:rFonts w:ascii="Times New Roman" w:hAnsi="Times New Roman" w:cs="Times New Roman"/>
          <w:sz w:val="24"/>
        </w:rPr>
        <w:footnoteReference w:id="20"/>
      </w:r>
      <w:r>
        <w:rPr>
          <w:rFonts w:ascii="Times New Roman" w:hAnsi="Times New Roman" w:cs="Times New Roman"/>
          <w:sz w:val="24"/>
        </w:rPr>
        <w:t>.</w:t>
      </w:r>
    </w:p>
    <w:p w:rsidR="003049BD" w:rsidRDefault="003049BD" w:rsidP="00BD167F">
      <w:pPr>
        <w:spacing w:line="360" w:lineRule="auto"/>
        <w:jc w:val="both"/>
        <w:rPr>
          <w:rFonts w:ascii="Times New Roman" w:hAnsi="Times New Roman" w:cs="Times New Roman"/>
          <w:sz w:val="24"/>
        </w:rPr>
      </w:pPr>
    </w:p>
    <w:p w:rsidR="003E336B" w:rsidRPr="00BD167F" w:rsidRDefault="00E9746D" w:rsidP="00BD167F">
      <w:pPr>
        <w:spacing w:line="360" w:lineRule="auto"/>
        <w:jc w:val="both"/>
        <w:rPr>
          <w:rFonts w:ascii="Times New Roman" w:hAnsi="Times New Roman" w:cs="Times New Roman"/>
          <w:b/>
          <w:sz w:val="24"/>
        </w:rPr>
      </w:pPr>
      <w:r>
        <w:rPr>
          <w:rFonts w:ascii="Times New Roman" w:hAnsi="Times New Roman" w:cs="Times New Roman"/>
          <w:b/>
          <w:sz w:val="24"/>
        </w:rPr>
        <w:t>4</w:t>
      </w:r>
      <w:r w:rsidR="00BD167F">
        <w:rPr>
          <w:rFonts w:ascii="Times New Roman" w:hAnsi="Times New Roman" w:cs="Times New Roman"/>
          <w:b/>
          <w:sz w:val="24"/>
        </w:rPr>
        <w:t>.3. Presupuestos de la homologación.</w:t>
      </w:r>
    </w:p>
    <w:p w:rsidR="003E336B" w:rsidRDefault="00BD167F" w:rsidP="00DA1DB6">
      <w:pPr>
        <w:spacing w:line="360" w:lineRule="auto"/>
        <w:ind w:firstLine="709"/>
        <w:jc w:val="both"/>
        <w:rPr>
          <w:rFonts w:ascii="Times New Roman" w:hAnsi="Times New Roman" w:cs="Times New Roman"/>
          <w:sz w:val="24"/>
        </w:rPr>
      </w:pPr>
      <w:r>
        <w:rPr>
          <w:rFonts w:ascii="Times New Roman" w:hAnsi="Times New Roman" w:cs="Times New Roman"/>
          <w:sz w:val="24"/>
        </w:rPr>
        <w:t>La homologación depende el cumplimiento de ciertos presupuestos procesales y materiales.</w:t>
      </w:r>
      <w:r w:rsidR="007E6787">
        <w:rPr>
          <w:rFonts w:ascii="Times New Roman" w:hAnsi="Times New Roman" w:cs="Times New Roman"/>
          <w:sz w:val="24"/>
        </w:rPr>
        <w:t xml:space="preserve"> Por un lado, los procesales son trascendentes para el procedimiento de la obtención por parte del deudor de la tutela solicitada y por otro lado los materiales son los que depende de la aprobación de la homologación.</w:t>
      </w:r>
    </w:p>
    <w:p w:rsidR="007E6787" w:rsidRPr="00031EB7" w:rsidRDefault="0075293E" w:rsidP="007E6787">
      <w:pPr>
        <w:spacing w:line="360" w:lineRule="auto"/>
        <w:jc w:val="both"/>
        <w:rPr>
          <w:rFonts w:ascii="Times New Roman" w:hAnsi="Times New Roman" w:cs="Times New Roman"/>
          <w:sz w:val="24"/>
        </w:rPr>
      </w:pPr>
      <w:r w:rsidRPr="00031EB7">
        <w:rPr>
          <w:rFonts w:ascii="Times New Roman" w:hAnsi="Times New Roman" w:cs="Times New Roman"/>
          <w:sz w:val="24"/>
        </w:rPr>
        <w:t>A</w:t>
      </w:r>
      <w:r w:rsidR="007E6787" w:rsidRPr="00031EB7">
        <w:rPr>
          <w:rFonts w:ascii="Times New Roman" w:hAnsi="Times New Roman" w:cs="Times New Roman"/>
          <w:sz w:val="24"/>
        </w:rPr>
        <w:t xml:space="preserve">) </w:t>
      </w:r>
      <w:r w:rsidR="007E6787" w:rsidRPr="00031EB7">
        <w:rPr>
          <w:rFonts w:ascii="Times New Roman" w:hAnsi="Times New Roman" w:cs="Times New Roman"/>
          <w:sz w:val="24"/>
          <w:u w:val="single"/>
        </w:rPr>
        <w:t>Presupuestos materiales</w:t>
      </w:r>
      <w:r w:rsidR="003049BD" w:rsidRPr="00031EB7">
        <w:rPr>
          <w:rFonts w:ascii="Times New Roman" w:hAnsi="Times New Roman" w:cs="Times New Roman"/>
          <w:sz w:val="24"/>
          <w:u w:val="single"/>
        </w:rPr>
        <w:t>:</w:t>
      </w:r>
    </w:p>
    <w:p w:rsidR="003049BD" w:rsidRDefault="003049BD" w:rsidP="003049BD">
      <w:pPr>
        <w:spacing w:line="360" w:lineRule="auto"/>
        <w:ind w:firstLine="709"/>
        <w:jc w:val="both"/>
        <w:rPr>
          <w:rFonts w:ascii="Times New Roman" w:hAnsi="Times New Roman" w:cs="Times New Roman"/>
          <w:sz w:val="24"/>
        </w:rPr>
      </w:pPr>
      <w:r>
        <w:rPr>
          <w:rFonts w:ascii="Times New Roman" w:hAnsi="Times New Roman" w:cs="Times New Roman"/>
          <w:sz w:val="24"/>
        </w:rPr>
        <w:t>En cuanto a la formulación de estos presupuestos se remite a los apartados 6 del art 71, rescisión concursal, y a lo</w:t>
      </w:r>
      <w:r w:rsidR="00BD2D4B">
        <w:rPr>
          <w:rFonts w:ascii="Times New Roman" w:hAnsi="Times New Roman" w:cs="Times New Roman"/>
          <w:sz w:val="24"/>
        </w:rPr>
        <w:t xml:space="preserve">s apartados 1 y 3 de la Disp. </w:t>
      </w:r>
      <w:proofErr w:type="spellStart"/>
      <w:r>
        <w:rPr>
          <w:rFonts w:ascii="Times New Roman" w:hAnsi="Times New Roman" w:cs="Times New Roman"/>
          <w:sz w:val="24"/>
        </w:rPr>
        <w:t>Adic</w:t>
      </w:r>
      <w:proofErr w:type="spellEnd"/>
      <w:r>
        <w:rPr>
          <w:rFonts w:ascii="Times New Roman" w:hAnsi="Times New Roman" w:cs="Times New Roman"/>
          <w:sz w:val="24"/>
        </w:rPr>
        <w:t>. 4ª.</w:t>
      </w:r>
    </w:p>
    <w:p w:rsidR="003049BD" w:rsidRDefault="003049BD" w:rsidP="003049BD">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El primer presupuesto objetivo </w:t>
      </w:r>
      <w:r w:rsidR="005F6E40">
        <w:rPr>
          <w:rFonts w:ascii="Times New Roman" w:hAnsi="Times New Roman" w:cs="Times New Roman"/>
          <w:sz w:val="24"/>
        </w:rPr>
        <w:t>posee</w:t>
      </w:r>
      <w:r>
        <w:rPr>
          <w:rFonts w:ascii="Times New Roman" w:hAnsi="Times New Roman" w:cs="Times New Roman"/>
          <w:sz w:val="24"/>
        </w:rPr>
        <w:t xml:space="preserve"> una dimensión cuantitativa y supone que para que el acuerdo se haya inscrito, los acreedores deben de representar una mayoría del pasivo del deudor. </w:t>
      </w:r>
      <w:r w:rsidR="005F6E40">
        <w:rPr>
          <w:rFonts w:ascii="Times New Roman" w:hAnsi="Times New Roman" w:cs="Times New Roman"/>
          <w:sz w:val="24"/>
        </w:rPr>
        <w:t xml:space="preserve">Para su determinación entra en juego dos mayorías distintas, por un </w:t>
      </w:r>
      <w:r w:rsidR="00E268EE">
        <w:rPr>
          <w:rFonts w:ascii="Times New Roman" w:hAnsi="Times New Roman" w:cs="Times New Roman"/>
          <w:sz w:val="24"/>
        </w:rPr>
        <w:t>lado,</w:t>
      </w:r>
      <w:r w:rsidR="005F6E40">
        <w:rPr>
          <w:rFonts w:ascii="Times New Roman" w:hAnsi="Times New Roman" w:cs="Times New Roman"/>
          <w:sz w:val="24"/>
        </w:rPr>
        <w:t xml:space="preserve"> los acreedores suscrito al acuerdo deben de tener al menos el 75% del pasivo del deudor y por otro lado las empresas financieras deben tener también el 75% del pasivo titular de estas entidades</w:t>
      </w:r>
      <w:r w:rsidR="005F6E40">
        <w:rPr>
          <w:rStyle w:val="Refdenotaalpie"/>
          <w:rFonts w:ascii="Times New Roman" w:hAnsi="Times New Roman" w:cs="Times New Roman"/>
          <w:sz w:val="24"/>
        </w:rPr>
        <w:footnoteReference w:id="21"/>
      </w:r>
      <w:r w:rsidR="005F6E40">
        <w:rPr>
          <w:rFonts w:ascii="Times New Roman" w:hAnsi="Times New Roman" w:cs="Times New Roman"/>
          <w:sz w:val="24"/>
        </w:rPr>
        <w:t>.</w:t>
      </w:r>
    </w:p>
    <w:p w:rsidR="005F6E40" w:rsidRDefault="005F6E40" w:rsidP="003049BD">
      <w:pPr>
        <w:spacing w:line="360" w:lineRule="auto"/>
        <w:ind w:firstLine="709"/>
        <w:jc w:val="both"/>
        <w:rPr>
          <w:rFonts w:ascii="Times New Roman" w:hAnsi="Times New Roman" w:cs="Times New Roman"/>
          <w:sz w:val="24"/>
        </w:rPr>
      </w:pPr>
      <w:r w:rsidRPr="005F6E40">
        <w:rPr>
          <w:rFonts w:ascii="Times New Roman" w:hAnsi="Times New Roman" w:cs="Times New Roman"/>
          <w:sz w:val="24"/>
        </w:rPr>
        <w:t xml:space="preserve">El segundo presupuesto objetivo </w:t>
      </w:r>
      <w:r>
        <w:rPr>
          <w:rFonts w:ascii="Times New Roman" w:hAnsi="Times New Roman" w:cs="Times New Roman"/>
          <w:sz w:val="24"/>
        </w:rPr>
        <w:t xml:space="preserve">posee </w:t>
      </w:r>
      <w:r w:rsidRPr="005F6E40">
        <w:rPr>
          <w:rFonts w:ascii="Times New Roman" w:hAnsi="Times New Roman" w:cs="Times New Roman"/>
          <w:sz w:val="24"/>
        </w:rPr>
        <w:t>una dimensión cualitativa</w:t>
      </w:r>
      <w:r>
        <w:rPr>
          <w:rFonts w:ascii="Times New Roman" w:hAnsi="Times New Roman" w:cs="Times New Roman"/>
          <w:sz w:val="24"/>
        </w:rPr>
        <w:t xml:space="preserve"> y supone que un experto independiente debe haber sido informado positivamente sobre el acuerdo</w:t>
      </w:r>
      <w:r w:rsidR="00E268EE">
        <w:rPr>
          <w:rFonts w:ascii="Times New Roman" w:hAnsi="Times New Roman" w:cs="Times New Roman"/>
          <w:sz w:val="24"/>
        </w:rPr>
        <w:t xml:space="preserve"> </w:t>
      </w:r>
      <w:r w:rsidR="00E268EE">
        <w:rPr>
          <w:rFonts w:ascii="Times New Roman" w:hAnsi="Times New Roman" w:cs="Times New Roman"/>
          <w:sz w:val="24"/>
        </w:rPr>
        <w:lastRenderedPageBreak/>
        <w:t xml:space="preserve">aunque no existe obligatoriedad respecto de solicitar el informe por parte del experto, esto puede generar cierta inseguridad debido a que los acreedores van a exigir garantías exageradas </w:t>
      </w:r>
      <w:r w:rsidR="00F34ED2">
        <w:rPr>
          <w:rFonts w:ascii="Times New Roman" w:hAnsi="Times New Roman" w:cs="Times New Roman"/>
          <w:sz w:val="24"/>
        </w:rPr>
        <w:t>que el deudor va a tener que aceptar para</w:t>
      </w:r>
      <w:r w:rsidR="00E268EE">
        <w:rPr>
          <w:rFonts w:ascii="Times New Roman" w:hAnsi="Times New Roman" w:cs="Times New Roman"/>
          <w:sz w:val="24"/>
        </w:rPr>
        <w:t xml:space="preserve"> así obtener la financiación.</w:t>
      </w:r>
      <w:r>
        <w:rPr>
          <w:rFonts w:ascii="Times New Roman" w:hAnsi="Times New Roman" w:cs="Times New Roman"/>
          <w:sz w:val="24"/>
        </w:rPr>
        <w:t>, dicho informe deberá contener un juicio técnico sobre la suficiencia de la información que el deudor le facilite</w:t>
      </w:r>
      <w:r w:rsidR="00AE0C5B">
        <w:rPr>
          <w:rFonts w:ascii="Times New Roman" w:hAnsi="Times New Roman" w:cs="Times New Roman"/>
          <w:sz w:val="24"/>
        </w:rPr>
        <w:t>, sobre el carácter del plan si es realizable y razonable a medio y corto plazo, y también sobre la proporcionalidad de las garantías  en el momento de la firma del acuerdo (dando lugar que el acuerdo se firmó con anterioridad)</w:t>
      </w:r>
      <w:r w:rsidR="00AE0C5B">
        <w:rPr>
          <w:rStyle w:val="Refdenotaalpie"/>
          <w:rFonts w:ascii="Times New Roman" w:hAnsi="Times New Roman" w:cs="Times New Roman"/>
          <w:sz w:val="24"/>
        </w:rPr>
        <w:footnoteReference w:id="22"/>
      </w:r>
      <w:r w:rsidR="00AE0C5B">
        <w:rPr>
          <w:rFonts w:ascii="Times New Roman" w:hAnsi="Times New Roman" w:cs="Times New Roman"/>
          <w:sz w:val="24"/>
        </w:rPr>
        <w:t>.</w:t>
      </w:r>
    </w:p>
    <w:p w:rsidR="003049BD" w:rsidRDefault="0075293E" w:rsidP="003049BD">
      <w:pPr>
        <w:spacing w:line="360" w:lineRule="auto"/>
        <w:ind w:firstLine="709"/>
        <w:jc w:val="both"/>
        <w:rPr>
          <w:rFonts w:ascii="Times New Roman" w:hAnsi="Times New Roman" w:cs="Times New Roman"/>
          <w:sz w:val="24"/>
        </w:rPr>
      </w:pPr>
      <w:r w:rsidRPr="0075293E">
        <w:rPr>
          <w:rFonts w:ascii="Times New Roman" w:hAnsi="Times New Roman" w:cs="Times New Roman"/>
          <w:sz w:val="24"/>
        </w:rPr>
        <w:t xml:space="preserve">El tercer presupuesto objetivo </w:t>
      </w:r>
      <w:r>
        <w:rPr>
          <w:rFonts w:ascii="Times New Roman" w:hAnsi="Times New Roman" w:cs="Times New Roman"/>
          <w:sz w:val="24"/>
        </w:rPr>
        <w:t>se trata de</w:t>
      </w:r>
      <w:r w:rsidRPr="0075293E">
        <w:rPr>
          <w:rFonts w:ascii="Times New Roman" w:hAnsi="Times New Roman" w:cs="Times New Roman"/>
          <w:sz w:val="24"/>
        </w:rPr>
        <w:t xml:space="preserve"> una garantía formal</w:t>
      </w:r>
      <w:r>
        <w:rPr>
          <w:rFonts w:ascii="Times New Roman" w:hAnsi="Times New Roman" w:cs="Times New Roman"/>
          <w:sz w:val="24"/>
        </w:rPr>
        <w:t>,ya que e</w:t>
      </w:r>
      <w:r w:rsidRPr="0075293E">
        <w:rPr>
          <w:rFonts w:ascii="Times New Roman" w:hAnsi="Times New Roman" w:cs="Times New Roman"/>
          <w:sz w:val="24"/>
        </w:rPr>
        <w:t xml:space="preserve">l acuerdo debe </w:t>
      </w:r>
      <w:r>
        <w:rPr>
          <w:rFonts w:ascii="Times New Roman" w:hAnsi="Times New Roman" w:cs="Times New Roman"/>
          <w:sz w:val="24"/>
        </w:rPr>
        <w:t xml:space="preserve">formalizarse, para que sirva como </w:t>
      </w:r>
      <w:r w:rsidRPr="0075293E">
        <w:rPr>
          <w:rFonts w:ascii="Times New Roman" w:hAnsi="Times New Roman" w:cs="Times New Roman"/>
          <w:sz w:val="24"/>
        </w:rPr>
        <w:t>instrumento público</w:t>
      </w:r>
      <w:r>
        <w:rPr>
          <w:rFonts w:ascii="Times New Roman" w:hAnsi="Times New Roman" w:cs="Times New Roman"/>
          <w:sz w:val="24"/>
        </w:rPr>
        <w:t>.</w:t>
      </w:r>
    </w:p>
    <w:p w:rsidR="0075293E" w:rsidRDefault="0075293E" w:rsidP="003049BD">
      <w:pPr>
        <w:spacing w:line="360" w:lineRule="auto"/>
        <w:ind w:firstLine="709"/>
        <w:jc w:val="both"/>
        <w:rPr>
          <w:rFonts w:ascii="Times New Roman" w:hAnsi="Times New Roman" w:cs="Times New Roman"/>
          <w:sz w:val="24"/>
        </w:rPr>
      </w:pPr>
      <w:r>
        <w:rPr>
          <w:rFonts w:ascii="Times New Roman" w:hAnsi="Times New Roman" w:cs="Times New Roman"/>
          <w:sz w:val="24"/>
        </w:rPr>
        <w:t>En cuanto al último presupuesto posee una dimensión valorativa y supone en un juicio favorable para que el acuerdo no pueda crear un perjuicio a las empresas que no se hayan suscrito. Será el juez quien determine los parámetros para la proporcionalidad del procedimiento de homologación.</w:t>
      </w:r>
    </w:p>
    <w:p w:rsidR="0075293E" w:rsidRPr="00031EB7" w:rsidRDefault="0075293E" w:rsidP="0075293E">
      <w:pPr>
        <w:spacing w:line="360" w:lineRule="auto"/>
        <w:jc w:val="both"/>
        <w:rPr>
          <w:rFonts w:ascii="Times New Roman" w:hAnsi="Times New Roman" w:cs="Times New Roman"/>
          <w:sz w:val="24"/>
        </w:rPr>
      </w:pPr>
      <w:r w:rsidRPr="00031EB7">
        <w:rPr>
          <w:rFonts w:ascii="Times New Roman" w:hAnsi="Times New Roman" w:cs="Times New Roman"/>
          <w:sz w:val="24"/>
        </w:rPr>
        <w:t xml:space="preserve">B) </w:t>
      </w:r>
      <w:r w:rsidRPr="00031EB7">
        <w:rPr>
          <w:rFonts w:ascii="Times New Roman" w:hAnsi="Times New Roman" w:cs="Times New Roman"/>
          <w:sz w:val="24"/>
          <w:u w:val="single"/>
        </w:rPr>
        <w:t>Presupuestos procesales:</w:t>
      </w:r>
    </w:p>
    <w:p w:rsidR="0075293E" w:rsidRPr="00031EB7" w:rsidRDefault="0075293E" w:rsidP="0075293E">
      <w:pPr>
        <w:spacing w:line="360" w:lineRule="auto"/>
        <w:jc w:val="both"/>
        <w:rPr>
          <w:rFonts w:ascii="Times New Roman" w:hAnsi="Times New Roman" w:cs="Times New Roman"/>
          <w:i/>
          <w:sz w:val="24"/>
        </w:rPr>
      </w:pPr>
      <w:r w:rsidRPr="00031EB7">
        <w:rPr>
          <w:rFonts w:ascii="Times New Roman" w:hAnsi="Times New Roman" w:cs="Times New Roman"/>
          <w:i/>
          <w:sz w:val="24"/>
        </w:rPr>
        <w:t xml:space="preserve">a) </w:t>
      </w:r>
      <w:r w:rsidRPr="00031EB7">
        <w:rPr>
          <w:rFonts w:ascii="Times New Roman" w:hAnsi="Times New Roman" w:cs="Times New Roman"/>
          <w:i/>
          <w:sz w:val="24"/>
          <w:u w:val="single"/>
        </w:rPr>
        <w:t>La competencia judicial.</w:t>
      </w:r>
    </w:p>
    <w:p w:rsidR="0075293E" w:rsidRDefault="00B846BB" w:rsidP="0075293E">
      <w:pPr>
        <w:spacing w:line="360" w:lineRule="auto"/>
        <w:ind w:firstLine="709"/>
        <w:jc w:val="both"/>
        <w:rPr>
          <w:rFonts w:ascii="Times New Roman" w:hAnsi="Times New Roman" w:cs="Times New Roman"/>
          <w:sz w:val="24"/>
        </w:rPr>
      </w:pPr>
      <w:r>
        <w:rPr>
          <w:rFonts w:ascii="Times New Roman" w:hAnsi="Times New Roman" w:cs="Times New Roman"/>
          <w:sz w:val="24"/>
        </w:rPr>
        <w:t>La competencia es atribuida por la ley a los juzgados de lo mercantil para la homologación de los acuerdos de refinanciación.</w:t>
      </w:r>
      <w:r w:rsidR="00235904">
        <w:rPr>
          <w:rFonts w:ascii="Times New Roman" w:hAnsi="Times New Roman" w:cs="Times New Roman"/>
          <w:sz w:val="24"/>
        </w:rPr>
        <w:t xml:space="preserve"> Por otro lado, la competencia territorial es establecida de manera directa por el juez que en ese momento fuera competente para la declaración de concurso, teniendo en cuenta el centro de interés del deudor o sino se tendrá en cuenta el lugar donde se encuentre el establecimiento según viene establecido por el art 10.3</w:t>
      </w:r>
      <w:r w:rsidR="00235904">
        <w:rPr>
          <w:rStyle w:val="Refdenotaalpie"/>
          <w:rFonts w:ascii="Times New Roman" w:hAnsi="Times New Roman" w:cs="Times New Roman"/>
          <w:sz w:val="24"/>
        </w:rPr>
        <w:footnoteReference w:id="23"/>
      </w:r>
      <w:r w:rsidR="00235904">
        <w:rPr>
          <w:rFonts w:ascii="Times New Roman" w:hAnsi="Times New Roman" w:cs="Times New Roman"/>
          <w:sz w:val="24"/>
        </w:rPr>
        <w:t xml:space="preserve"> LC. Siendo el deudor el único que puede </w:t>
      </w:r>
      <w:r w:rsidR="00734AC6">
        <w:rPr>
          <w:rFonts w:ascii="Times New Roman" w:hAnsi="Times New Roman" w:cs="Times New Roman"/>
          <w:sz w:val="24"/>
        </w:rPr>
        <w:t xml:space="preserve">pedir, no </w:t>
      </w:r>
      <w:r w:rsidR="00373E00">
        <w:rPr>
          <w:rFonts w:ascii="Times New Roman" w:hAnsi="Times New Roman" w:cs="Times New Roman"/>
          <w:sz w:val="24"/>
        </w:rPr>
        <w:lastRenderedPageBreak/>
        <w:t>generando</w:t>
      </w:r>
      <w:r w:rsidR="00734AC6">
        <w:rPr>
          <w:rFonts w:ascii="Times New Roman" w:hAnsi="Times New Roman" w:cs="Times New Roman"/>
          <w:sz w:val="24"/>
        </w:rPr>
        <w:t xml:space="preserve"> problemas sobre la presentación de la homologación de múltiples solicitudes</w:t>
      </w:r>
      <w:r w:rsidR="00734AC6">
        <w:rPr>
          <w:rStyle w:val="Refdenotaalpie"/>
          <w:rFonts w:ascii="Times New Roman" w:hAnsi="Times New Roman" w:cs="Times New Roman"/>
          <w:sz w:val="24"/>
        </w:rPr>
        <w:footnoteReference w:id="24"/>
      </w:r>
      <w:r w:rsidR="00734AC6">
        <w:rPr>
          <w:rFonts w:ascii="Times New Roman" w:hAnsi="Times New Roman" w:cs="Times New Roman"/>
          <w:sz w:val="24"/>
        </w:rPr>
        <w:t>.</w:t>
      </w:r>
    </w:p>
    <w:p w:rsidR="00734AC6" w:rsidRDefault="00734AC6" w:rsidP="0075293E">
      <w:pPr>
        <w:spacing w:line="360" w:lineRule="auto"/>
        <w:ind w:firstLine="709"/>
        <w:jc w:val="both"/>
        <w:rPr>
          <w:rFonts w:ascii="Times New Roman" w:hAnsi="Times New Roman" w:cs="Times New Roman"/>
          <w:sz w:val="24"/>
        </w:rPr>
      </w:pPr>
      <w:r>
        <w:rPr>
          <w:rFonts w:ascii="Times New Roman" w:hAnsi="Times New Roman" w:cs="Times New Roman"/>
          <w:sz w:val="24"/>
        </w:rPr>
        <w:t>El secretario es el que realiza el control de la competencia, en el caso de que no la estime tendrá que dar cuentas al juez, el cual este resolverá la admisión.</w:t>
      </w:r>
    </w:p>
    <w:p w:rsidR="00734AC6" w:rsidRDefault="00734AC6" w:rsidP="0075293E">
      <w:pPr>
        <w:spacing w:line="360" w:lineRule="auto"/>
        <w:ind w:firstLine="709"/>
        <w:jc w:val="both"/>
        <w:rPr>
          <w:rFonts w:ascii="Times New Roman" w:hAnsi="Times New Roman" w:cs="Times New Roman"/>
          <w:sz w:val="24"/>
        </w:rPr>
      </w:pPr>
      <w:r>
        <w:rPr>
          <w:rFonts w:ascii="Times New Roman" w:hAnsi="Times New Roman" w:cs="Times New Roman"/>
          <w:sz w:val="24"/>
        </w:rPr>
        <w:t>La cuestión de fondo permite excluir la posibilidad de que los comparecidos en el expediente puedan impugnar la competencia mediante declinatoria debido a la celeridad y la forma que no contradictora del procedo ha querido imprimir en la resolución.</w:t>
      </w:r>
    </w:p>
    <w:p w:rsidR="00734AC6" w:rsidRPr="00031EB7" w:rsidRDefault="005A0692" w:rsidP="005A0692">
      <w:pPr>
        <w:spacing w:line="360" w:lineRule="auto"/>
        <w:jc w:val="both"/>
        <w:rPr>
          <w:rFonts w:ascii="Times New Roman" w:hAnsi="Times New Roman" w:cs="Times New Roman"/>
          <w:i/>
          <w:sz w:val="24"/>
        </w:rPr>
      </w:pPr>
      <w:r w:rsidRPr="00031EB7">
        <w:rPr>
          <w:rFonts w:ascii="Times New Roman" w:hAnsi="Times New Roman" w:cs="Times New Roman"/>
          <w:i/>
          <w:sz w:val="24"/>
        </w:rPr>
        <w:t xml:space="preserve">b) </w:t>
      </w:r>
      <w:r w:rsidRPr="00031EB7">
        <w:rPr>
          <w:rFonts w:ascii="Times New Roman" w:hAnsi="Times New Roman" w:cs="Times New Roman"/>
          <w:i/>
          <w:sz w:val="24"/>
          <w:u w:val="single"/>
        </w:rPr>
        <w:t>La falta de presentación de una solicitud de homologación en el año anterior.</w:t>
      </w:r>
    </w:p>
    <w:p w:rsidR="005A0692" w:rsidRDefault="005A0692" w:rsidP="005A0692">
      <w:pPr>
        <w:spacing w:line="360" w:lineRule="auto"/>
        <w:ind w:firstLine="709"/>
        <w:jc w:val="both"/>
        <w:rPr>
          <w:rFonts w:ascii="Times New Roman" w:hAnsi="Times New Roman" w:cs="Times New Roman"/>
          <w:sz w:val="24"/>
        </w:rPr>
      </w:pPr>
      <w:r>
        <w:rPr>
          <w:rFonts w:ascii="Times New Roman" w:hAnsi="Times New Roman" w:cs="Times New Roman"/>
          <w:sz w:val="24"/>
        </w:rPr>
        <w:t>La presentación de la solicitud de homologación por parte del deudor se encuentra limitado, por lo que una vez que se solicite no se podrá volver a solicitar otra vez en un plazo de un año. Diferente sería que el deudor solicitará la homologación de un acuerdo diferente al ya solicitado sin que haya pasado menos de un año, no se daría este presupuesto al ser otro diferente.</w:t>
      </w:r>
    </w:p>
    <w:p w:rsidR="002A3843" w:rsidRDefault="002A3843" w:rsidP="005A0692">
      <w:pPr>
        <w:spacing w:line="360" w:lineRule="auto"/>
        <w:ind w:firstLine="709"/>
        <w:jc w:val="both"/>
        <w:rPr>
          <w:rFonts w:ascii="Times New Roman" w:hAnsi="Times New Roman" w:cs="Times New Roman"/>
          <w:sz w:val="24"/>
        </w:rPr>
      </w:pPr>
      <w:r>
        <w:rPr>
          <w:rFonts w:ascii="Times New Roman" w:hAnsi="Times New Roman" w:cs="Times New Roman"/>
          <w:sz w:val="24"/>
        </w:rPr>
        <w:t>Este presupuesto persigue una doble finalidad, conseguir la finalización de acuerdos de refinanciación a medio y largo plazo y también evitar la aglomeración de refinanciaciones a corto plazo. Debido a eso, se produce la limitación para la presentación de la primera solicitud, independiente si la resolución sea o no favorable.</w:t>
      </w:r>
    </w:p>
    <w:p w:rsidR="0004209F" w:rsidRDefault="0004209F" w:rsidP="005A0692">
      <w:pPr>
        <w:spacing w:line="360" w:lineRule="auto"/>
        <w:ind w:firstLine="709"/>
        <w:jc w:val="both"/>
        <w:rPr>
          <w:rFonts w:ascii="Times New Roman" w:hAnsi="Times New Roman" w:cs="Times New Roman"/>
          <w:sz w:val="24"/>
        </w:rPr>
      </w:pPr>
    </w:p>
    <w:p w:rsidR="0004209F" w:rsidRDefault="00E9746D" w:rsidP="0004209F">
      <w:pPr>
        <w:spacing w:line="360" w:lineRule="auto"/>
        <w:jc w:val="both"/>
        <w:rPr>
          <w:rFonts w:ascii="Times New Roman" w:hAnsi="Times New Roman" w:cs="Times New Roman"/>
          <w:sz w:val="24"/>
        </w:rPr>
      </w:pPr>
      <w:r>
        <w:rPr>
          <w:rFonts w:ascii="Times New Roman" w:hAnsi="Times New Roman" w:cs="Times New Roman"/>
          <w:b/>
          <w:sz w:val="24"/>
        </w:rPr>
        <w:t>4</w:t>
      </w:r>
      <w:r w:rsidR="0004209F">
        <w:rPr>
          <w:rFonts w:ascii="Times New Roman" w:hAnsi="Times New Roman" w:cs="Times New Roman"/>
          <w:b/>
          <w:sz w:val="24"/>
        </w:rPr>
        <w:t>.4. Eficacia de la homologación.</w:t>
      </w:r>
    </w:p>
    <w:p w:rsidR="0004209F" w:rsidRDefault="008D69BA" w:rsidP="005A0692">
      <w:pPr>
        <w:spacing w:line="360" w:lineRule="auto"/>
        <w:ind w:firstLine="709"/>
        <w:jc w:val="both"/>
        <w:rPr>
          <w:rFonts w:ascii="Times New Roman" w:hAnsi="Times New Roman" w:cs="Times New Roman"/>
          <w:sz w:val="24"/>
        </w:rPr>
      </w:pPr>
      <w:r>
        <w:rPr>
          <w:rFonts w:ascii="Times New Roman" w:hAnsi="Times New Roman" w:cs="Times New Roman"/>
          <w:sz w:val="24"/>
        </w:rPr>
        <w:t>La homologación se trata de un tipo de tutela judicial, la cual no ha tenido una regulación rigurosa ni clara en el Derecho español, pudiendo ser marcada desde una triple dimensión: objetiva (</w:t>
      </w:r>
      <w:r w:rsidRPr="008D69BA">
        <w:rPr>
          <w:rFonts w:ascii="Times New Roman" w:hAnsi="Times New Roman" w:cs="Times New Roman"/>
          <w:i/>
          <w:sz w:val="24"/>
        </w:rPr>
        <w:t>en qué consiste</w:t>
      </w:r>
      <w:r>
        <w:rPr>
          <w:rFonts w:ascii="Times New Roman" w:hAnsi="Times New Roman" w:cs="Times New Roman"/>
          <w:sz w:val="24"/>
        </w:rPr>
        <w:t>), subjetiva (</w:t>
      </w:r>
      <w:r w:rsidRPr="008D69BA">
        <w:rPr>
          <w:rFonts w:ascii="Times New Roman" w:hAnsi="Times New Roman" w:cs="Times New Roman"/>
          <w:i/>
          <w:sz w:val="24"/>
        </w:rPr>
        <w:t>a quién afecta</w:t>
      </w:r>
      <w:r>
        <w:rPr>
          <w:rFonts w:ascii="Times New Roman" w:hAnsi="Times New Roman" w:cs="Times New Roman"/>
          <w:sz w:val="24"/>
        </w:rPr>
        <w:t>) y temporal (</w:t>
      </w:r>
      <w:r w:rsidRPr="008D69BA">
        <w:rPr>
          <w:rFonts w:ascii="Times New Roman" w:hAnsi="Times New Roman" w:cs="Times New Roman"/>
          <w:i/>
          <w:sz w:val="24"/>
        </w:rPr>
        <w:t>desde cuándo y cuánto es eficaz</w:t>
      </w:r>
      <w:r>
        <w:rPr>
          <w:rFonts w:ascii="Times New Roman" w:hAnsi="Times New Roman" w:cs="Times New Roman"/>
          <w:sz w:val="24"/>
        </w:rPr>
        <w:t>).</w:t>
      </w:r>
    </w:p>
    <w:p w:rsidR="008D69BA" w:rsidRPr="00031EB7" w:rsidRDefault="008D69BA" w:rsidP="008D69BA">
      <w:pPr>
        <w:spacing w:line="360" w:lineRule="auto"/>
        <w:jc w:val="both"/>
        <w:rPr>
          <w:rFonts w:ascii="Times New Roman" w:hAnsi="Times New Roman" w:cs="Times New Roman"/>
          <w:sz w:val="24"/>
        </w:rPr>
      </w:pPr>
      <w:r w:rsidRPr="00031EB7">
        <w:rPr>
          <w:rFonts w:ascii="Times New Roman" w:hAnsi="Times New Roman" w:cs="Times New Roman"/>
          <w:sz w:val="24"/>
        </w:rPr>
        <w:lastRenderedPageBreak/>
        <w:t xml:space="preserve">A) </w:t>
      </w:r>
      <w:r w:rsidRPr="00031EB7">
        <w:rPr>
          <w:rFonts w:ascii="Times New Roman" w:hAnsi="Times New Roman" w:cs="Times New Roman"/>
          <w:sz w:val="24"/>
          <w:u w:val="single"/>
        </w:rPr>
        <w:t>La extensión de la espera pactada con entidades financieras.</w:t>
      </w:r>
    </w:p>
    <w:p w:rsidR="008D69BA" w:rsidRDefault="00974608" w:rsidP="005A0692">
      <w:pPr>
        <w:spacing w:line="360" w:lineRule="auto"/>
        <w:ind w:firstLine="709"/>
        <w:jc w:val="both"/>
        <w:rPr>
          <w:rFonts w:ascii="Times New Roman" w:hAnsi="Times New Roman" w:cs="Times New Roman"/>
          <w:sz w:val="24"/>
        </w:rPr>
      </w:pPr>
      <w:r>
        <w:rPr>
          <w:rFonts w:ascii="Times New Roman" w:hAnsi="Times New Roman" w:cs="Times New Roman"/>
          <w:sz w:val="24"/>
        </w:rPr>
        <w:t>La homologación supone la espera pactada por el deudor con entidades acreedores se extiende a entidades que no han firmado el acuerdo ni se han suscrito y a las disidentes. La eficacia de un acuerdo homologado se extiende a sujetos diferentes de los contratantes (art 1257</w:t>
      </w:r>
      <w:r>
        <w:rPr>
          <w:rStyle w:val="Refdenotaalpie"/>
          <w:rFonts w:ascii="Times New Roman" w:hAnsi="Times New Roman" w:cs="Times New Roman"/>
          <w:sz w:val="24"/>
        </w:rPr>
        <w:footnoteReference w:id="25"/>
      </w:r>
      <w:r>
        <w:rPr>
          <w:rFonts w:ascii="Times New Roman" w:hAnsi="Times New Roman" w:cs="Times New Roman"/>
          <w:sz w:val="24"/>
        </w:rPr>
        <w:t xml:space="preserve"> CC), estando en la obligación de cumplir(art 1258 CC).</w:t>
      </w:r>
    </w:p>
    <w:p w:rsidR="007A1F1F" w:rsidRDefault="007A1F1F" w:rsidP="005A0692">
      <w:pPr>
        <w:spacing w:line="360" w:lineRule="auto"/>
        <w:ind w:firstLine="709"/>
        <w:jc w:val="both"/>
        <w:rPr>
          <w:rFonts w:ascii="Times New Roman" w:hAnsi="Times New Roman" w:cs="Times New Roman"/>
          <w:sz w:val="24"/>
        </w:rPr>
      </w:pPr>
      <w:r>
        <w:rPr>
          <w:rFonts w:ascii="Times New Roman" w:hAnsi="Times New Roman" w:cs="Times New Roman"/>
          <w:sz w:val="24"/>
        </w:rPr>
        <w:t>La homologación tiene un carácter constitutivo, es decir, consiste en la equiparación de los contratantes que no se han ligado al acuerdo. Esto supone una implicación importante para la hora de impugnarlo, pues la posición de demandado será para el deudor al igual que los demás de acreedores que se encuentra suscrito al acuerdo</w:t>
      </w:r>
      <w:r w:rsidR="00815550">
        <w:rPr>
          <w:rFonts w:ascii="Times New Roman" w:hAnsi="Times New Roman" w:cs="Times New Roman"/>
          <w:sz w:val="24"/>
        </w:rPr>
        <w:t xml:space="preserve">. </w:t>
      </w:r>
      <w:r w:rsidR="00373E00">
        <w:rPr>
          <w:rFonts w:ascii="Times New Roman" w:hAnsi="Times New Roman" w:cs="Times New Roman"/>
          <w:sz w:val="24"/>
        </w:rPr>
        <w:t>Además,</w:t>
      </w:r>
      <w:r w:rsidR="00815550">
        <w:rPr>
          <w:rFonts w:ascii="Times New Roman" w:hAnsi="Times New Roman" w:cs="Times New Roman"/>
          <w:sz w:val="24"/>
        </w:rPr>
        <w:t xml:space="preserve"> existe la posibilidad de las entidades no firmantes de intervenir para apoyar la renovación de la homologación.</w:t>
      </w:r>
    </w:p>
    <w:p w:rsidR="00815550" w:rsidRDefault="00031EB7" w:rsidP="005A0692">
      <w:pPr>
        <w:spacing w:line="360" w:lineRule="auto"/>
        <w:ind w:firstLine="709"/>
        <w:jc w:val="both"/>
        <w:rPr>
          <w:rFonts w:ascii="Times New Roman" w:hAnsi="Times New Roman" w:cs="Times New Roman"/>
          <w:sz w:val="24"/>
        </w:rPr>
      </w:pPr>
      <w:r>
        <w:rPr>
          <w:rFonts w:ascii="Times New Roman" w:hAnsi="Times New Roman" w:cs="Times New Roman"/>
          <w:sz w:val="24"/>
        </w:rPr>
        <w:t>El</w:t>
      </w:r>
      <w:r w:rsidR="00815550">
        <w:rPr>
          <w:rFonts w:ascii="Times New Roman" w:hAnsi="Times New Roman" w:cs="Times New Roman"/>
          <w:sz w:val="24"/>
        </w:rPr>
        <w:t xml:space="preserve"> fundamento material de esta pretensión es obtener la homologación si previamente cumple los presupuestos procesales y materiales. En cuanto al contenido se encuentra limitado: objetivamente no podrá superar la espera pactada </w:t>
      </w:r>
      <w:r w:rsidR="0062685D">
        <w:rPr>
          <w:rFonts w:ascii="Times New Roman" w:hAnsi="Times New Roman" w:cs="Times New Roman"/>
          <w:sz w:val="24"/>
        </w:rPr>
        <w:t xml:space="preserve">en el acuerdo ni alcanzar otros </w:t>
      </w:r>
      <w:r w:rsidR="00CF5D2C">
        <w:rPr>
          <w:rFonts w:ascii="Times New Roman" w:hAnsi="Times New Roman" w:cs="Times New Roman"/>
          <w:sz w:val="24"/>
        </w:rPr>
        <w:t>contenidos (novación</w:t>
      </w:r>
      <w:r w:rsidR="0062685D">
        <w:rPr>
          <w:rFonts w:ascii="Times New Roman" w:hAnsi="Times New Roman" w:cs="Times New Roman"/>
          <w:sz w:val="24"/>
        </w:rPr>
        <w:t>, descuentos…) y subjetivamente, no podrá alcanzar a aquellos acreedores que no se traten de entidades financieras. Además el juez debe tener en cuenta el contenido del acuerdo para establecer si supone un sacrificio desproporcionada para las entidades no firmantes</w:t>
      </w:r>
      <w:r w:rsidR="0062685D">
        <w:rPr>
          <w:rStyle w:val="Refdenotaalpie"/>
          <w:rFonts w:ascii="Times New Roman" w:hAnsi="Times New Roman" w:cs="Times New Roman"/>
          <w:sz w:val="24"/>
        </w:rPr>
        <w:footnoteReference w:id="26"/>
      </w:r>
      <w:r w:rsidR="0062685D">
        <w:rPr>
          <w:rFonts w:ascii="Times New Roman" w:hAnsi="Times New Roman" w:cs="Times New Roman"/>
          <w:sz w:val="24"/>
        </w:rPr>
        <w:t xml:space="preserve"> la homologación.</w:t>
      </w:r>
    </w:p>
    <w:p w:rsidR="0078730A" w:rsidRDefault="0078730A" w:rsidP="005A0692">
      <w:pPr>
        <w:spacing w:line="360" w:lineRule="auto"/>
        <w:ind w:firstLine="709"/>
        <w:jc w:val="both"/>
        <w:rPr>
          <w:rFonts w:ascii="Times New Roman" w:hAnsi="Times New Roman" w:cs="Times New Roman"/>
          <w:sz w:val="24"/>
        </w:rPr>
      </w:pPr>
      <w:r>
        <w:rPr>
          <w:rFonts w:ascii="Times New Roman" w:hAnsi="Times New Roman" w:cs="Times New Roman"/>
          <w:sz w:val="24"/>
        </w:rPr>
        <w:t>La doble restricción objetiva-subjetiva que supone la homologación genera el debate sobre la posibilidad de la homologación parcial</w:t>
      </w:r>
      <w:r>
        <w:rPr>
          <w:rStyle w:val="Refdenotaalpie"/>
          <w:rFonts w:ascii="Times New Roman" w:hAnsi="Times New Roman" w:cs="Times New Roman"/>
          <w:sz w:val="24"/>
        </w:rPr>
        <w:footnoteReference w:id="27"/>
      </w:r>
      <w:r>
        <w:rPr>
          <w:rFonts w:ascii="Times New Roman" w:hAnsi="Times New Roman" w:cs="Times New Roman"/>
          <w:sz w:val="24"/>
        </w:rPr>
        <w:t>, siendo posible siempre que el contenido del acuerdo sea independientemente funcional, es decir</w:t>
      </w:r>
      <w:r w:rsidR="00585E8F">
        <w:rPr>
          <w:rFonts w:ascii="Times New Roman" w:hAnsi="Times New Roman" w:cs="Times New Roman"/>
          <w:sz w:val="24"/>
        </w:rPr>
        <w:t>, la homologación se producirá si los acreedores de los cuales depende el cumplimiento de la condición aceptaran el acuerdo.</w:t>
      </w:r>
    </w:p>
    <w:p w:rsidR="00585E8F" w:rsidRDefault="00585E8F" w:rsidP="005A0692">
      <w:pPr>
        <w:spacing w:line="360" w:lineRule="auto"/>
        <w:ind w:firstLine="709"/>
        <w:jc w:val="both"/>
        <w:rPr>
          <w:rFonts w:ascii="Times New Roman" w:hAnsi="Times New Roman" w:cs="Times New Roman"/>
          <w:sz w:val="24"/>
        </w:rPr>
      </w:pPr>
      <w:r>
        <w:rPr>
          <w:rFonts w:ascii="Times New Roman" w:hAnsi="Times New Roman" w:cs="Times New Roman"/>
          <w:sz w:val="24"/>
        </w:rPr>
        <w:lastRenderedPageBreak/>
        <w:t>En la práctica la homologación es limitada, nos encontramos con algunos pronunciamientos que suponen una homologación parcial, no siendo algo excepcional debido a la dificultad de ciertas refinanciaciones</w:t>
      </w:r>
      <w:r>
        <w:rPr>
          <w:rStyle w:val="Refdenotaalpie"/>
          <w:rFonts w:ascii="Times New Roman" w:hAnsi="Times New Roman" w:cs="Times New Roman"/>
          <w:sz w:val="24"/>
        </w:rPr>
        <w:footnoteReference w:id="28"/>
      </w:r>
      <w:r>
        <w:rPr>
          <w:rFonts w:ascii="Times New Roman" w:hAnsi="Times New Roman" w:cs="Times New Roman"/>
          <w:sz w:val="24"/>
        </w:rPr>
        <w:t xml:space="preserve">. Por ejemplo, la exclusión de acreedores comerciales que establece el </w:t>
      </w:r>
      <w:r w:rsidRPr="00585E8F">
        <w:rPr>
          <w:rFonts w:ascii="Times New Roman" w:hAnsi="Times New Roman" w:cs="Times New Roman"/>
          <w:sz w:val="24"/>
        </w:rPr>
        <w:t>Auto del Juzgado de lo Mercantil de Gijón (N.º 3), de 10 de julio de 2012 (JUR 2012, 277325)</w:t>
      </w:r>
      <w:r>
        <w:rPr>
          <w:rStyle w:val="Refdenotaalpie"/>
          <w:rFonts w:ascii="Times New Roman" w:hAnsi="Times New Roman" w:cs="Times New Roman"/>
          <w:sz w:val="24"/>
        </w:rPr>
        <w:footnoteReference w:id="29"/>
      </w:r>
      <w:r w:rsidRPr="00585E8F">
        <w:rPr>
          <w:rFonts w:ascii="Times New Roman" w:hAnsi="Times New Roman" w:cs="Times New Roman"/>
          <w:sz w:val="24"/>
        </w:rPr>
        <w:t xml:space="preserve">o también, la homologación parcial que </w:t>
      </w:r>
      <w:r w:rsidR="000C1AC0" w:rsidRPr="00585E8F">
        <w:rPr>
          <w:rFonts w:ascii="Times New Roman" w:hAnsi="Times New Roman" w:cs="Times New Roman"/>
          <w:sz w:val="24"/>
        </w:rPr>
        <w:t>apr</w:t>
      </w:r>
      <w:r w:rsidR="000C1AC0">
        <w:rPr>
          <w:rFonts w:ascii="Times New Roman" w:hAnsi="Times New Roman" w:cs="Times New Roman"/>
          <w:sz w:val="24"/>
        </w:rPr>
        <w:t>obó</w:t>
      </w:r>
      <w:r w:rsidRPr="00585E8F">
        <w:rPr>
          <w:rFonts w:ascii="Times New Roman" w:hAnsi="Times New Roman" w:cs="Times New Roman"/>
          <w:sz w:val="24"/>
        </w:rPr>
        <w:t xml:space="preserve"> la Sentencia del Juzgado de lo Mercantil de Sevilla (N.º 2), de 3 de diciembre de 2012, en cuanto declara la «falta de extensión subjetiva» de la homologación acordada </w:t>
      </w:r>
      <w:r w:rsidR="000C1AC0" w:rsidRPr="00585E8F">
        <w:rPr>
          <w:rFonts w:ascii="Times New Roman" w:hAnsi="Times New Roman" w:cs="Times New Roman"/>
          <w:sz w:val="24"/>
        </w:rPr>
        <w:t>mediante Auto</w:t>
      </w:r>
      <w:r w:rsidRPr="00585E8F">
        <w:rPr>
          <w:rFonts w:ascii="Times New Roman" w:hAnsi="Times New Roman" w:cs="Times New Roman"/>
          <w:sz w:val="24"/>
        </w:rPr>
        <w:t xml:space="preserve"> de 21 de mayo de </w:t>
      </w:r>
      <w:r w:rsidR="000C1AC0" w:rsidRPr="00585E8F">
        <w:rPr>
          <w:rFonts w:ascii="Times New Roman" w:hAnsi="Times New Roman" w:cs="Times New Roman"/>
          <w:sz w:val="24"/>
        </w:rPr>
        <w:t>2012 (</w:t>
      </w:r>
      <w:r w:rsidRPr="00585E8F">
        <w:rPr>
          <w:rFonts w:ascii="Times New Roman" w:hAnsi="Times New Roman" w:cs="Times New Roman"/>
          <w:sz w:val="24"/>
        </w:rPr>
        <w:t>AC 2012, 1498) frente a la Agencia Estatal de la Administración Tributaria</w:t>
      </w:r>
      <w:r w:rsidR="000C1AC0">
        <w:rPr>
          <w:rStyle w:val="Refdenotaalpie"/>
          <w:rFonts w:ascii="Times New Roman" w:hAnsi="Times New Roman" w:cs="Times New Roman"/>
          <w:sz w:val="24"/>
        </w:rPr>
        <w:footnoteReference w:id="30"/>
      </w:r>
      <w:r w:rsidRPr="00585E8F">
        <w:rPr>
          <w:rFonts w:ascii="Times New Roman" w:hAnsi="Times New Roman" w:cs="Times New Roman"/>
          <w:sz w:val="24"/>
        </w:rPr>
        <w:t>.</w:t>
      </w:r>
    </w:p>
    <w:p w:rsidR="000C1AC0" w:rsidRDefault="000C1AC0" w:rsidP="005A0692">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En cuanto al ámbito objetivo de la homologación, extensión del pacto de espera, el </w:t>
      </w:r>
      <w:r w:rsidRPr="000C1AC0">
        <w:rPr>
          <w:rFonts w:ascii="Times New Roman" w:hAnsi="Times New Roman" w:cs="Times New Roman"/>
          <w:sz w:val="24"/>
        </w:rPr>
        <w:t xml:space="preserve">Auto del Juzgado de lo Mercantil de Barcelona (N.º 6), de 5 de junio de </w:t>
      </w:r>
      <w:proofErr w:type="gramStart"/>
      <w:r w:rsidRPr="000C1AC0">
        <w:rPr>
          <w:rFonts w:ascii="Times New Roman" w:hAnsi="Times New Roman" w:cs="Times New Roman"/>
          <w:sz w:val="24"/>
        </w:rPr>
        <w:t>2012  (</w:t>
      </w:r>
      <w:proofErr w:type="gramEnd"/>
      <w:r w:rsidRPr="000C1AC0">
        <w:rPr>
          <w:rFonts w:ascii="Times New Roman" w:hAnsi="Times New Roman" w:cs="Times New Roman"/>
          <w:sz w:val="24"/>
        </w:rPr>
        <w:t>JUR 2013, 70497)</w:t>
      </w:r>
      <w:r>
        <w:rPr>
          <w:rFonts w:ascii="Times New Roman" w:hAnsi="Times New Roman" w:cs="Times New Roman"/>
          <w:sz w:val="24"/>
        </w:rPr>
        <w:t>, se trata de un caso de homologación parcial que declara que las entidades no firmantes no abarcarían la emisión de nuevas líneas de financiación circulante, por que entiende que el acuerdo supone un sacrificio desproporcionado</w:t>
      </w:r>
      <w:r>
        <w:rPr>
          <w:rStyle w:val="Refdenotaalpie"/>
          <w:rFonts w:ascii="Times New Roman" w:hAnsi="Times New Roman" w:cs="Times New Roman"/>
          <w:sz w:val="24"/>
        </w:rPr>
        <w:footnoteReference w:id="31"/>
      </w:r>
      <w:r w:rsidR="007971C0">
        <w:rPr>
          <w:rFonts w:ascii="Times New Roman" w:hAnsi="Times New Roman" w:cs="Times New Roman"/>
          <w:sz w:val="24"/>
        </w:rPr>
        <w:t>.</w:t>
      </w:r>
      <w:r w:rsidR="002F7661">
        <w:rPr>
          <w:rFonts w:ascii="Times New Roman" w:hAnsi="Times New Roman" w:cs="Times New Roman"/>
          <w:sz w:val="24"/>
        </w:rPr>
        <w:t xml:space="preserve"> Además, si el acuerdo dependiera de una condición suspensiva, se podría conseguir el acuerdo en su totalidad, por lo que en caso de ese incumplimiento de dicha condición produciría que el acuerdo no tuviera efecto: Sobre esto se pronuncia </w:t>
      </w:r>
      <w:r w:rsidR="00B17FD4">
        <w:rPr>
          <w:rFonts w:ascii="Times New Roman" w:hAnsi="Times New Roman" w:cs="Times New Roman"/>
          <w:sz w:val="24"/>
        </w:rPr>
        <w:t xml:space="preserve">el </w:t>
      </w:r>
      <w:r w:rsidR="00B17FD4" w:rsidRPr="002F7661">
        <w:rPr>
          <w:rFonts w:ascii="Times New Roman" w:hAnsi="Times New Roman" w:cs="Times New Roman"/>
          <w:sz w:val="24"/>
        </w:rPr>
        <w:t>Auto</w:t>
      </w:r>
      <w:r w:rsidR="002F7661" w:rsidRPr="002F7661">
        <w:rPr>
          <w:rFonts w:ascii="Times New Roman" w:hAnsi="Times New Roman" w:cs="Times New Roman"/>
          <w:sz w:val="24"/>
        </w:rPr>
        <w:t xml:space="preserve"> del Juzgado de lo Mercantil de Sevilla (N.º 2), de 21 de mayo de </w:t>
      </w:r>
      <w:r w:rsidR="00B17FD4" w:rsidRPr="002F7661">
        <w:rPr>
          <w:rFonts w:ascii="Times New Roman" w:hAnsi="Times New Roman" w:cs="Times New Roman"/>
          <w:sz w:val="24"/>
        </w:rPr>
        <w:t>2012 (</w:t>
      </w:r>
      <w:r w:rsidR="002F7661" w:rsidRPr="002F7661">
        <w:rPr>
          <w:rFonts w:ascii="Times New Roman" w:hAnsi="Times New Roman" w:cs="Times New Roman"/>
          <w:sz w:val="24"/>
        </w:rPr>
        <w:t>AC 2012, 1498</w:t>
      </w:r>
      <w:r w:rsidR="002F7661">
        <w:rPr>
          <w:rFonts w:ascii="Times New Roman" w:hAnsi="Times New Roman" w:cs="Times New Roman"/>
          <w:sz w:val="24"/>
        </w:rPr>
        <w:t>), procede a la homologación del acuerdo entre las partes, estando a salvo las condiciones del acuerdo</w:t>
      </w:r>
      <w:r w:rsidR="002F7661">
        <w:rPr>
          <w:rStyle w:val="Refdenotaalpie"/>
          <w:rFonts w:ascii="Times New Roman" w:hAnsi="Times New Roman" w:cs="Times New Roman"/>
          <w:sz w:val="24"/>
        </w:rPr>
        <w:footnoteReference w:id="32"/>
      </w:r>
      <w:r w:rsidR="002F7661">
        <w:rPr>
          <w:rFonts w:ascii="Times New Roman" w:hAnsi="Times New Roman" w:cs="Times New Roman"/>
          <w:sz w:val="24"/>
        </w:rPr>
        <w:t>.</w:t>
      </w:r>
    </w:p>
    <w:p w:rsidR="00585E8F" w:rsidRDefault="0067523F" w:rsidP="005A0692">
      <w:pPr>
        <w:spacing w:line="360" w:lineRule="auto"/>
        <w:ind w:firstLine="709"/>
        <w:jc w:val="both"/>
        <w:rPr>
          <w:rFonts w:ascii="Times New Roman" w:hAnsi="Times New Roman" w:cs="Times New Roman"/>
          <w:sz w:val="24"/>
        </w:rPr>
      </w:pPr>
      <w:r>
        <w:rPr>
          <w:rFonts w:ascii="Times New Roman" w:hAnsi="Times New Roman" w:cs="Times New Roman"/>
          <w:sz w:val="24"/>
        </w:rPr>
        <w:lastRenderedPageBreak/>
        <w:t>Las intenciones de la homologación son de carácter unitario, no pudiendo ser capaz de modulación judicial, es decir, el juez no podrá modificar la esperada pactada, las condiciones en las cuales se produjo el acuerdo</w:t>
      </w:r>
      <w:r w:rsidR="00681079">
        <w:rPr>
          <w:rFonts w:ascii="Times New Roman" w:hAnsi="Times New Roman" w:cs="Times New Roman"/>
          <w:sz w:val="24"/>
        </w:rPr>
        <w:t>.</w:t>
      </w:r>
    </w:p>
    <w:p w:rsidR="00681079" w:rsidRDefault="00681079" w:rsidP="005A0692">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Distinto es que el deudor pueda solicitar y el juez acuerde, la paralización de las ejecuciones llevadas a cabo por los acreedores, la suspensión de las ejecuciones no es un efecto de la homologación, ni supone una medida cautelar con respecto la tutela jurídica que en ésta consiste. Si se tratara de una medida cautelar, se habría de garantizar que se produzca la efectividad de la homologación, sin </w:t>
      </w:r>
      <w:r w:rsidR="00E22CFF">
        <w:rPr>
          <w:rFonts w:ascii="Times New Roman" w:hAnsi="Times New Roman" w:cs="Times New Roman"/>
          <w:sz w:val="24"/>
        </w:rPr>
        <w:t>embargo,</w:t>
      </w:r>
      <w:r>
        <w:rPr>
          <w:rFonts w:ascii="Times New Roman" w:hAnsi="Times New Roman" w:cs="Times New Roman"/>
          <w:sz w:val="24"/>
        </w:rPr>
        <w:t xml:space="preserve"> no se puede</w:t>
      </w:r>
      <w:r w:rsidR="00E22CFF">
        <w:rPr>
          <w:rFonts w:ascii="Times New Roman" w:hAnsi="Times New Roman" w:cs="Times New Roman"/>
          <w:sz w:val="24"/>
        </w:rPr>
        <w:t xml:space="preserve"> respecto de</w:t>
      </w:r>
      <w:r>
        <w:rPr>
          <w:rFonts w:ascii="Times New Roman" w:hAnsi="Times New Roman" w:cs="Times New Roman"/>
          <w:sz w:val="24"/>
        </w:rPr>
        <w:t xml:space="preserve"> la extensión de la espera pactada</w:t>
      </w:r>
      <w:r w:rsidR="00E22CFF">
        <w:rPr>
          <w:rFonts w:ascii="Times New Roman" w:hAnsi="Times New Roman" w:cs="Times New Roman"/>
          <w:sz w:val="24"/>
        </w:rPr>
        <w:t xml:space="preserve"> a las entidades que no tienen garantías reales. </w:t>
      </w:r>
    </w:p>
    <w:p w:rsidR="00E22CFF" w:rsidRDefault="00E22CFF" w:rsidP="005A0692">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En cuanto a los plazos de la suspensión se extiende a la espera pacto en el acuerdo con tal que no supere de tres años, en el caso de que </w:t>
      </w:r>
      <w:r w:rsidR="000E5FC4">
        <w:rPr>
          <w:rFonts w:ascii="Times New Roman" w:hAnsi="Times New Roman" w:cs="Times New Roman"/>
          <w:sz w:val="24"/>
        </w:rPr>
        <w:t xml:space="preserve">la </w:t>
      </w:r>
      <w:r>
        <w:rPr>
          <w:rFonts w:ascii="Times New Roman" w:hAnsi="Times New Roman" w:cs="Times New Roman"/>
          <w:sz w:val="24"/>
        </w:rPr>
        <w:t xml:space="preserve">espera sea mayor a tres años, la suspensión podrá seguir hasta que pasen los tres años desde que se </w:t>
      </w:r>
      <w:r w:rsidR="000E5FC4">
        <w:rPr>
          <w:rFonts w:ascii="Times New Roman" w:hAnsi="Times New Roman" w:cs="Times New Roman"/>
          <w:sz w:val="24"/>
        </w:rPr>
        <w:t>produce la</w:t>
      </w:r>
      <w:r>
        <w:rPr>
          <w:rFonts w:ascii="Times New Roman" w:hAnsi="Times New Roman" w:cs="Times New Roman"/>
          <w:sz w:val="24"/>
        </w:rPr>
        <w:t xml:space="preserve"> suspensión por el secretario</w:t>
      </w:r>
      <w:r>
        <w:rPr>
          <w:rStyle w:val="Refdenotaalpie"/>
          <w:rFonts w:ascii="Times New Roman" w:hAnsi="Times New Roman" w:cs="Times New Roman"/>
          <w:sz w:val="24"/>
        </w:rPr>
        <w:footnoteReference w:id="33"/>
      </w:r>
      <w:r w:rsidR="000E5FC4">
        <w:rPr>
          <w:rFonts w:ascii="Times New Roman" w:hAnsi="Times New Roman" w:cs="Times New Roman"/>
          <w:sz w:val="24"/>
        </w:rPr>
        <w:t>.</w:t>
      </w:r>
    </w:p>
    <w:p w:rsidR="000E5FC4" w:rsidRDefault="000E5FC4" w:rsidP="005A0692">
      <w:pPr>
        <w:spacing w:line="360" w:lineRule="auto"/>
        <w:ind w:firstLine="709"/>
        <w:jc w:val="both"/>
        <w:rPr>
          <w:rFonts w:ascii="Times New Roman" w:hAnsi="Times New Roman" w:cs="Times New Roman"/>
          <w:sz w:val="24"/>
        </w:rPr>
      </w:pPr>
      <w:r>
        <w:rPr>
          <w:rFonts w:ascii="Times New Roman" w:hAnsi="Times New Roman" w:cs="Times New Roman"/>
          <w:sz w:val="24"/>
        </w:rPr>
        <w:t>En cuanto al ámbito material de la paralización según el tipo de modalidad, sea ordinario o especial, la espera pactada no afecta a las entidades que en sus créditos gozan de garantías reales, aunque según la ley la solución es dudosa, aunque estimamos que la paralización no afecta a la ejecución de garantías reales</w:t>
      </w:r>
      <w:r>
        <w:rPr>
          <w:rStyle w:val="Refdenotaalpie"/>
          <w:rFonts w:ascii="Times New Roman" w:hAnsi="Times New Roman" w:cs="Times New Roman"/>
          <w:sz w:val="24"/>
        </w:rPr>
        <w:footnoteReference w:id="34"/>
      </w:r>
      <w:r w:rsidR="00CB7CC4">
        <w:rPr>
          <w:rFonts w:ascii="Times New Roman" w:hAnsi="Times New Roman" w:cs="Times New Roman"/>
          <w:sz w:val="24"/>
        </w:rPr>
        <w:t>.</w:t>
      </w:r>
    </w:p>
    <w:p w:rsidR="00CF5D2C" w:rsidRDefault="00CF5D2C" w:rsidP="005A0692">
      <w:pPr>
        <w:spacing w:line="360" w:lineRule="auto"/>
        <w:ind w:firstLine="709"/>
        <w:jc w:val="both"/>
        <w:rPr>
          <w:rFonts w:ascii="Times New Roman" w:hAnsi="Times New Roman" w:cs="Times New Roman"/>
          <w:sz w:val="24"/>
        </w:rPr>
      </w:pPr>
      <w:r>
        <w:rPr>
          <w:rFonts w:ascii="Times New Roman" w:hAnsi="Times New Roman" w:cs="Times New Roman"/>
          <w:sz w:val="24"/>
        </w:rPr>
        <w:t>Cuando es acordada por el juez, la paralización de la ejecución afectará a procesos ordinarios, ya sea de ejecución pecuniaria o no pecuniaria, fundada en título judicial o extrajudicial</w:t>
      </w:r>
      <w:r>
        <w:rPr>
          <w:rStyle w:val="Refdenotaalpie"/>
          <w:rFonts w:ascii="Times New Roman" w:hAnsi="Times New Roman" w:cs="Times New Roman"/>
          <w:sz w:val="24"/>
        </w:rPr>
        <w:footnoteReference w:id="35"/>
      </w:r>
      <w:r>
        <w:rPr>
          <w:rFonts w:ascii="Times New Roman" w:hAnsi="Times New Roman" w:cs="Times New Roman"/>
          <w:sz w:val="24"/>
        </w:rPr>
        <w:t>.</w:t>
      </w:r>
    </w:p>
    <w:p w:rsidR="00031EB7" w:rsidRDefault="00031EB7" w:rsidP="005A0692">
      <w:pPr>
        <w:spacing w:line="360" w:lineRule="auto"/>
        <w:ind w:firstLine="709"/>
        <w:jc w:val="both"/>
        <w:rPr>
          <w:rFonts w:ascii="Times New Roman" w:hAnsi="Times New Roman" w:cs="Times New Roman"/>
          <w:sz w:val="24"/>
        </w:rPr>
      </w:pPr>
    </w:p>
    <w:p w:rsidR="00CF5D2C" w:rsidRPr="00031EB7" w:rsidRDefault="00CF5D2C" w:rsidP="00CF5D2C">
      <w:pPr>
        <w:spacing w:line="360" w:lineRule="auto"/>
        <w:jc w:val="both"/>
        <w:rPr>
          <w:rFonts w:ascii="Times New Roman" w:hAnsi="Times New Roman" w:cs="Times New Roman"/>
          <w:sz w:val="24"/>
        </w:rPr>
      </w:pPr>
      <w:r w:rsidRPr="00031EB7">
        <w:rPr>
          <w:rFonts w:ascii="Times New Roman" w:hAnsi="Times New Roman" w:cs="Times New Roman"/>
          <w:sz w:val="24"/>
        </w:rPr>
        <w:lastRenderedPageBreak/>
        <w:t xml:space="preserve">B) </w:t>
      </w:r>
      <w:r w:rsidRPr="00031EB7">
        <w:rPr>
          <w:rFonts w:ascii="Times New Roman" w:hAnsi="Times New Roman" w:cs="Times New Roman"/>
          <w:sz w:val="24"/>
          <w:u w:val="single"/>
        </w:rPr>
        <w:t>Los sujetos afectados en la homologación.</w:t>
      </w:r>
    </w:p>
    <w:p w:rsidR="00CF5D2C" w:rsidRDefault="00CF5D2C" w:rsidP="005A0692">
      <w:pPr>
        <w:spacing w:line="360" w:lineRule="auto"/>
        <w:ind w:firstLine="709"/>
        <w:jc w:val="both"/>
        <w:rPr>
          <w:rFonts w:ascii="Times New Roman" w:hAnsi="Times New Roman" w:cs="Times New Roman"/>
          <w:sz w:val="24"/>
        </w:rPr>
      </w:pPr>
      <w:r>
        <w:rPr>
          <w:rFonts w:ascii="Times New Roman" w:hAnsi="Times New Roman" w:cs="Times New Roman"/>
          <w:sz w:val="24"/>
        </w:rPr>
        <w:t>La homologación afecta, en virtud de la espera pactada con las entidades firmantes se extiende al resto de entidades</w:t>
      </w:r>
      <w:r w:rsidR="003B75B2">
        <w:rPr>
          <w:rFonts w:ascii="Times New Roman" w:hAnsi="Times New Roman" w:cs="Times New Roman"/>
          <w:sz w:val="24"/>
        </w:rPr>
        <w:t xml:space="preserve"> financieras</w:t>
      </w:r>
      <w:r>
        <w:rPr>
          <w:rFonts w:ascii="Times New Roman" w:hAnsi="Times New Roman" w:cs="Times New Roman"/>
          <w:sz w:val="24"/>
        </w:rPr>
        <w:t xml:space="preserve"> acreedoras no participantes o cuyos créditos no gocen de garantías reales.</w:t>
      </w:r>
      <w:r w:rsidR="003B75B2">
        <w:rPr>
          <w:rFonts w:ascii="Times New Roman" w:hAnsi="Times New Roman" w:cs="Times New Roman"/>
          <w:sz w:val="24"/>
        </w:rPr>
        <w:t xml:space="preserve"> La condición de entidad financiera no se extiende a acreedores comerciales, asalariados…, aunque fueran parte de la negociación del acuerdo.</w:t>
      </w:r>
    </w:p>
    <w:p w:rsidR="003B75B2" w:rsidRDefault="003B75B2" w:rsidP="003B75B2">
      <w:pPr>
        <w:spacing w:line="360" w:lineRule="auto"/>
        <w:ind w:firstLine="709"/>
        <w:jc w:val="both"/>
        <w:rPr>
          <w:rFonts w:ascii="Times New Roman" w:hAnsi="Times New Roman" w:cs="Times New Roman"/>
          <w:sz w:val="24"/>
        </w:rPr>
      </w:pPr>
      <w:r>
        <w:rPr>
          <w:rFonts w:ascii="Times New Roman" w:hAnsi="Times New Roman" w:cs="Times New Roman"/>
          <w:sz w:val="24"/>
        </w:rPr>
        <w:t>Solo será eficaz la homologación sobre las entidades financieras cuyos créditos no se encuentren dotados de garantías reales, supone un límite a la extensión de la espera. En el caso de que una entidad tenga varios créditos y solo algunos estén dotados de garantías reales</w:t>
      </w:r>
      <w:r w:rsidR="00370406">
        <w:rPr>
          <w:rFonts w:ascii="Times New Roman" w:hAnsi="Times New Roman" w:cs="Times New Roman"/>
          <w:sz w:val="24"/>
        </w:rPr>
        <w:t>, debido a esto, se deben individualizar los créditos que si se encuentren afectados a la espera.</w:t>
      </w:r>
    </w:p>
    <w:p w:rsidR="00A569FB" w:rsidRDefault="00A569FB" w:rsidP="003B75B2">
      <w:pPr>
        <w:spacing w:line="360" w:lineRule="auto"/>
        <w:ind w:firstLine="709"/>
        <w:jc w:val="both"/>
        <w:rPr>
          <w:rFonts w:ascii="Times New Roman" w:hAnsi="Times New Roman" w:cs="Times New Roman"/>
          <w:sz w:val="24"/>
        </w:rPr>
      </w:pPr>
      <w:r>
        <w:rPr>
          <w:rFonts w:ascii="Times New Roman" w:hAnsi="Times New Roman" w:cs="Times New Roman"/>
          <w:sz w:val="24"/>
        </w:rPr>
        <w:t>Respeto de la segunda condición subjetiva de la homologación subjetiva respecto de aquellas entidades que no estén conformes al acuerdo, eso puede provocar situaciones jurídicas distintas sin que exista la posible adhesión al acuerdo siempre que se haga anteriormente a la resolución sobre la homologación.</w:t>
      </w:r>
    </w:p>
    <w:p w:rsidR="00A569FB" w:rsidRDefault="00A569FB" w:rsidP="003B75B2">
      <w:pPr>
        <w:spacing w:line="360" w:lineRule="auto"/>
        <w:ind w:firstLine="709"/>
        <w:jc w:val="both"/>
        <w:rPr>
          <w:rFonts w:ascii="Times New Roman" w:hAnsi="Times New Roman" w:cs="Times New Roman"/>
          <w:sz w:val="24"/>
        </w:rPr>
      </w:pPr>
      <w:r>
        <w:rPr>
          <w:rFonts w:ascii="Times New Roman" w:hAnsi="Times New Roman" w:cs="Times New Roman"/>
          <w:sz w:val="24"/>
        </w:rPr>
        <w:t>Las entidades que se encuentran afectadas por la homologación estarán ligadas por la espera pactada en las mismas circunstancias en la cual estas habían dado su consentimiento al acuerdo y además en el plazo de la espera las entidades no podrán reclamar sus créditos, sea declarativas</w:t>
      </w:r>
      <w:r>
        <w:rPr>
          <w:rStyle w:val="Refdenotaalpie"/>
          <w:rFonts w:ascii="Times New Roman" w:hAnsi="Times New Roman" w:cs="Times New Roman"/>
          <w:sz w:val="24"/>
        </w:rPr>
        <w:footnoteReference w:id="36"/>
      </w:r>
      <w:r>
        <w:rPr>
          <w:rFonts w:ascii="Times New Roman" w:hAnsi="Times New Roman" w:cs="Times New Roman"/>
          <w:sz w:val="24"/>
        </w:rPr>
        <w:t xml:space="preserve"> o de ejecución, ni tampoco solicitar la situación concursal del deudor.</w:t>
      </w:r>
    </w:p>
    <w:p w:rsidR="00AA2397" w:rsidRDefault="00AA2397" w:rsidP="003B75B2">
      <w:pPr>
        <w:spacing w:line="360" w:lineRule="auto"/>
        <w:ind w:firstLine="709"/>
        <w:jc w:val="both"/>
        <w:rPr>
          <w:rFonts w:ascii="Times New Roman" w:hAnsi="Times New Roman" w:cs="Times New Roman"/>
          <w:sz w:val="24"/>
        </w:rPr>
      </w:pPr>
      <w:r>
        <w:rPr>
          <w:rFonts w:ascii="Times New Roman" w:hAnsi="Times New Roman" w:cs="Times New Roman"/>
          <w:sz w:val="24"/>
        </w:rPr>
        <w:t>En el caso de que se produzca inactividad procesal no compromete los plazos para que esta acción caduque o prescriba, fundado en el art 518</w:t>
      </w:r>
      <w:r>
        <w:rPr>
          <w:rStyle w:val="Refdenotaalpie"/>
          <w:rFonts w:ascii="Times New Roman" w:hAnsi="Times New Roman" w:cs="Times New Roman"/>
          <w:sz w:val="24"/>
        </w:rPr>
        <w:footnoteReference w:id="37"/>
      </w:r>
      <w:r>
        <w:rPr>
          <w:rFonts w:ascii="Times New Roman" w:hAnsi="Times New Roman" w:cs="Times New Roman"/>
          <w:sz w:val="24"/>
        </w:rPr>
        <w:t xml:space="preserve"> LEC.</w:t>
      </w:r>
    </w:p>
    <w:p w:rsidR="00AA2397" w:rsidRPr="00031EB7" w:rsidRDefault="00AA2397" w:rsidP="00AA2397">
      <w:pPr>
        <w:spacing w:line="360" w:lineRule="auto"/>
        <w:jc w:val="both"/>
        <w:rPr>
          <w:rFonts w:ascii="Times New Roman" w:hAnsi="Times New Roman" w:cs="Times New Roman"/>
          <w:sz w:val="24"/>
        </w:rPr>
      </w:pPr>
      <w:r w:rsidRPr="00031EB7">
        <w:rPr>
          <w:rFonts w:ascii="Times New Roman" w:hAnsi="Times New Roman" w:cs="Times New Roman"/>
          <w:sz w:val="24"/>
        </w:rPr>
        <w:t xml:space="preserve">C) </w:t>
      </w:r>
      <w:r w:rsidRPr="00031EB7">
        <w:rPr>
          <w:rFonts w:ascii="Times New Roman" w:hAnsi="Times New Roman" w:cs="Times New Roman"/>
          <w:sz w:val="24"/>
          <w:u w:val="single"/>
        </w:rPr>
        <w:t>Eficacia temporal de la homologación.</w:t>
      </w:r>
    </w:p>
    <w:p w:rsidR="00AA2397" w:rsidRDefault="00AA2397" w:rsidP="003B75B2">
      <w:pPr>
        <w:spacing w:line="360" w:lineRule="auto"/>
        <w:ind w:firstLine="709"/>
        <w:jc w:val="both"/>
        <w:rPr>
          <w:rFonts w:ascii="Times New Roman" w:hAnsi="Times New Roman" w:cs="Times New Roman"/>
          <w:sz w:val="24"/>
        </w:rPr>
      </w:pPr>
      <w:r>
        <w:rPr>
          <w:rFonts w:ascii="Times New Roman" w:hAnsi="Times New Roman" w:cs="Times New Roman"/>
          <w:sz w:val="24"/>
        </w:rPr>
        <w:t>La eficacia de la homologación al venir establecida desde una resolución de un proceso no contradictorio, la eficacia se produce desde el día siguiente en cuanto se publica en el BOE.</w:t>
      </w:r>
    </w:p>
    <w:p w:rsidR="00AA2397" w:rsidRDefault="00AA2397" w:rsidP="003B75B2">
      <w:pPr>
        <w:spacing w:line="360" w:lineRule="auto"/>
        <w:ind w:firstLine="709"/>
        <w:jc w:val="both"/>
        <w:rPr>
          <w:rFonts w:ascii="Times New Roman" w:hAnsi="Times New Roman" w:cs="Times New Roman"/>
          <w:sz w:val="24"/>
        </w:rPr>
      </w:pPr>
      <w:r>
        <w:rPr>
          <w:rFonts w:ascii="Times New Roman" w:hAnsi="Times New Roman" w:cs="Times New Roman"/>
          <w:sz w:val="24"/>
        </w:rPr>
        <w:lastRenderedPageBreak/>
        <w:t>Si la sen</w:t>
      </w:r>
      <w:r w:rsidR="00C031D7">
        <w:rPr>
          <w:rFonts w:ascii="Times New Roman" w:hAnsi="Times New Roman" w:cs="Times New Roman"/>
          <w:sz w:val="24"/>
        </w:rPr>
        <w:t>tencia dada en el proceso fuera desestimatoria, la eficacia comprometerá la espera respecto de los acreedores que no se unieron al acuerdo, debido a que una vez que se produce el pronunciamiento de la homologación es indivisible a todos los acreedores que cumplan con las exigencias establecidas por la Ley. Distintos es que se produzca la estimación de la oposición debido a que la homologación haya superado los limites legales establecidos, en este caso las entidades que no hayan firmado estarán libres de la espera, y en este caso si podrán dichas entidades llevar a cabo las diferentes acciones judiciales y extrajudiciales para reclamar sobres sus créditos desde que tengan conocimiento de la revocación</w:t>
      </w:r>
      <w:r w:rsidR="006602B5">
        <w:rPr>
          <w:rFonts w:ascii="Times New Roman" w:hAnsi="Times New Roman" w:cs="Times New Roman"/>
          <w:sz w:val="24"/>
        </w:rPr>
        <w:t>, independiente desde la fecha de publicación en el BOE. La anulación provoca una ineficacia inmediata dado el carácter constitutivo del proceso de homologación y el restablecimiento inmediato de los derechos que suponen la revocación.</w:t>
      </w:r>
    </w:p>
    <w:p w:rsidR="003B67D0" w:rsidRDefault="006602B5" w:rsidP="004610D0">
      <w:pPr>
        <w:spacing w:line="360" w:lineRule="auto"/>
        <w:ind w:firstLine="709"/>
        <w:jc w:val="both"/>
        <w:rPr>
          <w:rFonts w:ascii="Times New Roman" w:hAnsi="Times New Roman" w:cs="Times New Roman"/>
          <w:sz w:val="24"/>
        </w:rPr>
      </w:pPr>
      <w:r>
        <w:rPr>
          <w:rFonts w:ascii="Times New Roman" w:hAnsi="Times New Roman" w:cs="Times New Roman"/>
          <w:sz w:val="24"/>
        </w:rPr>
        <w:t>La eficacia que produce la homologación es independiente de todas las acciones que sean ejercitadas respecto del acuerdo, ya sean los acreedores que están suscritos al acuerdo, o cualquier otro que esté interesado en la declaración de su anulación o nulidad.</w:t>
      </w:r>
    </w:p>
    <w:p w:rsidR="003641EC" w:rsidRDefault="003641EC" w:rsidP="00322171">
      <w:pPr>
        <w:spacing w:line="360" w:lineRule="auto"/>
        <w:jc w:val="both"/>
        <w:rPr>
          <w:rFonts w:ascii="Times New Roman" w:hAnsi="Times New Roman" w:cs="Times New Roman"/>
          <w:b/>
          <w:sz w:val="24"/>
        </w:rPr>
      </w:pPr>
    </w:p>
    <w:p w:rsidR="00322171" w:rsidRPr="00322171" w:rsidRDefault="00322171" w:rsidP="00322171">
      <w:pPr>
        <w:spacing w:line="360" w:lineRule="auto"/>
        <w:jc w:val="both"/>
        <w:rPr>
          <w:rFonts w:ascii="Times New Roman" w:hAnsi="Times New Roman" w:cs="Times New Roman"/>
          <w:b/>
          <w:sz w:val="24"/>
        </w:rPr>
      </w:pPr>
      <w:r w:rsidRPr="00322171">
        <w:rPr>
          <w:rFonts w:ascii="Times New Roman" w:hAnsi="Times New Roman" w:cs="Times New Roman"/>
          <w:b/>
          <w:sz w:val="24"/>
        </w:rPr>
        <w:t>4.5</w:t>
      </w:r>
      <w:r w:rsidR="0019515A">
        <w:rPr>
          <w:rFonts w:ascii="Times New Roman" w:hAnsi="Times New Roman" w:cs="Times New Roman"/>
          <w:b/>
          <w:sz w:val="24"/>
        </w:rPr>
        <w:t>.</w:t>
      </w:r>
      <w:r w:rsidRPr="00322171">
        <w:rPr>
          <w:rFonts w:ascii="Times New Roman" w:hAnsi="Times New Roman" w:cs="Times New Roman"/>
          <w:b/>
          <w:sz w:val="24"/>
        </w:rPr>
        <w:t xml:space="preserve"> Procedimiento de homologación.</w:t>
      </w:r>
    </w:p>
    <w:p w:rsidR="00322171" w:rsidRPr="00031EB7" w:rsidRDefault="00D76D87" w:rsidP="00D76D87">
      <w:pPr>
        <w:spacing w:line="360" w:lineRule="auto"/>
        <w:jc w:val="both"/>
        <w:rPr>
          <w:rFonts w:ascii="Times New Roman" w:hAnsi="Times New Roman" w:cs="Times New Roman"/>
          <w:sz w:val="24"/>
        </w:rPr>
      </w:pPr>
      <w:r w:rsidRPr="00031EB7">
        <w:rPr>
          <w:rFonts w:ascii="Times New Roman" w:hAnsi="Times New Roman" w:cs="Times New Roman"/>
          <w:sz w:val="24"/>
        </w:rPr>
        <w:t xml:space="preserve">1) </w:t>
      </w:r>
      <w:r w:rsidRPr="00031EB7">
        <w:rPr>
          <w:rFonts w:ascii="Times New Roman" w:hAnsi="Times New Roman" w:cs="Times New Roman"/>
          <w:sz w:val="24"/>
          <w:u w:val="single"/>
        </w:rPr>
        <w:t>Legitimación e intervención.</w:t>
      </w:r>
    </w:p>
    <w:p w:rsidR="00235904" w:rsidRDefault="00E678C2" w:rsidP="0075293E">
      <w:pPr>
        <w:spacing w:line="360" w:lineRule="auto"/>
        <w:ind w:firstLine="709"/>
        <w:jc w:val="both"/>
        <w:rPr>
          <w:rFonts w:ascii="Times New Roman" w:hAnsi="Times New Roman" w:cs="Times New Roman"/>
          <w:sz w:val="24"/>
        </w:rPr>
      </w:pPr>
      <w:r>
        <w:rPr>
          <w:rFonts w:ascii="Times New Roman" w:hAnsi="Times New Roman" w:cs="Times New Roman"/>
          <w:sz w:val="24"/>
        </w:rPr>
        <w:t>La homologación inicia el proceso a través de la solicitud interpuesta por el deudor, el cual es el único que está legitimado para llevarlo a cabo. Mientras que las entidades que están suscrita al acuerdo no tienen legitimación para ello, esa limitación viene establecida por la ley, dando esa facultad solo al deudor, En el proceso a parte del deudor no se excluye que los firmantes del acuerdo puedan ayudar, a ellos les asiste un interés legítimo respecto del favorecimiento del plan de viabilidad y fortalecimiento como consecuencia del cumplimiento de las obligaciones impuestas.</w:t>
      </w:r>
    </w:p>
    <w:p w:rsidR="00E678C2" w:rsidRDefault="00A57B1B" w:rsidP="0075293E">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Debido a que la homologación no tiene carácter contradictorio, la ley no prevé que se traslade la solicitud, ni tampoco se prevea una ventana de tiempo para la contestación por parte de los demandados. Diferente sucede, después de que se apruebe judicialmente, la homologación pude ser recurrida por el contencioso “incidente </w:t>
      </w:r>
      <w:r>
        <w:rPr>
          <w:rFonts w:ascii="Times New Roman" w:hAnsi="Times New Roman" w:cs="Times New Roman"/>
          <w:sz w:val="24"/>
        </w:rPr>
        <w:lastRenderedPageBreak/>
        <w:t>concursal”, este proceso se caracteriza por la prohibición de utilizar el recurso de apelación contra la sentencia y además el carácter de sumario.</w:t>
      </w:r>
    </w:p>
    <w:p w:rsidR="00A57B1B" w:rsidRPr="00031EB7" w:rsidRDefault="00A57B1B" w:rsidP="00A57B1B">
      <w:pPr>
        <w:spacing w:line="360" w:lineRule="auto"/>
        <w:jc w:val="both"/>
        <w:rPr>
          <w:rFonts w:ascii="Times New Roman" w:hAnsi="Times New Roman" w:cs="Times New Roman"/>
          <w:sz w:val="24"/>
        </w:rPr>
      </w:pPr>
      <w:r w:rsidRPr="00031EB7">
        <w:rPr>
          <w:rFonts w:ascii="Times New Roman" w:hAnsi="Times New Roman" w:cs="Times New Roman"/>
          <w:sz w:val="24"/>
        </w:rPr>
        <w:t xml:space="preserve">2) </w:t>
      </w:r>
      <w:r w:rsidRPr="00031EB7">
        <w:rPr>
          <w:rFonts w:ascii="Times New Roman" w:hAnsi="Times New Roman" w:cs="Times New Roman"/>
          <w:sz w:val="24"/>
          <w:u w:val="single"/>
        </w:rPr>
        <w:t>Solicitud y régimen de admisión</w:t>
      </w:r>
      <w:r w:rsidR="003A01D5" w:rsidRPr="00031EB7">
        <w:rPr>
          <w:rFonts w:ascii="Times New Roman" w:hAnsi="Times New Roman" w:cs="Times New Roman"/>
          <w:sz w:val="24"/>
          <w:u w:val="single"/>
        </w:rPr>
        <w:t>.</w:t>
      </w:r>
    </w:p>
    <w:p w:rsidR="00A57B1B" w:rsidRDefault="00BF2B14" w:rsidP="0075293E">
      <w:pPr>
        <w:spacing w:line="360" w:lineRule="auto"/>
        <w:ind w:firstLine="709"/>
        <w:jc w:val="both"/>
        <w:rPr>
          <w:rFonts w:ascii="Times New Roman" w:hAnsi="Times New Roman" w:cs="Times New Roman"/>
          <w:sz w:val="24"/>
        </w:rPr>
      </w:pPr>
      <w:r>
        <w:rPr>
          <w:rFonts w:ascii="Times New Roman" w:hAnsi="Times New Roman" w:cs="Times New Roman"/>
          <w:sz w:val="24"/>
        </w:rPr>
        <w:t>Se hará por escrito, aunque la ley no establece ninguna formalidad, en dicha solicitud deberá aparecer los fundamentos que respaldan las pretensiones, los que firman el acuerdo deben de representar el mínimo del pasivo para que el acuerdo esté exento de la acción rescisoria concursal a además para que sea viable la homologación. Si el acuerdo contuviera diferentes actos jurídicos y negocios</w:t>
      </w:r>
      <w:r w:rsidR="00A513B1">
        <w:rPr>
          <w:rFonts w:ascii="Times New Roman" w:hAnsi="Times New Roman" w:cs="Times New Roman"/>
          <w:sz w:val="24"/>
        </w:rPr>
        <w:t>, esa solicitud deberá de estar individualizada con respecto de los que se solicita en la homologación, esto lo que hace es facilitar el control judicial para que se produzca el cumplimiento de los requisitos y así evitar que se puedan presentar impugnaciones.</w:t>
      </w:r>
    </w:p>
    <w:p w:rsidR="00A513B1" w:rsidRDefault="00A513B1" w:rsidP="0075293E">
      <w:pPr>
        <w:spacing w:line="360" w:lineRule="auto"/>
        <w:ind w:firstLine="709"/>
        <w:jc w:val="both"/>
        <w:rPr>
          <w:rFonts w:ascii="Times New Roman" w:hAnsi="Times New Roman" w:cs="Times New Roman"/>
          <w:sz w:val="24"/>
        </w:rPr>
      </w:pPr>
      <w:r>
        <w:rPr>
          <w:rFonts w:ascii="Times New Roman" w:hAnsi="Times New Roman" w:cs="Times New Roman"/>
          <w:sz w:val="24"/>
        </w:rPr>
        <w:t>Si el deudor solicita la suspensión de las ejecuciones deberán acompañar en la solicitud los datos que identifiquen el procedimiento y el volumen del crédito a petición al juzgado para que la suspensión se haga efectiva</w:t>
      </w:r>
      <w:r>
        <w:rPr>
          <w:rStyle w:val="Refdenotaalpie"/>
          <w:rFonts w:ascii="Times New Roman" w:hAnsi="Times New Roman" w:cs="Times New Roman"/>
          <w:sz w:val="24"/>
        </w:rPr>
        <w:footnoteReference w:id="38"/>
      </w:r>
      <w:r>
        <w:rPr>
          <w:rFonts w:ascii="Times New Roman" w:hAnsi="Times New Roman" w:cs="Times New Roman"/>
          <w:sz w:val="24"/>
        </w:rPr>
        <w:t>.</w:t>
      </w:r>
    </w:p>
    <w:p w:rsidR="00A62F15" w:rsidRDefault="00A62F15" w:rsidP="0075293E">
      <w:pPr>
        <w:spacing w:line="360" w:lineRule="auto"/>
        <w:ind w:firstLine="709"/>
        <w:jc w:val="both"/>
        <w:rPr>
          <w:rFonts w:ascii="Times New Roman" w:hAnsi="Times New Roman" w:cs="Times New Roman"/>
          <w:sz w:val="24"/>
        </w:rPr>
      </w:pPr>
      <w:r>
        <w:rPr>
          <w:rFonts w:ascii="Times New Roman" w:hAnsi="Times New Roman" w:cs="Times New Roman"/>
          <w:sz w:val="24"/>
        </w:rPr>
        <w:t>Junto a la solicitud deberá acompañarse junto con el acuerdo de refinanciación y además del informe elaborado por el experto</w:t>
      </w:r>
      <w:r w:rsidR="00E268EE">
        <w:rPr>
          <w:rFonts w:ascii="Times New Roman" w:hAnsi="Times New Roman" w:cs="Times New Roman"/>
          <w:sz w:val="24"/>
        </w:rPr>
        <w:t xml:space="preserve">, aunque no existe obligatoriedad respecto de solicitar el informe por parte del experto, generando cierta inseguridad debido a que los acreedores van a exigir garantías exageradas </w:t>
      </w:r>
      <w:r w:rsidR="00F34ED2">
        <w:rPr>
          <w:rFonts w:ascii="Times New Roman" w:hAnsi="Times New Roman" w:cs="Times New Roman"/>
          <w:sz w:val="24"/>
        </w:rPr>
        <w:t>que el deudor va a tener que aceptar para así conseguir</w:t>
      </w:r>
      <w:r w:rsidR="00E268EE">
        <w:rPr>
          <w:rFonts w:ascii="Times New Roman" w:hAnsi="Times New Roman" w:cs="Times New Roman"/>
          <w:sz w:val="24"/>
        </w:rPr>
        <w:t xml:space="preserve"> la </w:t>
      </w:r>
      <w:r w:rsidR="00F34ED2">
        <w:rPr>
          <w:rFonts w:ascii="Times New Roman" w:hAnsi="Times New Roman" w:cs="Times New Roman"/>
          <w:sz w:val="24"/>
        </w:rPr>
        <w:t>financiación</w:t>
      </w:r>
      <w:r>
        <w:rPr>
          <w:rFonts w:ascii="Times New Roman" w:hAnsi="Times New Roman" w:cs="Times New Roman"/>
          <w:sz w:val="24"/>
        </w:rPr>
        <w:t>. El aporte podrá entregarse bien a través de soporte electrónico o por escrito</w:t>
      </w:r>
      <w:r w:rsidR="00CC6AD0">
        <w:rPr>
          <w:rFonts w:ascii="Times New Roman" w:hAnsi="Times New Roman" w:cs="Times New Roman"/>
          <w:sz w:val="24"/>
        </w:rPr>
        <w:t>. En caso de algún error se concederá un plazo para subsanar los defectos, en casa de que transcurra el plazo si que el deudor no haya subsanado los errores se procederá a la inadmisión, a través de auto por el juez.Adem.as en la solicitud no hace falta firma del letrado ni asistencia de procurador.</w:t>
      </w:r>
    </w:p>
    <w:p w:rsidR="00CC6AD0" w:rsidRDefault="008B1764" w:rsidP="0075293E">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La Ley exige que el decreto admitido por la solicitud al Registro Público Concursal se hará por anuncio, el cual deberá de contener ciertos datos para permitir su identificación como el número del proceso, el deudor y el juzgado competente. Este </w:t>
      </w:r>
      <w:r>
        <w:rPr>
          <w:rFonts w:ascii="Times New Roman" w:hAnsi="Times New Roman" w:cs="Times New Roman"/>
          <w:sz w:val="24"/>
        </w:rPr>
        <w:lastRenderedPageBreak/>
        <w:t>anuncio realizado por el Registro Público Concursal se podrá hacer mediante extracto</w:t>
      </w:r>
      <w:r>
        <w:rPr>
          <w:rStyle w:val="Refdenotaalpie"/>
          <w:rFonts w:ascii="Times New Roman" w:hAnsi="Times New Roman" w:cs="Times New Roman"/>
          <w:sz w:val="24"/>
        </w:rPr>
        <w:footnoteReference w:id="39"/>
      </w:r>
      <w:r>
        <w:rPr>
          <w:rFonts w:ascii="Times New Roman" w:hAnsi="Times New Roman" w:cs="Times New Roman"/>
          <w:sz w:val="24"/>
        </w:rPr>
        <w:t xml:space="preserve"> o también por edictos</w:t>
      </w:r>
      <w:r>
        <w:rPr>
          <w:rStyle w:val="Refdenotaalpie"/>
          <w:rFonts w:ascii="Times New Roman" w:hAnsi="Times New Roman" w:cs="Times New Roman"/>
          <w:sz w:val="24"/>
        </w:rPr>
        <w:footnoteReference w:id="40"/>
      </w:r>
      <w:r>
        <w:rPr>
          <w:rFonts w:ascii="Times New Roman" w:hAnsi="Times New Roman" w:cs="Times New Roman"/>
          <w:sz w:val="24"/>
        </w:rPr>
        <w:t>, seguida de publicarse en el BOE o el tablón del juzgado.</w:t>
      </w:r>
    </w:p>
    <w:p w:rsidR="008B1764" w:rsidRPr="00031EB7" w:rsidRDefault="007507BD" w:rsidP="007507BD">
      <w:pPr>
        <w:spacing w:line="360" w:lineRule="auto"/>
        <w:jc w:val="both"/>
        <w:rPr>
          <w:rFonts w:ascii="Times New Roman" w:hAnsi="Times New Roman" w:cs="Times New Roman"/>
          <w:sz w:val="24"/>
        </w:rPr>
      </w:pPr>
      <w:r w:rsidRPr="00031EB7">
        <w:rPr>
          <w:rFonts w:ascii="Times New Roman" w:hAnsi="Times New Roman" w:cs="Times New Roman"/>
          <w:sz w:val="24"/>
        </w:rPr>
        <w:t xml:space="preserve">3) </w:t>
      </w:r>
      <w:r w:rsidRPr="00031EB7">
        <w:rPr>
          <w:rFonts w:ascii="Times New Roman" w:hAnsi="Times New Roman" w:cs="Times New Roman"/>
          <w:sz w:val="24"/>
          <w:u w:val="single"/>
        </w:rPr>
        <w:t>Decisión del expediente.</w:t>
      </w:r>
    </w:p>
    <w:p w:rsidR="008B1764" w:rsidRDefault="007507BD" w:rsidP="0075293E">
      <w:pPr>
        <w:spacing w:line="360" w:lineRule="auto"/>
        <w:ind w:firstLine="709"/>
        <w:jc w:val="both"/>
        <w:rPr>
          <w:rFonts w:ascii="Times New Roman" w:hAnsi="Times New Roman" w:cs="Times New Roman"/>
          <w:sz w:val="24"/>
        </w:rPr>
      </w:pPr>
      <w:r>
        <w:rPr>
          <w:rFonts w:ascii="Times New Roman" w:hAnsi="Times New Roman" w:cs="Times New Roman"/>
          <w:sz w:val="24"/>
        </w:rPr>
        <w:t>La ley</w:t>
      </w:r>
      <w:r w:rsidR="00952EFE">
        <w:rPr>
          <w:rFonts w:ascii="Times New Roman" w:hAnsi="Times New Roman" w:cs="Times New Roman"/>
          <w:sz w:val="24"/>
        </w:rPr>
        <w:t xml:space="preserve"> favorece la rapidez en el pronunciamiento de fondo, y además también establece que la resolución de haga a través del trámite de urgencia, para mayor brevedad compensando al deudor respecto de las fases de formalizar y negociar el acuerdo que son más duraderas.</w:t>
      </w:r>
    </w:p>
    <w:p w:rsidR="00952EFE" w:rsidRDefault="00952EFE" w:rsidP="0075293E">
      <w:pPr>
        <w:spacing w:line="360" w:lineRule="auto"/>
        <w:ind w:firstLine="709"/>
        <w:jc w:val="both"/>
        <w:rPr>
          <w:rFonts w:ascii="Times New Roman" w:hAnsi="Times New Roman" w:cs="Times New Roman"/>
          <w:sz w:val="24"/>
        </w:rPr>
      </w:pPr>
      <w:r>
        <w:rPr>
          <w:rFonts w:ascii="Times New Roman" w:hAnsi="Times New Roman" w:cs="Times New Roman"/>
          <w:sz w:val="24"/>
        </w:rPr>
        <w:t>Frente a una resolución que haya denegado la homologación cabe</w:t>
      </w:r>
      <w:r w:rsidR="00611CF7">
        <w:rPr>
          <w:rFonts w:ascii="Times New Roman" w:hAnsi="Times New Roman" w:cs="Times New Roman"/>
          <w:sz w:val="24"/>
        </w:rPr>
        <w:t xml:space="preserve"> impugnación, bien por elrecurso de apelación. Por otro lado, en caso de que la homologación sea admitida no cabe contra ella recurso</w:t>
      </w:r>
      <w:r w:rsidR="00611CF7">
        <w:rPr>
          <w:rStyle w:val="Refdenotaalpie"/>
          <w:rFonts w:ascii="Times New Roman" w:hAnsi="Times New Roman" w:cs="Times New Roman"/>
          <w:sz w:val="24"/>
        </w:rPr>
        <w:footnoteReference w:id="41"/>
      </w:r>
      <w:r w:rsidR="00611CF7">
        <w:rPr>
          <w:rFonts w:ascii="Times New Roman" w:hAnsi="Times New Roman" w:cs="Times New Roman"/>
          <w:sz w:val="24"/>
        </w:rPr>
        <w:t>, salvo por un procedimiento ad hoc</w:t>
      </w:r>
      <w:r w:rsidR="00611CF7">
        <w:rPr>
          <w:rStyle w:val="Refdenotaalpie"/>
          <w:rFonts w:ascii="Times New Roman" w:hAnsi="Times New Roman" w:cs="Times New Roman"/>
          <w:sz w:val="24"/>
        </w:rPr>
        <w:footnoteReference w:id="42"/>
      </w:r>
      <w:r w:rsidR="00611CF7">
        <w:rPr>
          <w:rFonts w:ascii="Times New Roman" w:hAnsi="Times New Roman" w:cs="Times New Roman"/>
          <w:sz w:val="24"/>
        </w:rPr>
        <w:t xml:space="preserve"> por las entidades que están afectadas en no dieron su conformidad.</w:t>
      </w:r>
    </w:p>
    <w:p w:rsidR="003641EC" w:rsidRDefault="003641EC" w:rsidP="00611CF7">
      <w:pPr>
        <w:spacing w:line="360" w:lineRule="auto"/>
        <w:jc w:val="both"/>
        <w:rPr>
          <w:rFonts w:ascii="Times New Roman" w:hAnsi="Times New Roman" w:cs="Times New Roman"/>
          <w:b/>
          <w:sz w:val="24"/>
        </w:rPr>
      </w:pPr>
    </w:p>
    <w:p w:rsidR="00611CF7" w:rsidRDefault="00611CF7" w:rsidP="00611CF7">
      <w:pPr>
        <w:spacing w:line="360" w:lineRule="auto"/>
        <w:jc w:val="both"/>
        <w:rPr>
          <w:rFonts w:ascii="Times New Roman" w:hAnsi="Times New Roman" w:cs="Times New Roman"/>
          <w:sz w:val="24"/>
        </w:rPr>
      </w:pPr>
      <w:r>
        <w:rPr>
          <w:rFonts w:ascii="Times New Roman" w:hAnsi="Times New Roman" w:cs="Times New Roman"/>
          <w:b/>
          <w:sz w:val="24"/>
        </w:rPr>
        <w:t>4.6. Proceso de impugnación de la homologación.</w:t>
      </w:r>
    </w:p>
    <w:p w:rsidR="00611CF7" w:rsidRPr="00031EB7" w:rsidRDefault="00611CF7" w:rsidP="00611CF7">
      <w:pPr>
        <w:spacing w:line="360" w:lineRule="auto"/>
        <w:jc w:val="both"/>
        <w:rPr>
          <w:rFonts w:ascii="Times New Roman" w:hAnsi="Times New Roman" w:cs="Times New Roman"/>
          <w:sz w:val="24"/>
        </w:rPr>
      </w:pPr>
      <w:r w:rsidRPr="00031EB7">
        <w:rPr>
          <w:rFonts w:ascii="Times New Roman" w:hAnsi="Times New Roman" w:cs="Times New Roman"/>
          <w:sz w:val="24"/>
        </w:rPr>
        <w:t xml:space="preserve">1) </w:t>
      </w:r>
      <w:r w:rsidRPr="00031EB7">
        <w:rPr>
          <w:rFonts w:ascii="Times New Roman" w:hAnsi="Times New Roman" w:cs="Times New Roman"/>
          <w:sz w:val="24"/>
          <w:u w:val="single"/>
        </w:rPr>
        <w:t>Naturaleza y características.</w:t>
      </w:r>
      <w:r w:rsidRPr="00031EB7">
        <w:rPr>
          <w:rFonts w:ascii="Times New Roman" w:hAnsi="Times New Roman" w:cs="Times New Roman"/>
          <w:sz w:val="24"/>
        </w:rPr>
        <w:t xml:space="preserve">  </w:t>
      </w:r>
    </w:p>
    <w:p w:rsidR="00A71FF5" w:rsidRDefault="00B83D7E" w:rsidP="00A71FF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 La homologación se trata de un procedimiento de jurisdicción voluntaria cuya sentencia que apruebe este proceso carece de cosa juzgada, contra la cual cabría un proceso contencioso llevándose a cabo por el procedimiento de incidente concursal. La impugnación del proceso de homologación es un proceso de carácter sumario, en contra de esto, para atacar a ese carácter sumario es la posibilidad de llevar a cabo un proceso posteriormente</w:t>
      </w:r>
      <w:r w:rsidR="00A71FF5">
        <w:rPr>
          <w:rFonts w:ascii="Times New Roman" w:hAnsi="Times New Roman" w:cs="Times New Roman"/>
          <w:sz w:val="24"/>
        </w:rPr>
        <w:t xml:space="preserve"> por motivos diferentes de los que establezca la ley, por ejemplo, con respecto a la validez, ya que no solo afecta a los acreedores suscrito al acuerdo sino a otros sujetos interesados. </w:t>
      </w:r>
    </w:p>
    <w:p w:rsidR="00A71FF5" w:rsidRDefault="00A71FF5" w:rsidP="00A71FF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La impugnación se trata de un proceso de única instancia, excepción es el proceso de incidente concursal que si es doble instancia. </w:t>
      </w:r>
    </w:p>
    <w:p w:rsidR="0027306C" w:rsidRPr="00031EB7" w:rsidRDefault="0027306C" w:rsidP="0027306C">
      <w:pPr>
        <w:spacing w:line="360" w:lineRule="auto"/>
        <w:jc w:val="both"/>
        <w:rPr>
          <w:rFonts w:ascii="Times New Roman" w:hAnsi="Times New Roman" w:cs="Times New Roman"/>
          <w:sz w:val="24"/>
        </w:rPr>
      </w:pPr>
      <w:r w:rsidRPr="00031EB7">
        <w:rPr>
          <w:rFonts w:ascii="Times New Roman" w:hAnsi="Times New Roman" w:cs="Times New Roman"/>
          <w:sz w:val="24"/>
        </w:rPr>
        <w:lastRenderedPageBreak/>
        <w:t xml:space="preserve">2) </w:t>
      </w:r>
      <w:r w:rsidRPr="00031EB7">
        <w:rPr>
          <w:rFonts w:ascii="Times New Roman" w:hAnsi="Times New Roman" w:cs="Times New Roman"/>
          <w:sz w:val="24"/>
          <w:u w:val="single"/>
        </w:rPr>
        <w:t>Sujetos, petitum y causas de pedir en la acción de impugnación.</w:t>
      </w:r>
    </w:p>
    <w:p w:rsidR="0027306C" w:rsidRDefault="0027306C" w:rsidP="00A71FF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La acción llevada a cabo tiene carácter de impugnación, lo que busca es la revocación del pronunciamiento del juez. El fundamento de esta acción es configurar la homologación como una facultad para el deudor y el proceso como un expediente que le permite </w:t>
      </w:r>
      <w:r w:rsidR="00E2428B">
        <w:rPr>
          <w:rFonts w:ascii="Times New Roman" w:hAnsi="Times New Roman" w:cs="Times New Roman"/>
          <w:sz w:val="24"/>
        </w:rPr>
        <w:t xml:space="preserve">verificar que cumple con los requisitos. En cuanto al ejercicio de la acción de impugnación está sometida a un plazo de caducidad, el cual es de quince días, empiezan a contar desde el día siguiente a la publicación de la resolución que aprueba el proceso, sin </w:t>
      </w:r>
      <w:r w:rsidR="00643474">
        <w:rPr>
          <w:rFonts w:ascii="Times New Roman" w:hAnsi="Times New Roman" w:cs="Times New Roman"/>
          <w:sz w:val="24"/>
        </w:rPr>
        <w:t>embargo,</w:t>
      </w:r>
      <w:r w:rsidR="00E2428B">
        <w:rPr>
          <w:rFonts w:ascii="Times New Roman" w:hAnsi="Times New Roman" w:cs="Times New Roman"/>
          <w:sz w:val="24"/>
        </w:rPr>
        <w:t xml:space="preserve"> debido a la dualidad de las publicaciones oficiales, la ley establece que será a partir de la ultima que se publique, para empezar a computar el plazo de caducidad.</w:t>
      </w:r>
    </w:p>
    <w:p w:rsidR="00643474" w:rsidRDefault="00643474" w:rsidP="00A71FF5">
      <w:pPr>
        <w:spacing w:line="360" w:lineRule="auto"/>
        <w:ind w:firstLine="709"/>
        <w:jc w:val="both"/>
        <w:rPr>
          <w:rFonts w:ascii="Times New Roman" w:hAnsi="Times New Roman" w:cs="Times New Roman"/>
          <w:sz w:val="24"/>
        </w:rPr>
      </w:pPr>
      <w:r>
        <w:rPr>
          <w:rFonts w:ascii="Times New Roman" w:hAnsi="Times New Roman" w:cs="Times New Roman"/>
          <w:sz w:val="24"/>
        </w:rPr>
        <w:t>Solamente los acreedores que no hayan presentado consentimiento están legitimados para llevar a cabo la acción, privando así a los firmantes o también a los que estén adheridos ya que sobre estos nace un interés con el deudor.</w:t>
      </w:r>
    </w:p>
    <w:p w:rsidR="00643474" w:rsidRDefault="00BB4AEB" w:rsidP="00A71FF5">
      <w:pPr>
        <w:spacing w:line="360" w:lineRule="auto"/>
        <w:ind w:firstLine="709"/>
        <w:jc w:val="both"/>
        <w:rPr>
          <w:rFonts w:ascii="Times New Roman" w:hAnsi="Times New Roman" w:cs="Times New Roman"/>
          <w:sz w:val="24"/>
        </w:rPr>
      </w:pPr>
      <w:r>
        <w:rPr>
          <w:rFonts w:ascii="Times New Roman" w:hAnsi="Times New Roman" w:cs="Times New Roman"/>
          <w:sz w:val="24"/>
        </w:rPr>
        <w:t>La impugnación estará dirigida al deudor, el objeto de esta no será respecto del acuerdo de refinanciación en sí mismo sino también con respecto a la espera pactada de los terceros. Aunque esto no impide que las entidades suscrita se opongan dado traslado de la demanda para oponerse a la impugnación.</w:t>
      </w:r>
    </w:p>
    <w:p w:rsidR="00BB4AEB" w:rsidRDefault="00A4327E" w:rsidP="00A71FF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El proceso requiere procurador y letrado.  La impugnación se puede basar en varios </w:t>
      </w:r>
      <w:r w:rsidR="00FF65A9">
        <w:rPr>
          <w:rFonts w:ascii="Times New Roman" w:hAnsi="Times New Roman" w:cs="Times New Roman"/>
          <w:sz w:val="24"/>
        </w:rPr>
        <w:t xml:space="preserve">motivos. El primero de ellos es respecto del porcentaje exigido para la homologación, este requisito es importantísimo, en caso de no cumplir con esos porcentajes sobre el pasivo de la titularidad se podrá ejercitar la pretensión de nulidad. </w:t>
      </w:r>
    </w:p>
    <w:p w:rsidR="00FF65A9" w:rsidRDefault="00FF65A9" w:rsidP="00A71FF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El segundo motivo, la ley lo establece respecto de una valoración desproporcionada del sacrificio exigido, consiste </w:t>
      </w:r>
      <w:r w:rsidR="00084537">
        <w:rPr>
          <w:rFonts w:ascii="Times New Roman" w:hAnsi="Times New Roman" w:cs="Times New Roman"/>
          <w:sz w:val="24"/>
        </w:rPr>
        <w:t>en la disconformidad del actor respecto de la valoración emitida por el juez sobre la homologación, la cual no supone un sacrificio para las entidades que no se hayan inscrito al acuerdo. De acuerdo con esto, al juez le queda un gran margen para su valoración del acuerdo, las condiciones y el plazo de la espera y además del volumen que representa la entidad actora</w:t>
      </w:r>
      <w:r w:rsidR="00084537">
        <w:rPr>
          <w:rStyle w:val="Refdenotaalpie"/>
          <w:rFonts w:ascii="Times New Roman" w:hAnsi="Times New Roman" w:cs="Times New Roman"/>
          <w:sz w:val="24"/>
        </w:rPr>
        <w:footnoteReference w:id="43"/>
      </w:r>
      <w:r w:rsidR="00084537">
        <w:rPr>
          <w:rFonts w:ascii="Times New Roman" w:hAnsi="Times New Roman" w:cs="Times New Roman"/>
          <w:sz w:val="24"/>
        </w:rPr>
        <w:t xml:space="preserve">. Los </w:t>
      </w:r>
      <w:r w:rsidR="00084537">
        <w:rPr>
          <w:rFonts w:ascii="Times New Roman" w:hAnsi="Times New Roman" w:cs="Times New Roman"/>
          <w:sz w:val="24"/>
        </w:rPr>
        <w:lastRenderedPageBreak/>
        <w:t>pronunciamientos judiciales sobre este motivo han sido escasos, aunque cabe destacar algunos como:</w:t>
      </w:r>
    </w:p>
    <w:p w:rsidR="00370F19" w:rsidRDefault="00370F19" w:rsidP="00370F19">
      <w:pPr>
        <w:spacing w:line="360" w:lineRule="auto"/>
        <w:jc w:val="both"/>
        <w:rPr>
          <w:rFonts w:ascii="Times New Roman" w:hAnsi="Times New Roman" w:cs="Times New Roman"/>
          <w:sz w:val="24"/>
        </w:rPr>
      </w:pPr>
    </w:p>
    <w:p w:rsidR="00084537" w:rsidRDefault="00084537" w:rsidP="00084537">
      <w:pPr>
        <w:pStyle w:val="Prrafodelista"/>
        <w:numPr>
          <w:ilvl w:val="0"/>
          <w:numId w:val="3"/>
        </w:numPr>
        <w:spacing w:line="360" w:lineRule="auto"/>
        <w:jc w:val="both"/>
        <w:rPr>
          <w:rFonts w:ascii="Times New Roman" w:hAnsi="Times New Roman" w:cs="Times New Roman"/>
          <w:sz w:val="24"/>
        </w:rPr>
      </w:pPr>
      <w:r w:rsidRPr="00084537">
        <w:rPr>
          <w:rFonts w:ascii="Times New Roman" w:hAnsi="Times New Roman" w:cs="Times New Roman"/>
          <w:sz w:val="24"/>
        </w:rPr>
        <w:t>Auto de 11 de diciembre de 2012 (JUR 2013, 61599)</w:t>
      </w:r>
      <w:r>
        <w:rPr>
          <w:rFonts w:ascii="Times New Roman" w:hAnsi="Times New Roman" w:cs="Times New Roman"/>
          <w:sz w:val="24"/>
        </w:rPr>
        <w:t xml:space="preserve"> del Juzgado de lo Mercantil de Sevilla </w:t>
      </w:r>
      <w:r w:rsidRPr="00084537">
        <w:rPr>
          <w:rFonts w:ascii="Times New Roman" w:hAnsi="Times New Roman" w:cs="Times New Roman"/>
          <w:sz w:val="24"/>
        </w:rPr>
        <w:t>(N.º 2)</w:t>
      </w:r>
      <w:r>
        <w:rPr>
          <w:rFonts w:ascii="Times New Roman" w:hAnsi="Times New Roman" w:cs="Times New Roman"/>
          <w:sz w:val="24"/>
        </w:rPr>
        <w:t xml:space="preserve">: </w:t>
      </w:r>
      <w:r w:rsidR="00F60F9D">
        <w:rPr>
          <w:rFonts w:ascii="Times New Roman" w:hAnsi="Times New Roman" w:cs="Times New Roman"/>
          <w:sz w:val="24"/>
        </w:rPr>
        <w:t>dice que no resulta mayor sacrificio de liquidez ni de la espera de las entidades no firmantes con respecto de los acreedores en cuanto están afectados por créditos carentes de garantías, ya que la espera pactada se extiende con indiferencia de la condición aprobándose la homologación</w:t>
      </w:r>
      <w:r w:rsidR="00F60F9D">
        <w:rPr>
          <w:rStyle w:val="Refdenotaalpie"/>
          <w:rFonts w:ascii="Times New Roman" w:hAnsi="Times New Roman" w:cs="Times New Roman"/>
          <w:sz w:val="24"/>
        </w:rPr>
        <w:footnoteReference w:id="44"/>
      </w:r>
      <w:r w:rsidR="00F60F9D">
        <w:rPr>
          <w:rFonts w:ascii="Times New Roman" w:hAnsi="Times New Roman" w:cs="Times New Roman"/>
          <w:sz w:val="24"/>
        </w:rPr>
        <w:t>.</w:t>
      </w:r>
    </w:p>
    <w:p w:rsidR="00370F19" w:rsidRPr="00370F19" w:rsidRDefault="00370F19" w:rsidP="00370F19">
      <w:pPr>
        <w:spacing w:line="360" w:lineRule="auto"/>
        <w:jc w:val="both"/>
        <w:rPr>
          <w:rFonts w:ascii="Times New Roman" w:hAnsi="Times New Roman" w:cs="Times New Roman"/>
          <w:sz w:val="24"/>
        </w:rPr>
      </w:pPr>
    </w:p>
    <w:p w:rsidR="00370F19" w:rsidRDefault="00F60F9D" w:rsidP="00370F19">
      <w:pPr>
        <w:pStyle w:val="Prrafodelista"/>
        <w:numPr>
          <w:ilvl w:val="0"/>
          <w:numId w:val="3"/>
        </w:numPr>
        <w:spacing w:line="360" w:lineRule="auto"/>
        <w:jc w:val="both"/>
        <w:rPr>
          <w:rFonts w:ascii="Times New Roman" w:hAnsi="Times New Roman" w:cs="Times New Roman"/>
          <w:sz w:val="24"/>
        </w:rPr>
      </w:pPr>
      <w:r>
        <w:rPr>
          <w:rFonts w:ascii="Times New Roman" w:hAnsi="Times New Roman" w:cs="Times New Roman"/>
          <w:sz w:val="24"/>
        </w:rPr>
        <w:t>Auto de 5 de junio de 2012 (JUR 2013, 70497) del Juzgado de lo Mercantil de Barcelona (</w:t>
      </w:r>
      <w:r w:rsidR="00370F19">
        <w:rPr>
          <w:rFonts w:ascii="Times New Roman" w:hAnsi="Times New Roman" w:cs="Times New Roman"/>
          <w:sz w:val="24"/>
        </w:rPr>
        <w:t xml:space="preserve">N.º </w:t>
      </w:r>
      <w:r>
        <w:rPr>
          <w:rFonts w:ascii="Times New Roman" w:hAnsi="Times New Roman" w:cs="Times New Roman"/>
          <w:sz w:val="24"/>
        </w:rPr>
        <w:t xml:space="preserve">2): </w:t>
      </w:r>
      <w:r w:rsidR="00D86425">
        <w:rPr>
          <w:rFonts w:ascii="Times New Roman" w:hAnsi="Times New Roman" w:cs="Times New Roman"/>
          <w:sz w:val="24"/>
        </w:rPr>
        <w:t xml:space="preserve">dice que es desproporcionado que se extienda </w:t>
      </w:r>
      <w:r w:rsidR="00370F19">
        <w:rPr>
          <w:rFonts w:ascii="Times New Roman" w:hAnsi="Times New Roman" w:cs="Times New Roman"/>
          <w:sz w:val="24"/>
        </w:rPr>
        <w:t>las nuevas emisiones</w:t>
      </w:r>
      <w:r w:rsidR="00D86425">
        <w:rPr>
          <w:rFonts w:ascii="Times New Roman" w:hAnsi="Times New Roman" w:cs="Times New Roman"/>
          <w:sz w:val="24"/>
        </w:rPr>
        <w:t xml:space="preserve"> de financiación circulantes a las entidades no firmantes, aunque lo que en verdad se contempla en la resolución es una homologación parcial</w:t>
      </w:r>
      <w:r w:rsidR="00D86425">
        <w:rPr>
          <w:rStyle w:val="Refdenotaalpie"/>
          <w:rFonts w:ascii="Times New Roman" w:hAnsi="Times New Roman" w:cs="Times New Roman"/>
          <w:sz w:val="24"/>
        </w:rPr>
        <w:footnoteReference w:id="45"/>
      </w:r>
      <w:r w:rsidR="00D86425">
        <w:rPr>
          <w:rFonts w:ascii="Times New Roman" w:hAnsi="Times New Roman" w:cs="Times New Roman"/>
          <w:sz w:val="24"/>
        </w:rPr>
        <w:t>.</w:t>
      </w:r>
    </w:p>
    <w:p w:rsidR="003641EC" w:rsidRPr="003641EC" w:rsidRDefault="003641EC" w:rsidP="003641EC">
      <w:pPr>
        <w:spacing w:line="360" w:lineRule="auto"/>
        <w:jc w:val="both"/>
        <w:rPr>
          <w:rFonts w:ascii="Times New Roman" w:hAnsi="Times New Roman" w:cs="Times New Roman"/>
          <w:sz w:val="24"/>
        </w:rPr>
      </w:pPr>
    </w:p>
    <w:p w:rsidR="00370F19" w:rsidRDefault="00370F19" w:rsidP="00084537">
      <w:pPr>
        <w:pStyle w:val="Prrafodelista"/>
        <w:numPr>
          <w:ilvl w:val="0"/>
          <w:numId w:val="3"/>
        </w:numPr>
        <w:spacing w:line="360" w:lineRule="auto"/>
        <w:jc w:val="both"/>
        <w:rPr>
          <w:rFonts w:ascii="Times New Roman" w:hAnsi="Times New Roman" w:cs="Times New Roman"/>
          <w:sz w:val="24"/>
        </w:rPr>
      </w:pPr>
      <w:r>
        <w:rPr>
          <w:rFonts w:ascii="Times New Roman" w:hAnsi="Times New Roman" w:cs="Times New Roman"/>
          <w:sz w:val="24"/>
        </w:rPr>
        <w:t>Auto de 4 de abril de 2012 del Juzgado de Primera Instancia de Logroño (N.º 6): el cual toma en consideración en el plazo de espera abonos de intereses, sobre el porcentaje en el acuerdo de refinanciación</w:t>
      </w:r>
      <w:r>
        <w:rPr>
          <w:rStyle w:val="Refdenotaalpie"/>
          <w:rFonts w:ascii="Times New Roman" w:hAnsi="Times New Roman" w:cs="Times New Roman"/>
          <w:sz w:val="24"/>
        </w:rPr>
        <w:footnoteReference w:id="46"/>
      </w:r>
      <w:r>
        <w:rPr>
          <w:rFonts w:ascii="Times New Roman" w:hAnsi="Times New Roman" w:cs="Times New Roman"/>
          <w:sz w:val="24"/>
        </w:rPr>
        <w:t>.</w:t>
      </w:r>
    </w:p>
    <w:p w:rsidR="00370F19" w:rsidRPr="00370F19" w:rsidRDefault="00370F19" w:rsidP="00370F19">
      <w:pPr>
        <w:spacing w:line="360" w:lineRule="auto"/>
        <w:jc w:val="both"/>
        <w:rPr>
          <w:rFonts w:ascii="Times New Roman" w:hAnsi="Times New Roman" w:cs="Times New Roman"/>
          <w:sz w:val="24"/>
        </w:rPr>
      </w:pPr>
    </w:p>
    <w:p w:rsidR="00D86425" w:rsidRDefault="00370F19" w:rsidP="00084537">
      <w:pPr>
        <w:pStyle w:val="Prrafodelista"/>
        <w:numPr>
          <w:ilvl w:val="0"/>
          <w:numId w:val="3"/>
        </w:numPr>
        <w:spacing w:line="360" w:lineRule="auto"/>
        <w:jc w:val="both"/>
        <w:rPr>
          <w:rFonts w:ascii="Times New Roman" w:hAnsi="Times New Roman" w:cs="Times New Roman"/>
          <w:sz w:val="24"/>
        </w:rPr>
      </w:pPr>
      <w:r>
        <w:rPr>
          <w:rFonts w:ascii="Times New Roman" w:hAnsi="Times New Roman" w:cs="Times New Roman"/>
          <w:sz w:val="24"/>
        </w:rPr>
        <w:t xml:space="preserve">Auto de 10 de julio de 2012 (AC 2012, 1189) del Juzgado de lo Mercantil de Gijón: la cual establece que no supone un perjuicio una espera de un solo </w:t>
      </w:r>
      <w:r>
        <w:rPr>
          <w:rFonts w:ascii="Times New Roman" w:hAnsi="Times New Roman" w:cs="Times New Roman"/>
          <w:sz w:val="24"/>
        </w:rPr>
        <w:lastRenderedPageBreak/>
        <w:t>año, respectivamente de las condiciones económicas que hay en la actualidad</w:t>
      </w:r>
      <w:r>
        <w:rPr>
          <w:rStyle w:val="Refdenotaalpie"/>
          <w:rFonts w:ascii="Times New Roman" w:hAnsi="Times New Roman" w:cs="Times New Roman"/>
          <w:sz w:val="24"/>
        </w:rPr>
        <w:footnoteReference w:id="47"/>
      </w:r>
      <w:r w:rsidR="00417232">
        <w:rPr>
          <w:rFonts w:ascii="Times New Roman" w:hAnsi="Times New Roman" w:cs="Times New Roman"/>
          <w:sz w:val="24"/>
        </w:rPr>
        <w:t>.</w:t>
      </w:r>
    </w:p>
    <w:p w:rsidR="00417232" w:rsidRPr="003D38AB" w:rsidRDefault="00417232" w:rsidP="00417232">
      <w:pPr>
        <w:spacing w:line="360" w:lineRule="auto"/>
        <w:jc w:val="both"/>
        <w:rPr>
          <w:rFonts w:ascii="Times New Roman" w:hAnsi="Times New Roman" w:cs="Times New Roman"/>
          <w:sz w:val="24"/>
        </w:rPr>
      </w:pPr>
      <w:r w:rsidRPr="003D38AB">
        <w:rPr>
          <w:rFonts w:ascii="Times New Roman" w:hAnsi="Times New Roman" w:cs="Times New Roman"/>
          <w:sz w:val="24"/>
        </w:rPr>
        <w:t xml:space="preserve">3) </w:t>
      </w:r>
      <w:r w:rsidRPr="003D38AB">
        <w:rPr>
          <w:rFonts w:ascii="Times New Roman" w:hAnsi="Times New Roman" w:cs="Times New Roman"/>
          <w:sz w:val="24"/>
          <w:u w:val="single"/>
        </w:rPr>
        <w:t>Procedimiento:</w:t>
      </w:r>
    </w:p>
    <w:p w:rsidR="00417232" w:rsidRDefault="00653CA4" w:rsidP="00653CA4">
      <w:pPr>
        <w:spacing w:line="360" w:lineRule="auto"/>
        <w:ind w:firstLine="709"/>
        <w:jc w:val="both"/>
        <w:rPr>
          <w:rFonts w:ascii="Times New Roman" w:hAnsi="Times New Roman" w:cs="Times New Roman"/>
          <w:sz w:val="24"/>
        </w:rPr>
      </w:pPr>
      <w:r>
        <w:rPr>
          <w:rFonts w:ascii="Times New Roman" w:hAnsi="Times New Roman" w:cs="Times New Roman"/>
          <w:sz w:val="24"/>
        </w:rPr>
        <w:t>Las impugnaciones se harán por bajo el proceso de incidencia concursal, la remisión no comprende la competencia sino al secretario al que le corresponde y también trámites procesales como el objeto y la acreditación de que cumplen los requisitos.</w:t>
      </w:r>
    </w:p>
    <w:p w:rsidR="00653CA4" w:rsidRDefault="00653CA4" w:rsidP="00653CA4">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La resolución corresponde a forma de sentencia poniendo fin al procedimiento. Independientemente de la resolución sentencia, ya sea desestimatoria o estimatoria tendrán </w:t>
      </w:r>
      <w:r w:rsidR="00AB73F4">
        <w:rPr>
          <w:rFonts w:ascii="Times New Roman" w:hAnsi="Times New Roman" w:cs="Times New Roman"/>
          <w:sz w:val="24"/>
        </w:rPr>
        <w:t>e</w:t>
      </w:r>
      <w:r>
        <w:rPr>
          <w:rFonts w:ascii="Times New Roman" w:hAnsi="Times New Roman" w:cs="Times New Roman"/>
          <w:sz w:val="24"/>
        </w:rPr>
        <w:t>l mism</w:t>
      </w:r>
      <w:r w:rsidR="00AB73F4">
        <w:rPr>
          <w:rFonts w:ascii="Times New Roman" w:hAnsi="Times New Roman" w:cs="Times New Roman"/>
          <w:sz w:val="24"/>
        </w:rPr>
        <w:t>o régimen</w:t>
      </w:r>
      <w:r>
        <w:rPr>
          <w:rFonts w:ascii="Times New Roman" w:hAnsi="Times New Roman" w:cs="Times New Roman"/>
          <w:sz w:val="24"/>
        </w:rPr>
        <w:t xml:space="preserve"> publicidad</w:t>
      </w:r>
      <w:r w:rsidR="00AB73F4">
        <w:rPr>
          <w:rFonts w:ascii="Times New Roman" w:hAnsi="Times New Roman" w:cs="Times New Roman"/>
          <w:sz w:val="24"/>
        </w:rPr>
        <w:t>.</w:t>
      </w:r>
    </w:p>
    <w:p w:rsidR="00AB73F4" w:rsidRDefault="00AB73F4" w:rsidP="00653CA4">
      <w:pPr>
        <w:spacing w:line="360" w:lineRule="auto"/>
        <w:ind w:firstLine="709"/>
        <w:jc w:val="both"/>
        <w:rPr>
          <w:rFonts w:ascii="Times New Roman" w:hAnsi="Times New Roman" w:cs="Times New Roman"/>
          <w:sz w:val="24"/>
        </w:rPr>
      </w:pPr>
    </w:p>
    <w:p w:rsidR="00AB73F4" w:rsidRDefault="00AB73F4" w:rsidP="00AB73F4">
      <w:pPr>
        <w:spacing w:line="360" w:lineRule="auto"/>
        <w:jc w:val="both"/>
        <w:rPr>
          <w:rFonts w:ascii="Times New Roman" w:hAnsi="Times New Roman" w:cs="Times New Roman"/>
          <w:sz w:val="24"/>
        </w:rPr>
      </w:pPr>
      <w:r>
        <w:rPr>
          <w:rFonts w:ascii="Times New Roman" w:hAnsi="Times New Roman" w:cs="Times New Roman"/>
          <w:b/>
          <w:sz w:val="24"/>
        </w:rPr>
        <w:t>4.7. Declaración judicial de incumplimiento del acuerdo homologado.</w:t>
      </w:r>
    </w:p>
    <w:p w:rsidR="00AB73F4" w:rsidRDefault="00AB73F4" w:rsidP="00653CA4">
      <w:pPr>
        <w:spacing w:line="360" w:lineRule="auto"/>
        <w:ind w:firstLine="709"/>
        <w:jc w:val="both"/>
        <w:rPr>
          <w:rFonts w:ascii="Times New Roman" w:hAnsi="Times New Roman" w:cs="Times New Roman"/>
          <w:sz w:val="24"/>
        </w:rPr>
      </w:pPr>
      <w:r>
        <w:rPr>
          <w:rFonts w:ascii="Times New Roman" w:hAnsi="Times New Roman" w:cs="Times New Roman"/>
          <w:sz w:val="24"/>
        </w:rPr>
        <w:t>Cuando el juez declare el incumplimiento del acuerdo de refinanciación por parte del deudor supone una causa para suspender la protección que otorga la homologación</w:t>
      </w:r>
      <w:r w:rsidR="0000087D">
        <w:rPr>
          <w:rFonts w:ascii="Times New Roman" w:hAnsi="Times New Roman" w:cs="Times New Roman"/>
          <w:sz w:val="24"/>
        </w:rPr>
        <w:t>. El incumplimiento se realiza en un proceso especial y de instancia única al igual que el proceso de impugnación, pero a diferencia de este es que no tiene carácter sumario el proceso de incumplimiento, ya que las partes tienen al alcance todos los medios disponibles de ataque y defensas para basar sus pretensiones</w:t>
      </w:r>
      <w:r w:rsidR="0000087D">
        <w:rPr>
          <w:rStyle w:val="Refdenotaalpie"/>
          <w:rFonts w:ascii="Times New Roman" w:hAnsi="Times New Roman" w:cs="Times New Roman"/>
          <w:sz w:val="24"/>
        </w:rPr>
        <w:footnoteReference w:id="48"/>
      </w:r>
      <w:r w:rsidR="0000087D">
        <w:rPr>
          <w:rFonts w:ascii="Times New Roman" w:hAnsi="Times New Roman" w:cs="Times New Roman"/>
          <w:sz w:val="24"/>
        </w:rPr>
        <w:t>.</w:t>
      </w:r>
    </w:p>
    <w:p w:rsidR="001D001B" w:rsidRDefault="0000087D" w:rsidP="001D001B">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EL incumplimiento es una acción declarativa en el que por un lado sus </w:t>
      </w:r>
      <w:r w:rsidR="001D001B">
        <w:rPr>
          <w:rFonts w:ascii="Times New Roman" w:hAnsi="Times New Roman" w:cs="Times New Roman"/>
          <w:sz w:val="24"/>
        </w:rPr>
        <w:t>presupuestos materiales</w:t>
      </w:r>
      <w:r>
        <w:rPr>
          <w:rFonts w:ascii="Times New Roman" w:hAnsi="Times New Roman" w:cs="Times New Roman"/>
          <w:sz w:val="24"/>
        </w:rPr>
        <w:t xml:space="preserve"> son el acuerdo homologado y por otro lado el incumplimiento por parte del deudor. Este proceso solamente será viable frente a acuerdos ya homologados, eso no impide que en </w:t>
      </w:r>
      <w:r w:rsidR="001D001B">
        <w:rPr>
          <w:rFonts w:ascii="Times New Roman" w:hAnsi="Times New Roman" w:cs="Times New Roman"/>
          <w:sz w:val="24"/>
        </w:rPr>
        <w:t>los acuerdos no homologados</w:t>
      </w:r>
      <w:r>
        <w:rPr>
          <w:rFonts w:ascii="Times New Roman" w:hAnsi="Times New Roman" w:cs="Times New Roman"/>
          <w:sz w:val="24"/>
        </w:rPr>
        <w:t xml:space="preserve"> se cesen las acciones que suponen una reclamación sobres sus créditos</w:t>
      </w:r>
      <w:r w:rsidR="001D001B">
        <w:rPr>
          <w:rFonts w:ascii="Times New Roman" w:hAnsi="Times New Roman" w:cs="Times New Roman"/>
          <w:sz w:val="24"/>
        </w:rPr>
        <w:t>. En cuanto al carácter objetivo del incumplimiento tiene un doble sentido, el cual es de ser independiente de la voluntad del deudor y de los aspectos incumplidos, esta interpretación se hace para la interrelación entre los contenidos del acuerdo y la importancia que supone el plan de viabilidad. Tanto para el juez que realiza la homologación con las entidades que están ligadas al acuerdo homologado.</w:t>
      </w:r>
    </w:p>
    <w:p w:rsidR="001D001B" w:rsidRDefault="001D001B" w:rsidP="001D001B">
      <w:pPr>
        <w:spacing w:line="360" w:lineRule="auto"/>
        <w:ind w:firstLine="709"/>
        <w:jc w:val="both"/>
        <w:rPr>
          <w:rFonts w:ascii="Times New Roman" w:hAnsi="Times New Roman" w:cs="Times New Roman"/>
          <w:sz w:val="24"/>
        </w:rPr>
      </w:pPr>
      <w:r>
        <w:rPr>
          <w:rFonts w:ascii="Times New Roman" w:hAnsi="Times New Roman" w:cs="Times New Roman"/>
          <w:sz w:val="24"/>
        </w:rPr>
        <w:lastRenderedPageBreak/>
        <w:t>La declaración de</w:t>
      </w:r>
      <w:r w:rsidR="00204CF2">
        <w:rPr>
          <w:rFonts w:ascii="Times New Roman" w:hAnsi="Times New Roman" w:cs="Times New Roman"/>
          <w:sz w:val="24"/>
        </w:rPr>
        <w:t>l acuerdo</w:t>
      </w:r>
      <w:r>
        <w:rPr>
          <w:rFonts w:ascii="Times New Roman" w:hAnsi="Times New Roman" w:cs="Times New Roman"/>
          <w:sz w:val="24"/>
        </w:rPr>
        <w:t xml:space="preserve"> que se produce incumplimiento por parte del deudor le corresponde al juez </w:t>
      </w:r>
      <w:r w:rsidR="00204CF2">
        <w:rPr>
          <w:rFonts w:ascii="Times New Roman" w:hAnsi="Times New Roman" w:cs="Times New Roman"/>
          <w:sz w:val="24"/>
        </w:rPr>
        <w:t>que</w:t>
      </w:r>
      <w:r>
        <w:rPr>
          <w:rFonts w:ascii="Times New Roman" w:hAnsi="Times New Roman" w:cs="Times New Roman"/>
          <w:sz w:val="24"/>
        </w:rPr>
        <w:t xml:space="preserve"> ha realizado la homologación debido a la competencia funcional y se hará por un </w:t>
      </w:r>
      <w:r w:rsidR="00204CF2">
        <w:rPr>
          <w:rFonts w:ascii="Times New Roman" w:hAnsi="Times New Roman" w:cs="Times New Roman"/>
          <w:sz w:val="24"/>
        </w:rPr>
        <w:t>procedimiento</w:t>
      </w:r>
      <w:r>
        <w:rPr>
          <w:rFonts w:ascii="Times New Roman" w:hAnsi="Times New Roman" w:cs="Times New Roman"/>
          <w:sz w:val="24"/>
        </w:rPr>
        <w:t xml:space="preserve"> similar al incidente concursal</w:t>
      </w:r>
      <w:r w:rsidR="00204CF2">
        <w:rPr>
          <w:rFonts w:ascii="Times New Roman" w:hAnsi="Times New Roman" w:cs="Times New Roman"/>
          <w:sz w:val="24"/>
        </w:rPr>
        <w:t>, en el cual destaca por su acto de vista con la práctica de los diferentes medios de prueba.</w:t>
      </w:r>
    </w:p>
    <w:p w:rsidR="00204CF2" w:rsidRDefault="00204CF2" w:rsidP="001D001B">
      <w:pPr>
        <w:spacing w:line="360" w:lineRule="auto"/>
        <w:ind w:firstLine="709"/>
        <w:jc w:val="both"/>
        <w:rPr>
          <w:rFonts w:ascii="Times New Roman" w:hAnsi="Times New Roman" w:cs="Times New Roman"/>
          <w:sz w:val="24"/>
        </w:rPr>
      </w:pPr>
      <w:r>
        <w:rPr>
          <w:rFonts w:ascii="Times New Roman" w:hAnsi="Times New Roman" w:cs="Times New Roman"/>
          <w:sz w:val="24"/>
        </w:rPr>
        <w:t>La declaración del incumplimiento se trata de un requisito de procedibilidad, sin el cual, y sin que pasen los plazos de espera establecidos por la ley, los afectados por la homologación y tantos los acreedores no podrán ejercitar acciones o la declaración de la situación de concurso del deudor.</w:t>
      </w:r>
    </w:p>
    <w:p w:rsidR="009304D3" w:rsidRDefault="009304D3" w:rsidP="001D001B">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En cuanto al ejercicio para solicitar el incumplimiento la ley establece que podrá ser cualquier acreedor no limitando a ningún acreedor afectados por el incumplimiento, sin </w:t>
      </w:r>
      <w:r w:rsidR="00B42452">
        <w:rPr>
          <w:rFonts w:ascii="Times New Roman" w:hAnsi="Times New Roman" w:cs="Times New Roman"/>
          <w:sz w:val="24"/>
        </w:rPr>
        <w:t>embargo,</w:t>
      </w:r>
      <w:r>
        <w:rPr>
          <w:rFonts w:ascii="Times New Roman" w:hAnsi="Times New Roman" w:cs="Times New Roman"/>
          <w:sz w:val="24"/>
        </w:rPr>
        <w:t xml:space="preserve"> si sucede en el incumplimiento del convenio concursal que se produce limitaciones.</w:t>
      </w:r>
      <w:r w:rsidR="00B42452">
        <w:rPr>
          <w:rFonts w:ascii="Times New Roman" w:hAnsi="Times New Roman" w:cs="Times New Roman"/>
          <w:sz w:val="24"/>
        </w:rPr>
        <w:t xml:space="preserve"> Al</w:t>
      </w:r>
      <w:r w:rsidR="00B42452" w:rsidRPr="00B42452">
        <w:rPr>
          <w:rFonts w:ascii="Times New Roman" w:hAnsi="Times New Roman" w:cs="Times New Roman"/>
          <w:sz w:val="24"/>
        </w:rPr>
        <w:t xml:space="preserve"> igual </w:t>
      </w:r>
      <w:r w:rsidR="00B42452">
        <w:rPr>
          <w:rFonts w:ascii="Times New Roman" w:hAnsi="Times New Roman" w:cs="Times New Roman"/>
          <w:sz w:val="24"/>
        </w:rPr>
        <w:t>que en</w:t>
      </w:r>
      <w:r w:rsidR="00B42452" w:rsidRPr="00B42452">
        <w:rPr>
          <w:rFonts w:ascii="Times New Roman" w:hAnsi="Times New Roman" w:cs="Times New Roman"/>
          <w:sz w:val="24"/>
        </w:rPr>
        <w:t xml:space="preserve"> la </w:t>
      </w:r>
      <w:r w:rsidR="00B42452">
        <w:rPr>
          <w:rFonts w:ascii="Times New Roman" w:hAnsi="Times New Roman" w:cs="Times New Roman"/>
          <w:sz w:val="24"/>
        </w:rPr>
        <w:t>acción de impugnación</w:t>
      </w:r>
      <w:r w:rsidR="00B42452" w:rsidRPr="00B42452">
        <w:rPr>
          <w:rFonts w:ascii="Times New Roman" w:hAnsi="Times New Roman" w:cs="Times New Roman"/>
          <w:sz w:val="24"/>
        </w:rPr>
        <w:t>, la Ley exime al actor de la carga de demandar a todos los acreedores comparecidos en el expediente</w:t>
      </w:r>
      <w:r w:rsidR="00B42452">
        <w:rPr>
          <w:rFonts w:ascii="Times New Roman" w:hAnsi="Times New Roman" w:cs="Times New Roman"/>
          <w:sz w:val="24"/>
        </w:rPr>
        <w:t xml:space="preserve">, por lo cual se le dará </w:t>
      </w:r>
      <w:r w:rsidR="00B42452" w:rsidRPr="00B42452">
        <w:rPr>
          <w:rFonts w:ascii="Times New Roman" w:hAnsi="Times New Roman" w:cs="Times New Roman"/>
          <w:sz w:val="24"/>
        </w:rPr>
        <w:t xml:space="preserve">traslado de la demanda </w:t>
      </w:r>
      <w:r w:rsidR="00B42452">
        <w:rPr>
          <w:rFonts w:ascii="Times New Roman" w:hAnsi="Times New Roman" w:cs="Times New Roman"/>
          <w:sz w:val="24"/>
        </w:rPr>
        <w:t xml:space="preserve">para proceder a su </w:t>
      </w:r>
      <w:r w:rsidR="00B42452" w:rsidRPr="00B42452">
        <w:rPr>
          <w:rFonts w:ascii="Times New Roman" w:hAnsi="Times New Roman" w:cs="Times New Roman"/>
          <w:sz w:val="24"/>
        </w:rPr>
        <w:t>oposición</w:t>
      </w:r>
      <w:r w:rsidR="00B42452">
        <w:rPr>
          <w:rFonts w:ascii="Times New Roman" w:hAnsi="Times New Roman" w:cs="Times New Roman"/>
          <w:sz w:val="24"/>
        </w:rPr>
        <w:t>.</w:t>
      </w:r>
    </w:p>
    <w:p w:rsidR="00B42452" w:rsidRDefault="00B42452" w:rsidP="001D001B">
      <w:pPr>
        <w:spacing w:line="360" w:lineRule="auto"/>
        <w:ind w:firstLine="709"/>
        <w:jc w:val="both"/>
        <w:rPr>
          <w:rFonts w:ascii="Times New Roman" w:hAnsi="Times New Roman" w:cs="Times New Roman"/>
          <w:sz w:val="24"/>
        </w:rPr>
      </w:pPr>
    </w:p>
    <w:p w:rsidR="004610D0" w:rsidRDefault="004610D0" w:rsidP="001D001B">
      <w:pPr>
        <w:spacing w:line="360" w:lineRule="auto"/>
        <w:ind w:firstLine="709"/>
        <w:jc w:val="both"/>
        <w:rPr>
          <w:rFonts w:ascii="Times New Roman" w:hAnsi="Times New Roman" w:cs="Times New Roman"/>
          <w:sz w:val="24"/>
        </w:rPr>
      </w:pPr>
    </w:p>
    <w:p w:rsidR="004610D0" w:rsidRDefault="004610D0" w:rsidP="001D001B">
      <w:pPr>
        <w:spacing w:line="360" w:lineRule="auto"/>
        <w:ind w:firstLine="709"/>
        <w:jc w:val="both"/>
        <w:rPr>
          <w:rFonts w:ascii="Times New Roman" w:hAnsi="Times New Roman" w:cs="Times New Roman"/>
          <w:sz w:val="24"/>
        </w:rPr>
      </w:pPr>
    </w:p>
    <w:p w:rsidR="004610D0" w:rsidRDefault="004610D0" w:rsidP="001D001B">
      <w:pPr>
        <w:spacing w:line="360" w:lineRule="auto"/>
        <w:ind w:firstLine="709"/>
        <w:jc w:val="both"/>
        <w:rPr>
          <w:rFonts w:ascii="Times New Roman" w:hAnsi="Times New Roman" w:cs="Times New Roman"/>
          <w:sz w:val="24"/>
        </w:rPr>
      </w:pPr>
    </w:p>
    <w:p w:rsidR="004610D0" w:rsidRDefault="004610D0" w:rsidP="001D001B">
      <w:pPr>
        <w:spacing w:line="360" w:lineRule="auto"/>
        <w:ind w:firstLine="709"/>
        <w:jc w:val="both"/>
        <w:rPr>
          <w:rFonts w:ascii="Times New Roman" w:hAnsi="Times New Roman" w:cs="Times New Roman"/>
          <w:sz w:val="24"/>
        </w:rPr>
      </w:pPr>
    </w:p>
    <w:p w:rsidR="004610D0" w:rsidRDefault="004610D0" w:rsidP="001D001B">
      <w:pPr>
        <w:spacing w:line="360" w:lineRule="auto"/>
        <w:ind w:firstLine="709"/>
        <w:jc w:val="both"/>
        <w:rPr>
          <w:rFonts w:ascii="Times New Roman" w:hAnsi="Times New Roman" w:cs="Times New Roman"/>
          <w:sz w:val="24"/>
        </w:rPr>
      </w:pPr>
    </w:p>
    <w:p w:rsidR="004610D0" w:rsidRDefault="004610D0" w:rsidP="001D001B">
      <w:pPr>
        <w:spacing w:line="360" w:lineRule="auto"/>
        <w:ind w:firstLine="709"/>
        <w:jc w:val="both"/>
        <w:rPr>
          <w:rFonts w:ascii="Times New Roman" w:hAnsi="Times New Roman" w:cs="Times New Roman"/>
          <w:sz w:val="24"/>
        </w:rPr>
      </w:pPr>
    </w:p>
    <w:p w:rsidR="004610D0" w:rsidRDefault="004610D0" w:rsidP="001D001B">
      <w:pPr>
        <w:spacing w:line="360" w:lineRule="auto"/>
        <w:ind w:firstLine="709"/>
        <w:jc w:val="both"/>
        <w:rPr>
          <w:rFonts w:ascii="Times New Roman" w:hAnsi="Times New Roman" w:cs="Times New Roman"/>
          <w:sz w:val="24"/>
        </w:rPr>
      </w:pPr>
    </w:p>
    <w:p w:rsidR="004610D0" w:rsidRDefault="004610D0" w:rsidP="001D001B">
      <w:pPr>
        <w:spacing w:line="360" w:lineRule="auto"/>
        <w:ind w:firstLine="709"/>
        <w:jc w:val="both"/>
        <w:rPr>
          <w:rFonts w:ascii="Times New Roman" w:hAnsi="Times New Roman" w:cs="Times New Roman"/>
          <w:sz w:val="24"/>
        </w:rPr>
      </w:pPr>
    </w:p>
    <w:p w:rsidR="004610D0" w:rsidRDefault="004610D0" w:rsidP="001D001B">
      <w:pPr>
        <w:spacing w:line="360" w:lineRule="auto"/>
        <w:ind w:firstLine="709"/>
        <w:jc w:val="both"/>
        <w:rPr>
          <w:rFonts w:ascii="Times New Roman" w:hAnsi="Times New Roman" w:cs="Times New Roman"/>
          <w:sz w:val="24"/>
        </w:rPr>
      </w:pPr>
    </w:p>
    <w:p w:rsidR="004610D0" w:rsidRDefault="004610D0" w:rsidP="001D001B">
      <w:pPr>
        <w:spacing w:line="360" w:lineRule="auto"/>
        <w:ind w:firstLine="709"/>
        <w:jc w:val="both"/>
        <w:rPr>
          <w:rFonts w:ascii="Times New Roman" w:hAnsi="Times New Roman" w:cs="Times New Roman"/>
          <w:sz w:val="24"/>
        </w:rPr>
      </w:pPr>
    </w:p>
    <w:p w:rsidR="004610D0" w:rsidRDefault="004610D0" w:rsidP="001D001B">
      <w:pPr>
        <w:spacing w:line="360" w:lineRule="auto"/>
        <w:ind w:firstLine="709"/>
        <w:jc w:val="both"/>
        <w:rPr>
          <w:rFonts w:ascii="Times New Roman" w:hAnsi="Times New Roman" w:cs="Times New Roman"/>
          <w:sz w:val="24"/>
        </w:rPr>
      </w:pPr>
    </w:p>
    <w:p w:rsidR="004610D0" w:rsidRDefault="004610D0" w:rsidP="001D001B">
      <w:pPr>
        <w:spacing w:line="360" w:lineRule="auto"/>
        <w:ind w:firstLine="709"/>
        <w:jc w:val="both"/>
        <w:rPr>
          <w:rFonts w:ascii="Times New Roman" w:hAnsi="Times New Roman" w:cs="Times New Roman"/>
          <w:sz w:val="24"/>
        </w:rPr>
      </w:pPr>
    </w:p>
    <w:p w:rsidR="00B42452" w:rsidRDefault="00B42452" w:rsidP="00B42452">
      <w:pPr>
        <w:spacing w:line="360" w:lineRule="auto"/>
        <w:jc w:val="both"/>
        <w:rPr>
          <w:rFonts w:ascii="Times New Roman" w:hAnsi="Times New Roman" w:cs="Times New Roman"/>
          <w:b/>
          <w:sz w:val="24"/>
        </w:rPr>
      </w:pPr>
      <w:r>
        <w:rPr>
          <w:rFonts w:ascii="Times New Roman" w:hAnsi="Times New Roman" w:cs="Times New Roman"/>
          <w:b/>
          <w:sz w:val="24"/>
        </w:rPr>
        <w:lastRenderedPageBreak/>
        <w:t>5. PROTECCIÓN DE LOS ACUERDOS DE REFINANCIACIÓN.</w:t>
      </w:r>
    </w:p>
    <w:p w:rsidR="003B67D0" w:rsidRDefault="00755055" w:rsidP="003641EC">
      <w:pPr>
        <w:spacing w:line="360" w:lineRule="auto"/>
        <w:ind w:firstLine="709"/>
        <w:jc w:val="both"/>
        <w:rPr>
          <w:rFonts w:ascii="Times New Roman" w:hAnsi="Times New Roman" w:cs="Times New Roman"/>
          <w:sz w:val="24"/>
        </w:rPr>
      </w:pPr>
      <w:r w:rsidRPr="00755055">
        <w:rPr>
          <w:rFonts w:ascii="Times New Roman" w:hAnsi="Times New Roman" w:cs="Times New Roman"/>
          <w:sz w:val="24"/>
        </w:rPr>
        <w:t xml:space="preserve">Con la reforma </w:t>
      </w:r>
      <w:r w:rsidR="003641EC">
        <w:rPr>
          <w:rFonts w:ascii="Times New Roman" w:hAnsi="Times New Roman" w:cs="Times New Roman"/>
          <w:sz w:val="24"/>
        </w:rPr>
        <w:t>los escudos protectores para proteger los acuerdos de refinanciación se desplazan</w:t>
      </w:r>
      <w:r>
        <w:rPr>
          <w:rFonts w:ascii="Times New Roman" w:hAnsi="Times New Roman" w:cs="Times New Roman"/>
          <w:sz w:val="24"/>
        </w:rPr>
        <w:t xml:space="preserve"> para </w:t>
      </w:r>
      <w:r w:rsidR="000E40CA">
        <w:rPr>
          <w:rFonts w:ascii="Times New Roman" w:hAnsi="Times New Roman" w:cs="Times New Roman"/>
          <w:sz w:val="24"/>
        </w:rPr>
        <w:t>todos</w:t>
      </w:r>
      <w:r>
        <w:rPr>
          <w:rFonts w:ascii="Times New Roman" w:hAnsi="Times New Roman" w:cs="Times New Roman"/>
          <w:sz w:val="24"/>
        </w:rPr>
        <w:t xml:space="preserve"> aquellos acuerdos en el cual el deudor sea o no empresario y se encuentre en una situación de insolvencia inminente o actual, además el contenido debe ser conservativo y seguir de un plan de viabilidad para que a corto y medio plazo pueda seguir con la actividad empresarial</w:t>
      </w:r>
      <w:r w:rsidR="003641EC">
        <w:rPr>
          <w:rFonts w:ascii="Times New Roman" w:hAnsi="Times New Roman" w:cs="Times New Roman"/>
          <w:sz w:val="24"/>
        </w:rPr>
        <w:t>.</w:t>
      </w:r>
    </w:p>
    <w:p w:rsidR="004610D0" w:rsidRPr="003641EC" w:rsidRDefault="004610D0" w:rsidP="003641EC">
      <w:pPr>
        <w:spacing w:line="360" w:lineRule="auto"/>
        <w:ind w:firstLine="709"/>
        <w:jc w:val="both"/>
        <w:rPr>
          <w:rFonts w:ascii="Times New Roman" w:hAnsi="Times New Roman" w:cs="Times New Roman"/>
          <w:sz w:val="24"/>
        </w:rPr>
      </w:pPr>
    </w:p>
    <w:p w:rsidR="00B42452" w:rsidRPr="00755055" w:rsidRDefault="00B42452" w:rsidP="00755055">
      <w:pPr>
        <w:spacing w:line="360" w:lineRule="auto"/>
        <w:jc w:val="both"/>
        <w:rPr>
          <w:rFonts w:ascii="Times New Roman" w:hAnsi="Times New Roman" w:cs="Times New Roman"/>
          <w:b/>
          <w:sz w:val="24"/>
        </w:rPr>
      </w:pPr>
      <w:r>
        <w:rPr>
          <w:rFonts w:ascii="Times New Roman" w:hAnsi="Times New Roman" w:cs="Times New Roman"/>
          <w:b/>
          <w:sz w:val="24"/>
        </w:rPr>
        <w:t xml:space="preserve">5.1. </w:t>
      </w:r>
      <w:r w:rsidRPr="00E81C80">
        <w:rPr>
          <w:rFonts w:ascii="Times New Roman" w:hAnsi="Times New Roman" w:cs="Times New Roman"/>
          <w:b/>
          <w:sz w:val="24"/>
        </w:rPr>
        <w:t>Protección frente a solicitudes de concurso necesario</w:t>
      </w:r>
      <w:r>
        <w:rPr>
          <w:rFonts w:ascii="Times New Roman" w:hAnsi="Times New Roman" w:cs="Times New Roman"/>
          <w:b/>
          <w:sz w:val="24"/>
        </w:rPr>
        <w:t>.</w:t>
      </w:r>
    </w:p>
    <w:p w:rsidR="001D001B" w:rsidRDefault="000E40CA" w:rsidP="001D001B">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Uno de los rasgos que ponen de manifiesto la obligación de proteger los acuerdos frente a las solicitudes de concurso respecto de acuerdo disidentes (cabe destacar en España los casos de Aisa, </w:t>
      </w:r>
      <w:proofErr w:type="spellStart"/>
      <w:r>
        <w:rPr>
          <w:rFonts w:ascii="Times New Roman" w:hAnsi="Times New Roman" w:cs="Times New Roman"/>
          <w:sz w:val="24"/>
        </w:rPr>
        <w:t>Nozar</w:t>
      </w:r>
      <w:proofErr w:type="spellEnd"/>
      <w:r>
        <w:rPr>
          <w:rFonts w:ascii="Times New Roman" w:hAnsi="Times New Roman" w:cs="Times New Roman"/>
          <w:sz w:val="24"/>
        </w:rPr>
        <w:t>…. Cada una de estas entidades sufrieron en un proceso   de refinanciación por acreedores disidentes o no participantes que poseen i</w:t>
      </w:r>
      <w:r w:rsidR="00A52A2E">
        <w:rPr>
          <w:rFonts w:ascii="Times New Roman" w:hAnsi="Times New Roman" w:cs="Times New Roman"/>
          <w:sz w:val="24"/>
        </w:rPr>
        <w:t>n</w:t>
      </w:r>
      <w:r>
        <w:rPr>
          <w:rFonts w:ascii="Times New Roman" w:hAnsi="Times New Roman" w:cs="Times New Roman"/>
          <w:sz w:val="24"/>
        </w:rPr>
        <w:t>si</w:t>
      </w:r>
      <w:r w:rsidR="00A52A2E">
        <w:rPr>
          <w:rFonts w:ascii="Times New Roman" w:hAnsi="Times New Roman" w:cs="Times New Roman"/>
          <w:sz w:val="24"/>
        </w:rPr>
        <w:t>gni</w:t>
      </w:r>
      <w:r>
        <w:rPr>
          <w:rFonts w:ascii="Times New Roman" w:hAnsi="Times New Roman" w:cs="Times New Roman"/>
          <w:sz w:val="24"/>
        </w:rPr>
        <w:t xml:space="preserve">ficantes </w:t>
      </w:r>
      <w:r w:rsidR="00A52A2E">
        <w:rPr>
          <w:rFonts w:ascii="Times New Roman" w:hAnsi="Times New Roman" w:cs="Times New Roman"/>
          <w:sz w:val="24"/>
        </w:rPr>
        <w:t xml:space="preserve">porcentajes del pasivo. Esta protección se articula en el art 5 LC, la cual establece que además de supuestos de </w:t>
      </w:r>
      <w:r w:rsidR="00A67D0B">
        <w:rPr>
          <w:rFonts w:ascii="Times New Roman" w:hAnsi="Times New Roman" w:cs="Times New Roman"/>
          <w:sz w:val="24"/>
        </w:rPr>
        <w:t xml:space="preserve">insolvencia actual también se aplica a los inminente, y prevé que si en el transcurso de un plazo de </w:t>
      </w:r>
      <w:r w:rsidR="00320A78">
        <w:rPr>
          <w:rFonts w:ascii="Times New Roman" w:hAnsi="Times New Roman" w:cs="Times New Roman"/>
          <w:sz w:val="24"/>
        </w:rPr>
        <w:t>6</w:t>
      </w:r>
      <w:r w:rsidR="00A67D0B">
        <w:rPr>
          <w:rFonts w:ascii="Times New Roman" w:hAnsi="Times New Roman" w:cs="Times New Roman"/>
          <w:sz w:val="24"/>
        </w:rPr>
        <w:t xml:space="preserve"> meses el estado de insolvencia ha cambiado, el deudor no se verá en la obligación de solicitar que le declaren en situación concursal</w:t>
      </w:r>
      <w:r w:rsidR="00320A78">
        <w:rPr>
          <w:rFonts w:ascii="Times New Roman" w:hAnsi="Times New Roman" w:cs="Times New Roman"/>
          <w:sz w:val="24"/>
        </w:rPr>
        <w:t>.</w:t>
      </w:r>
    </w:p>
    <w:p w:rsidR="00320A78" w:rsidRDefault="00320A78" w:rsidP="001D001B">
      <w:pPr>
        <w:spacing w:line="360" w:lineRule="auto"/>
        <w:ind w:firstLine="709"/>
        <w:jc w:val="both"/>
        <w:rPr>
          <w:rFonts w:ascii="Times New Roman" w:hAnsi="Times New Roman" w:cs="Times New Roman"/>
          <w:sz w:val="24"/>
        </w:rPr>
      </w:pPr>
      <w:r>
        <w:rPr>
          <w:rFonts w:ascii="Times New Roman" w:hAnsi="Times New Roman" w:cs="Times New Roman"/>
          <w:sz w:val="24"/>
        </w:rPr>
        <w:t>A raíz de lo anterior el financiador y el deudor tienen un plazo de 6 meses para realizar una negociación del acuerdo y mientras que sucede la negociación en el periodo de 6 meses se produce una paralización para solicitar la situación del concurso y como consecuencia la declaración y calificación al deudor como culpable por el incumplimiento del deudor de su obligación de solicitar la situación de concursal</w:t>
      </w:r>
      <w:r w:rsidR="00C0186A">
        <w:rPr>
          <w:rFonts w:ascii="Times New Roman" w:hAnsi="Times New Roman" w:cs="Times New Roman"/>
          <w:sz w:val="24"/>
        </w:rPr>
        <w:t>, entre concurso necesario y voluntario.</w:t>
      </w:r>
    </w:p>
    <w:p w:rsidR="00C0186A" w:rsidRDefault="00C0186A" w:rsidP="001D001B">
      <w:pPr>
        <w:spacing w:line="360" w:lineRule="auto"/>
        <w:ind w:firstLine="709"/>
        <w:jc w:val="both"/>
        <w:rPr>
          <w:rFonts w:ascii="Times New Roman" w:hAnsi="Times New Roman" w:cs="Times New Roman"/>
          <w:sz w:val="24"/>
        </w:rPr>
      </w:pPr>
    </w:p>
    <w:p w:rsidR="00C0186A" w:rsidRDefault="00C0186A" w:rsidP="00C0186A">
      <w:pPr>
        <w:spacing w:line="360" w:lineRule="auto"/>
        <w:jc w:val="both"/>
        <w:rPr>
          <w:rFonts w:ascii="Times New Roman" w:hAnsi="Times New Roman" w:cs="Times New Roman"/>
          <w:sz w:val="24"/>
        </w:rPr>
      </w:pPr>
      <w:r>
        <w:rPr>
          <w:rFonts w:ascii="Times New Roman" w:hAnsi="Times New Roman" w:cs="Times New Roman"/>
          <w:b/>
          <w:sz w:val="24"/>
        </w:rPr>
        <w:t xml:space="preserve">5.2. </w:t>
      </w:r>
      <w:r w:rsidRPr="00E81C80">
        <w:rPr>
          <w:rFonts w:ascii="Times New Roman" w:hAnsi="Times New Roman" w:cs="Times New Roman"/>
          <w:b/>
          <w:sz w:val="24"/>
        </w:rPr>
        <w:t>Protección frente a una eventual rescisión concursal</w:t>
      </w:r>
      <w:r>
        <w:rPr>
          <w:rFonts w:ascii="Times New Roman" w:hAnsi="Times New Roman" w:cs="Times New Roman"/>
          <w:b/>
          <w:sz w:val="24"/>
        </w:rPr>
        <w:t>.</w:t>
      </w:r>
    </w:p>
    <w:p w:rsidR="00C0186A" w:rsidRDefault="00C56B20" w:rsidP="00B24AD5">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Este tipo de protección además de funcionar </w:t>
      </w:r>
      <w:r w:rsidR="00CF0076">
        <w:rPr>
          <w:rFonts w:ascii="Times New Roman" w:hAnsi="Times New Roman" w:cs="Times New Roman"/>
          <w:sz w:val="24"/>
        </w:rPr>
        <w:t xml:space="preserve">como un modo de blindaje siempre que cumpla con los requisitos, también funciona como garantías de la operatividad de la protección según el art 71.6 de LC 22/2003, la cual paso a tener nuevas aclaraciones por la última reforma  referidas a la suscripción al acuerdo por acreedores que supongan </w:t>
      </w:r>
      <w:r w:rsidR="00153B6E">
        <w:rPr>
          <w:rFonts w:ascii="Times New Roman" w:hAnsi="Times New Roman" w:cs="Times New Roman"/>
          <w:sz w:val="24"/>
        </w:rPr>
        <w:t xml:space="preserve">un cómputo requerido de 3/5 del pasivo, informe que debe realizar el experto proporcionado por el registrados Mercantil introduciéndose el acuerdo en instrumento </w:t>
      </w:r>
      <w:r w:rsidR="00153B6E">
        <w:rPr>
          <w:rFonts w:ascii="Times New Roman" w:hAnsi="Times New Roman" w:cs="Times New Roman"/>
          <w:sz w:val="24"/>
        </w:rPr>
        <w:lastRenderedPageBreak/>
        <w:t>público.</w:t>
      </w:r>
      <w:r w:rsidR="00153B6E" w:rsidRPr="00153B6E">
        <w:rPr>
          <w:rFonts w:ascii="Times New Roman" w:hAnsi="Times New Roman" w:cs="Times New Roman"/>
          <w:sz w:val="24"/>
        </w:rPr>
        <w:t>Además, la regla de sindicación se introduce también para los acuerdos de refinanciación que buscan protección frente a la acción rescisoria vía art. 71.6 LC</w:t>
      </w:r>
      <w:r w:rsidR="00B24AD5">
        <w:rPr>
          <w:rFonts w:ascii="Times New Roman" w:hAnsi="Times New Roman" w:cs="Times New Roman"/>
          <w:sz w:val="24"/>
        </w:rPr>
        <w:t>. La exención en el ámbito resarcitorio ha permitido dotar de garantías suficientes sobre los activos, permitiendo a las entidades financieras dotarlas de menos recursos, aligerando los recursos del Banco d España.</w:t>
      </w:r>
    </w:p>
    <w:p w:rsidR="00B24AD5" w:rsidRDefault="00DC4C7E" w:rsidP="00B24AD5">
      <w:pPr>
        <w:spacing w:line="360" w:lineRule="auto"/>
        <w:ind w:firstLine="709"/>
        <w:jc w:val="both"/>
        <w:rPr>
          <w:rFonts w:ascii="Times New Roman" w:hAnsi="Times New Roman" w:cs="Times New Roman"/>
          <w:sz w:val="24"/>
          <w:szCs w:val="24"/>
        </w:rPr>
      </w:pPr>
      <w:r w:rsidRPr="00C25DFF">
        <w:rPr>
          <w:rFonts w:ascii="Times New Roman" w:hAnsi="Times New Roman" w:cs="Times New Roman"/>
          <w:sz w:val="24"/>
          <w:szCs w:val="24"/>
        </w:rPr>
        <w:t>Una vez cumplidos los requisitos</w:t>
      </w:r>
      <w:r w:rsidR="00C25DFF" w:rsidRPr="00C25DFF">
        <w:rPr>
          <w:rFonts w:ascii="Times New Roman" w:hAnsi="Times New Roman" w:cs="Times New Roman"/>
          <w:sz w:val="24"/>
          <w:szCs w:val="24"/>
        </w:rPr>
        <w:t xml:space="preserve">, sea general o particular, </w:t>
      </w:r>
      <w:r w:rsidR="00C25DFF">
        <w:rPr>
          <w:rFonts w:ascii="Times New Roman" w:hAnsi="Times New Roman" w:cs="Times New Roman"/>
          <w:sz w:val="24"/>
          <w:szCs w:val="24"/>
        </w:rPr>
        <w:t xml:space="preserve">para poder poseer los escudos protectores y además la no </w:t>
      </w:r>
      <w:proofErr w:type="spellStart"/>
      <w:r w:rsidR="00C25DFF">
        <w:rPr>
          <w:rFonts w:ascii="Times New Roman" w:hAnsi="Times New Roman" w:cs="Times New Roman"/>
          <w:sz w:val="24"/>
          <w:szCs w:val="24"/>
        </w:rPr>
        <w:t>rescindibilidad</w:t>
      </w:r>
      <w:proofErr w:type="spellEnd"/>
      <w:r w:rsidR="00C25DFF">
        <w:rPr>
          <w:rFonts w:ascii="Times New Roman" w:hAnsi="Times New Roman" w:cs="Times New Roman"/>
          <w:sz w:val="24"/>
          <w:szCs w:val="24"/>
        </w:rPr>
        <w:t xml:space="preserve"> concursal, y además legitimando otras acciones aparte de la resarcitoria como la de nulidad, anulabilidad…</w:t>
      </w:r>
      <w:r w:rsidR="00F2373E">
        <w:rPr>
          <w:rFonts w:ascii="Times New Roman" w:hAnsi="Times New Roman" w:cs="Times New Roman"/>
          <w:sz w:val="24"/>
          <w:szCs w:val="24"/>
        </w:rPr>
        <w:t xml:space="preserve"> en este punto radica la reforma y su importancia en la práctica reduciendo a un solo legitimado la administración concursal, las diferentes posibilidades de atacar por la vía resarcitoria u cualquier otra acción de impugnación.</w:t>
      </w:r>
    </w:p>
    <w:p w:rsidR="00F2373E" w:rsidRDefault="00F2373E" w:rsidP="00B24AD5">
      <w:pPr>
        <w:spacing w:line="360" w:lineRule="auto"/>
        <w:ind w:firstLine="709"/>
        <w:jc w:val="both"/>
        <w:rPr>
          <w:rFonts w:ascii="Times New Roman" w:hAnsi="Times New Roman" w:cs="Times New Roman"/>
          <w:sz w:val="24"/>
          <w:szCs w:val="24"/>
        </w:rPr>
      </w:pPr>
    </w:p>
    <w:p w:rsidR="00F2373E" w:rsidRDefault="00F2373E" w:rsidP="00F2373E">
      <w:pPr>
        <w:spacing w:line="360" w:lineRule="auto"/>
        <w:jc w:val="both"/>
        <w:rPr>
          <w:rFonts w:ascii="Times New Roman" w:hAnsi="Times New Roman" w:cs="Times New Roman"/>
          <w:sz w:val="24"/>
          <w:szCs w:val="24"/>
        </w:rPr>
      </w:pPr>
      <w:r>
        <w:rPr>
          <w:rFonts w:ascii="Times New Roman" w:hAnsi="Times New Roman" w:cs="Times New Roman"/>
          <w:b/>
          <w:sz w:val="24"/>
        </w:rPr>
        <w:t xml:space="preserve">5.3. </w:t>
      </w:r>
      <w:r w:rsidRPr="00E81C80">
        <w:rPr>
          <w:rFonts w:ascii="Times New Roman" w:hAnsi="Times New Roman" w:cs="Times New Roman"/>
          <w:b/>
          <w:sz w:val="24"/>
        </w:rPr>
        <w:t>Reconocimiento del «</w:t>
      </w:r>
      <w:proofErr w:type="spellStart"/>
      <w:r w:rsidRPr="00E81C80">
        <w:rPr>
          <w:rFonts w:ascii="Times New Roman" w:hAnsi="Times New Roman" w:cs="Times New Roman"/>
          <w:b/>
          <w:sz w:val="24"/>
        </w:rPr>
        <w:t>freshmoney</w:t>
      </w:r>
      <w:proofErr w:type="spellEnd"/>
      <w:r w:rsidRPr="00E81C80">
        <w:rPr>
          <w:rFonts w:ascii="Times New Roman" w:hAnsi="Times New Roman" w:cs="Times New Roman"/>
          <w:b/>
          <w:sz w:val="24"/>
        </w:rPr>
        <w:t>» y financiación de empresas en crisis</w:t>
      </w:r>
      <w:r>
        <w:rPr>
          <w:rFonts w:ascii="Times New Roman" w:hAnsi="Times New Roman" w:cs="Times New Roman"/>
          <w:b/>
          <w:sz w:val="24"/>
        </w:rPr>
        <w:t>.</w:t>
      </w:r>
    </w:p>
    <w:p w:rsidR="00F2373E" w:rsidRDefault="0030100C" w:rsidP="00B24AD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 España se producen en la práctica muchos acuerdos </w:t>
      </w:r>
      <w:proofErr w:type="spellStart"/>
      <w:r>
        <w:rPr>
          <w:rFonts w:ascii="Times New Roman" w:hAnsi="Times New Roman" w:cs="Times New Roman"/>
          <w:sz w:val="24"/>
          <w:szCs w:val="24"/>
        </w:rPr>
        <w:t>preconcursales</w:t>
      </w:r>
      <w:proofErr w:type="spellEnd"/>
      <w:r>
        <w:rPr>
          <w:rFonts w:ascii="Times New Roman" w:hAnsi="Times New Roman" w:cs="Times New Roman"/>
          <w:sz w:val="24"/>
          <w:szCs w:val="24"/>
        </w:rPr>
        <w:t xml:space="preserve"> en los cual se establecen esperas o también renuncias de los acreedores con respecto a sus créditos, debido a esto se produce un complejidad para alcanzar acuerdos en los que se con</w:t>
      </w:r>
      <w:r w:rsidR="004610D0">
        <w:rPr>
          <w:rFonts w:ascii="Times New Roman" w:hAnsi="Times New Roman" w:cs="Times New Roman"/>
          <w:sz w:val="24"/>
          <w:szCs w:val="24"/>
        </w:rPr>
        <w:t>cede o amplíe la financiación (</w:t>
      </w:r>
      <w:proofErr w:type="spellStart"/>
      <w:r>
        <w:rPr>
          <w:rFonts w:ascii="Times New Roman" w:hAnsi="Times New Roman" w:cs="Times New Roman"/>
          <w:sz w:val="24"/>
          <w:szCs w:val="24"/>
        </w:rPr>
        <w:t>freshmoney</w:t>
      </w:r>
      <w:proofErr w:type="spellEnd"/>
      <w:r>
        <w:rPr>
          <w:rFonts w:ascii="Times New Roman" w:hAnsi="Times New Roman" w:cs="Times New Roman"/>
          <w:sz w:val="24"/>
          <w:szCs w:val="24"/>
        </w:rPr>
        <w:t xml:space="preserve">) </w:t>
      </w:r>
      <w:r w:rsidR="005C4B85">
        <w:rPr>
          <w:rFonts w:ascii="Times New Roman" w:hAnsi="Times New Roman" w:cs="Times New Roman"/>
          <w:sz w:val="24"/>
          <w:szCs w:val="24"/>
        </w:rPr>
        <w:t>provocando que se produzca un aumento del riesgo del crédito que deben soportar los acreedores debido a que su capital que se está explotando es ajeno.</w:t>
      </w:r>
    </w:p>
    <w:p w:rsidR="00817D4C" w:rsidRDefault="005C4B85" w:rsidP="00B24AD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Debido a lo anterior, uno de los principales </w:t>
      </w:r>
      <w:r w:rsidR="00817D4C">
        <w:rPr>
          <w:rFonts w:ascii="Times New Roman" w:hAnsi="Times New Roman" w:cs="Times New Roman"/>
          <w:sz w:val="24"/>
          <w:szCs w:val="24"/>
        </w:rPr>
        <w:t>objetivos</w:t>
      </w:r>
      <w:r>
        <w:rPr>
          <w:rFonts w:ascii="Times New Roman" w:hAnsi="Times New Roman" w:cs="Times New Roman"/>
          <w:sz w:val="24"/>
          <w:szCs w:val="24"/>
        </w:rPr>
        <w:t xml:space="preserve"> que buscaba la reforma</w:t>
      </w:r>
      <w:r w:rsidR="00817D4C">
        <w:rPr>
          <w:rFonts w:ascii="Times New Roman" w:hAnsi="Times New Roman" w:cs="Times New Roman"/>
          <w:sz w:val="24"/>
          <w:szCs w:val="24"/>
        </w:rPr>
        <w:t xml:space="preserve"> es incentivar en las empresas que se encuentran en crisis la financiación para su recuperación económica, y es importante dar la certeza al acreedor que realiza la financiación en un concurso que ya sea ha declarado que podrá recuperarlo tras el vencimiento.</w:t>
      </w:r>
    </w:p>
    <w:p w:rsidR="0020106D" w:rsidRDefault="00817D4C" w:rsidP="0020106D">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 la reforma del 2011 publicada el día 11 de octubre en el BOE </w:t>
      </w:r>
      <w:r w:rsidR="00BC7E25">
        <w:rPr>
          <w:rFonts w:ascii="Times New Roman" w:hAnsi="Times New Roman" w:cs="Times New Roman"/>
          <w:sz w:val="24"/>
          <w:szCs w:val="24"/>
        </w:rPr>
        <w:t xml:space="preserve">fue cuando se reguló por primera vez el </w:t>
      </w:r>
      <w:proofErr w:type="spellStart"/>
      <w:r w:rsidR="00BC7E25">
        <w:rPr>
          <w:rFonts w:ascii="Times New Roman" w:hAnsi="Times New Roman" w:cs="Times New Roman"/>
          <w:sz w:val="24"/>
          <w:szCs w:val="24"/>
        </w:rPr>
        <w:t>freshmoney</w:t>
      </w:r>
      <w:proofErr w:type="spellEnd"/>
      <w:r w:rsidR="00BC7E25">
        <w:rPr>
          <w:rFonts w:ascii="Times New Roman" w:hAnsi="Times New Roman" w:cs="Times New Roman"/>
          <w:sz w:val="24"/>
          <w:szCs w:val="24"/>
        </w:rPr>
        <w:t xml:space="preserve"> pero no para </w:t>
      </w:r>
      <w:r w:rsidR="0020106D">
        <w:rPr>
          <w:rFonts w:ascii="Times New Roman" w:hAnsi="Times New Roman" w:cs="Times New Roman"/>
          <w:sz w:val="24"/>
          <w:szCs w:val="24"/>
        </w:rPr>
        <w:t>toda la</w:t>
      </w:r>
      <w:r w:rsidR="004610D0">
        <w:rPr>
          <w:rFonts w:ascii="Times New Roman" w:hAnsi="Times New Roman" w:cs="Times New Roman"/>
          <w:sz w:val="24"/>
          <w:szCs w:val="24"/>
        </w:rPr>
        <w:t xml:space="preserve"> </w:t>
      </w:r>
      <w:r w:rsidR="0020106D">
        <w:rPr>
          <w:rFonts w:ascii="Times New Roman" w:hAnsi="Times New Roman" w:cs="Times New Roman"/>
          <w:sz w:val="24"/>
          <w:szCs w:val="24"/>
        </w:rPr>
        <w:t>financiación</w:t>
      </w:r>
      <w:r w:rsidR="004610D0">
        <w:rPr>
          <w:rFonts w:ascii="Times New Roman" w:hAnsi="Times New Roman" w:cs="Times New Roman"/>
          <w:sz w:val="24"/>
          <w:szCs w:val="24"/>
        </w:rPr>
        <w:t xml:space="preserve"> </w:t>
      </w:r>
      <w:proofErr w:type="spellStart"/>
      <w:r w:rsidR="00BC7E25">
        <w:rPr>
          <w:rFonts w:ascii="Times New Roman" w:hAnsi="Times New Roman" w:cs="Times New Roman"/>
          <w:sz w:val="24"/>
          <w:szCs w:val="24"/>
        </w:rPr>
        <w:t>pr</w:t>
      </w:r>
      <w:r w:rsidR="0020106D">
        <w:rPr>
          <w:rFonts w:ascii="Times New Roman" w:hAnsi="Times New Roman" w:cs="Times New Roman"/>
          <w:sz w:val="24"/>
          <w:szCs w:val="24"/>
        </w:rPr>
        <w:t>e</w:t>
      </w:r>
      <w:r w:rsidR="00BC7E25">
        <w:rPr>
          <w:rFonts w:ascii="Times New Roman" w:hAnsi="Times New Roman" w:cs="Times New Roman"/>
          <w:sz w:val="24"/>
          <w:szCs w:val="24"/>
        </w:rPr>
        <w:t>concursal</w:t>
      </w:r>
      <w:proofErr w:type="spellEnd"/>
      <w:r w:rsidR="00BC7E25">
        <w:rPr>
          <w:rFonts w:ascii="Times New Roman" w:hAnsi="Times New Roman" w:cs="Times New Roman"/>
          <w:sz w:val="24"/>
          <w:szCs w:val="24"/>
        </w:rPr>
        <w:t xml:space="preserve"> sin que se </w:t>
      </w:r>
      <w:r w:rsidR="004610D0">
        <w:rPr>
          <w:rFonts w:ascii="Times New Roman" w:hAnsi="Times New Roman" w:cs="Times New Roman"/>
          <w:sz w:val="24"/>
          <w:szCs w:val="24"/>
        </w:rPr>
        <w:t>subordine</w:t>
      </w:r>
      <w:r w:rsidR="00BC7E25">
        <w:rPr>
          <w:rFonts w:ascii="Times New Roman" w:hAnsi="Times New Roman" w:cs="Times New Roman"/>
          <w:sz w:val="24"/>
          <w:szCs w:val="24"/>
        </w:rPr>
        <w:t xml:space="preserve"> con relación a acuerdos particulares y generales, debiendo cumplir los siguientes requisitos:</w:t>
      </w:r>
    </w:p>
    <w:p w:rsidR="005C4B85" w:rsidRDefault="00BC7E25" w:rsidP="00BC7E25">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Sólo se </w:t>
      </w:r>
      <w:r w:rsidR="00A01CC0">
        <w:rPr>
          <w:rFonts w:ascii="Times New Roman" w:hAnsi="Times New Roman" w:cs="Times New Roman"/>
          <w:sz w:val="24"/>
          <w:szCs w:val="24"/>
        </w:rPr>
        <w:t xml:space="preserve">concede esta ventaja sobre las nuevas financiaciones dadas siempre dentro de un acuerdo de refinanciación y que debido a eso suponen un </w:t>
      </w:r>
      <w:r w:rsidR="00A01CC0">
        <w:rPr>
          <w:rFonts w:ascii="Times New Roman" w:hAnsi="Times New Roman" w:cs="Times New Roman"/>
          <w:sz w:val="24"/>
          <w:szCs w:val="24"/>
        </w:rPr>
        <w:lastRenderedPageBreak/>
        <w:t>aumento del crédito</w:t>
      </w:r>
      <w:r w:rsidR="0020106D">
        <w:rPr>
          <w:rFonts w:ascii="Times New Roman" w:hAnsi="Times New Roman" w:cs="Times New Roman"/>
          <w:sz w:val="24"/>
          <w:szCs w:val="24"/>
        </w:rPr>
        <w:t xml:space="preserve">, no se concede este privilegio a las financiaciones </w:t>
      </w:r>
      <w:proofErr w:type="spellStart"/>
      <w:r w:rsidR="0020106D">
        <w:rPr>
          <w:rFonts w:ascii="Times New Roman" w:hAnsi="Times New Roman" w:cs="Times New Roman"/>
          <w:sz w:val="24"/>
          <w:szCs w:val="24"/>
        </w:rPr>
        <w:t>preconcursales</w:t>
      </w:r>
      <w:proofErr w:type="spellEnd"/>
      <w:r w:rsidR="0020106D">
        <w:rPr>
          <w:rFonts w:ascii="Times New Roman" w:hAnsi="Times New Roman" w:cs="Times New Roman"/>
          <w:sz w:val="24"/>
          <w:szCs w:val="24"/>
        </w:rPr>
        <w:t xml:space="preserve"> realizadas al margen del acuerdo de refinanciación.</w:t>
      </w:r>
    </w:p>
    <w:p w:rsidR="0020106D" w:rsidRDefault="0020106D" w:rsidP="0020106D">
      <w:pPr>
        <w:pStyle w:val="Prrafodelista"/>
        <w:spacing w:line="360" w:lineRule="auto"/>
        <w:ind w:left="1069"/>
        <w:jc w:val="both"/>
        <w:rPr>
          <w:rFonts w:ascii="Times New Roman" w:hAnsi="Times New Roman" w:cs="Times New Roman"/>
          <w:sz w:val="24"/>
          <w:szCs w:val="24"/>
        </w:rPr>
      </w:pPr>
    </w:p>
    <w:p w:rsidR="0020106D" w:rsidRPr="0020106D" w:rsidRDefault="0020106D" w:rsidP="0020106D">
      <w:pPr>
        <w:pStyle w:val="Prrafodelista"/>
        <w:numPr>
          <w:ilvl w:val="0"/>
          <w:numId w:val="4"/>
        </w:numPr>
        <w:spacing w:line="360" w:lineRule="auto"/>
        <w:jc w:val="both"/>
        <w:rPr>
          <w:rFonts w:ascii="Times New Roman" w:hAnsi="Times New Roman" w:cs="Times New Roman"/>
          <w:sz w:val="24"/>
          <w:szCs w:val="24"/>
        </w:rPr>
      </w:pPr>
      <w:r>
        <w:rPr>
          <w:rFonts w:ascii="Times New Roman" w:hAnsi="Times New Roman" w:cs="Times New Roman"/>
          <w:sz w:val="24"/>
          <w:szCs w:val="24"/>
        </w:rPr>
        <w:t>El crédito que va a generar la nueva financiación no debe de poder rescindirse según el art 71.6 LC, y hacerse con un plan de viabilidad junto con el informe del experto independiente, el cual ha sido designado por un registrador mercantil, con el objetivo de indicar que la financiación realiza ha contribuido a coservar la actividad.</w:t>
      </w:r>
    </w:p>
    <w:p w:rsidR="00F2373E" w:rsidRDefault="00F2373E" w:rsidP="00B24AD5">
      <w:pPr>
        <w:spacing w:line="360" w:lineRule="auto"/>
        <w:ind w:firstLine="709"/>
        <w:jc w:val="both"/>
        <w:rPr>
          <w:rFonts w:ascii="Times New Roman" w:hAnsi="Times New Roman" w:cs="Times New Roman"/>
          <w:sz w:val="24"/>
          <w:szCs w:val="24"/>
        </w:rPr>
      </w:pPr>
    </w:p>
    <w:p w:rsidR="0060208A" w:rsidRDefault="0060208A" w:rsidP="00B24AD5">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Los nuevos ingresos cumpliendo los requisitos, los cual se le reconocen al 50% del ingreso la condición de créditos contra la masa y al resto del 50% del crédito se le establece un privilegio general, esto supone una vía intermedia con respecto a otros modelos como el italiano o francés, en el que en ellos se extiende al 100% para evitar así el riesgo de la masa en relación a la satisfacción respecto de otros créditos.</w:t>
      </w:r>
    </w:p>
    <w:p w:rsidR="00672CBB" w:rsidRDefault="00672CBB" w:rsidP="003341B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Junto a esta debilidad que se encuentra en el </w:t>
      </w:r>
      <w:proofErr w:type="spellStart"/>
      <w:r>
        <w:rPr>
          <w:rFonts w:ascii="Times New Roman" w:hAnsi="Times New Roman" w:cs="Times New Roman"/>
          <w:sz w:val="24"/>
          <w:szCs w:val="24"/>
        </w:rPr>
        <w:t>freshmoney</w:t>
      </w:r>
      <w:r w:rsidR="003341B1">
        <w:rPr>
          <w:rFonts w:ascii="Times New Roman" w:hAnsi="Times New Roman" w:cs="Times New Roman"/>
          <w:sz w:val="24"/>
          <w:szCs w:val="24"/>
        </w:rPr>
        <w:t>al</w:t>
      </w:r>
      <w:proofErr w:type="spellEnd"/>
      <w:r w:rsidR="003341B1">
        <w:rPr>
          <w:rFonts w:ascii="Times New Roman" w:hAnsi="Times New Roman" w:cs="Times New Roman"/>
          <w:sz w:val="24"/>
          <w:szCs w:val="24"/>
        </w:rPr>
        <w:t xml:space="preserve"> no reconocerse la </w:t>
      </w:r>
      <w:proofErr w:type="spellStart"/>
      <w:r w:rsidR="003341B1">
        <w:rPr>
          <w:rFonts w:ascii="Times New Roman" w:hAnsi="Times New Roman" w:cs="Times New Roman"/>
          <w:sz w:val="24"/>
          <w:szCs w:val="24"/>
        </w:rPr>
        <w:t>prededucción</w:t>
      </w:r>
      <w:proofErr w:type="spellEnd"/>
      <w:r w:rsidR="003341B1">
        <w:rPr>
          <w:rFonts w:ascii="Times New Roman" w:hAnsi="Times New Roman" w:cs="Times New Roman"/>
          <w:sz w:val="24"/>
          <w:szCs w:val="24"/>
        </w:rPr>
        <w:t xml:space="preserve"> al 100% como en los otros modelos mencionados anteriormente, </w:t>
      </w:r>
      <w:r>
        <w:rPr>
          <w:rFonts w:ascii="Times New Roman" w:hAnsi="Times New Roman" w:cs="Times New Roman"/>
          <w:sz w:val="24"/>
          <w:szCs w:val="24"/>
        </w:rPr>
        <w:t>se manifiesta en la reforma otros aspectos</w:t>
      </w:r>
      <w:r w:rsidR="003341B1">
        <w:rPr>
          <w:rFonts w:ascii="Times New Roman" w:hAnsi="Times New Roman" w:cs="Times New Roman"/>
          <w:sz w:val="24"/>
          <w:szCs w:val="24"/>
        </w:rPr>
        <w:t xml:space="preserve"> que generan más debilidad</w:t>
      </w:r>
      <w:r>
        <w:rPr>
          <w:rFonts w:ascii="Times New Roman" w:hAnsi="Times New Roman" w:cs="Times New Roman"/>
          <w:sz w:val="24"/>
          <w:szCs w:val="24"/>
        </w:rPr>
        <w:t xml:space="preserve">, por un </w:t>
      </w:r>
      <w:r w:rsidR="00B81F73">
        <w:rPr>
          <w:rFonts w:ascii="Times New Roman" w:hAnsi="Times New Roman" w:cs="Times New Roman"/>
          <w:sz w:val="24"/>
          <w:szCs w:val="24"/>
        </w:rPr>
        <w:t>lado, el tratamiento que se da a la financiación de los créditos aportados por préstamos y no de procedencia de aportes de capital y por otro lado el crédito situado del 50% reconocido se realiza en función de que sea suficiente o no de la masa activa.</w:t>
      </w:r>
    </w:p>
    <w:p w:rsidR="00B81F73" w:rsidRDefault="00B81F73" w:rsidP="003341B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En supuestos de suficiencia de la masa la reforma española estableció en su art 84.3 LC un requisito el cual consiste en la realización del pago contra la masa que va a entrar en vencimiento otorgando al administrador concursal la potestad para cambiar el criterio según el interés del concurso lo que provoca es cierta inseguridad jurídica.</w:t>
      </w:r>
    </w:p>
    <w:p w:rsidR="00B81F73" w:rsidRDefault="000376F7" w:rsidP="003341B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Respecto a lo relativo a la financiación interna se </w:t>
      </w:r>
      <w:r w:rsidR="0049445E">
        <w:rPr>
          <w:rFonts w:ascii="Times New Roman" w:hAnsi="Times New Roman" w:cs="Times New Roman"/>
          <w:sz w:val="24"/>
          <w:szCs w:val="24"/>
        </w:rPr>
        <w:t>vinculan</w:t>
      </w:r>
      <w:r>
        <w:rPr>
          <w:rFonts w:ascii="Times New Roman" w:hAnsi="Times New Roman" w:cs="Times New Roman"/>
          <w:sz w:val="24"/>
          <w:szCs w:val="24"/>
        </w:rPr>
        <w:t xml:space="preserve"> a </w:t>
      </w:r>
      <w:r w:rsidR="0049445E">
        <w:rPr>
          <w:rFonts w:ascii="Times New Roman" w:hAnsi="Times New Roman" w:cs="Times New Roman"/>
          <w:sz w:val="24"/>
          <w:szCs w:val="24"/>
        </w:rPr>
        <w:t xml:space="preserve">los nuevos ingresos a la tesorería excluyendo </w:t>
      </w:r>
      <w:r w:rsidR="001037E8">
        <w:rPr>
          <w:rFonts w:ascii="Times New Roman" w:hAnsi="Times New Roman" w:cs="Times New Roman"/>
          <w:sz w:val="24"/>
          <w:szCs w:val="24"/>
        </w:rPr>
        <w:t>las aportaciones</w:t>
      </w:r>
      <w:r w:rsidR="0049445E">
        <w:rPr>
          <w:rFonts w:ascii="Times New Roman" w:hAnsi="Times New Roman" w:cs="Times New Roman"/>
          <w:sz w:val="24"/>
          <w:szCs w:val="24"/>
        </w:rPr>
        <w:t xml:space="preserve"> de capital que puedan hacer los socios</w:t>
      </w:r>
      <w:r w:rsidR="00896FE7">
        <w:rPr>
          <w:rFonts w:ascii="Times New Roman" w:hAnsi="Times New Roman" w:cs="Times New Roman"/>
          <w:sz w:val="24"/>
          <w:szCs w:val="24"/>
        </w:rPr>
        <w:t xml:space="preserve">, esto genera reticencias debido a las financiaciones internas de los socios concitándose a temas de </w:t>
      </w:r>
      <w:proofErr w:type="spellStart"/>
      <w:r w:rsidR="00896FE7">
        <w:rPr>
          <w:rFonts w:ascii="Times New Roman" w:hAnsi="Times New Roman" w:cs="Times New Roman"/>
          <w:sz w:val="24"/>
          <w:szCs w:val="24"/>
        </w:rPr>
        <w:t>infracapitalización</w:t>
      </w:r>
      <w:proofErr w:type="spellEnd"/>
      <w:r w:rsidR="00896FE7">
        <w:rPr>
          <w:rFonts w:ascii="Times New Roman" w:hAnsi="Times New Roman" w:cs="Times New Roman"/>
          <w:sz w:val="24"/>
          <w:szCs w:val="24"/>
        </w:rPr>
        <w:t xml:space="preserve"> societarias.</w:t>
      </w:r>
    </w:p>
    <w:p w:rsidR="001037E8" w:rsidRDefault="001037E8" w:rsidP="003341B1">
      <w:pPr>
        <w:spacing w:line="360" w:lineRule="auto"/>
        <w:ind w:firstLine="709"/>
        <w:jc w:val="both"/>
        <w:rPr>
          <w:rFonts w:ascii="Times New Roman" w:hAnsi="Times New Roman" w:cs="Times New Roman"/>
          <w:sz w:val="24"/>
          <w:szCs w:val="24"/>
        </w:rPr>
      </w:pPr>
    </w:p>
    <w:p w:rsidR="004610D0" w:rsidRDefault="004610D0" w:rsidP="001037E8">
      <w:pPr>
        <w:spacing w:line="360" w:lineRule="auto"/>
        <w:jc w:val="both"/>
        <w:rPr>
          <w:rFonts w:ascii="Times New Roman" w:hAnsi="Times New Roman" w:cs="Times New Roman"/>
          <w:b/>
          <w:sz w:val="24"/>
        </w:rPr>
      </w:pPr>
    </w:p>
    <w:p w:rsidR="004610D0" w:rsidRDefault="004610D0" w:rsidP="001037E8">
      <w:pPr>
        <w:spacing w:line="360" w:lineRule="auto"/>
        <w:jc w:val="both"/>
        <w:rPr>
          <w:rFonts w:ascii="Times New Roman" w:hAnsi="Times New Roman" w:cs="Times New Roman"/>
          <w:b/>
          <w:sz w:val="24"/>
        </w:rPr>
      </w:pPr>
    </w:p>
    <w:p w:rsidR="001037E8" w:rsidRPr="001037E8" w:rsidRDefault="001037E8" w:rsidP="001037E8">
      <w:pPr>
        <w:spacing w:line="360" w:lineRule="auto"/>
        <w:jc w:val="both"/>
        <w:rPr>
          <w:rFonts w:ascii="Times New Roman" w:hAnsi="Times New Roman" w:cs="Times New Roman"/>
          <w:b/>
          <w:sz w:val="24"/>
        </w:rPr>
      </w:pPr>
      <w:r>
        <w:rPr>
          <w:rFonts w:ascii="Times New Roman" w:hAnsi="Times New Roman" w:cs="Times New Roman"/>
          <w:b/>
          <w:sz w:val="24"/>
        </w:rPr>
        <w:lastRenderedPageBreak/>
        <w:t>6. CONCLUSIONES.</w:t>
      </w:r>
    </w:p>
    <w:p w:rsidR="001037E8" w:rsidRDefault="00F64849" w:rsidP="003341B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Tras </w:t>
      </w:r>
      <w:r w:rsidR="007C7E3C">
        <w:rPr>
          <w:rFonts w:ascii="Times New Roman" w:hAnsi="Times New Roman" w:cs="Times New Roman"/>
          <w:sz w:val="24"/>
          <w:szCs w:val="24"/>
        </w:rPr>
        <w:t>el estudiado llevado a cabo</w:t>
      </w:r>
      <w:r>
        <w:rPr>
          <w:rFonts w:ascii="Times New Roman" w:hAnsi="Times New Roman" w:cs="Times New Roman"/>
          <w:sz w:val="24"/>
          <w:szCs w:val="24"/>
        </w:rPr>
        <w:t xml:space="preserve"> sobre el tema que he desarrollado en el presente trabajo, desde mi punto de vista, puede realizar ciertas conclusiones sobre los acuerdos de refinanciación.</w:t>
      </w:r>
    </w:p>
    <w:p w:rsidR="00F64849" w:rsidRDefault="00F64849" w:rsidP="003341B1">
      <w:pPr>
        <w:spacing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En primer lugar, la legislación concursal es muy reciente, fue elaborada en 2003, y que resultó incapaz de hacer frente a las situaciones concursales producidas debido a la situación de crisis iniciada en 2007 en España y la cual se sigue reformando hasta hoy en día para responder a las nuevas situaciones que se puedan dar y las que se dan actualmente. Esta situación genera </w:t>
      </w:r>
      <w:r w:rsidR="007C7E3C">
        <w:rPr>
          <w:rFonts w:ascii="Times New Roman" w:hAnsi="Times New Roman" w:cs="Times New Roman"/>
          <w:sz w:val="24"/>
          <w:szCs w:val="24"/>
        </w:rPr>
        <w:t>muchas controversias</w:t>
      </w:r>
      <w:r>
        <w:rPr>
          <w:rFonts w:ascii="Times New Roman" w:hAnsi="Times New Roman" w:cs="Times New Roman"/>
          <w:sz w:val="24"/>
          <w:szCs w:val="24"/>
        </w:rPr>
        <w:t xml:space="preserve"> entre </w:t>
      </w:r>
      <w:r w:rsidR="007C7E3C">
        <w:rPr>
          <w:rFonts w:ascii="Times New Roman" w:hAnsi="Times New Roman" w:cs="Times New Roman"/>
          <w:sz w:val="24"/>
          <w:szCs w:val="24"/>
        </w:rPr>
        <w:t>muchos autores, la cual se preguntan si es mejor reformar la ley en momentos de clama o de tempestad.</w:t>
      </w:r>
    </w:p>
    <w:p w:rsidR="001C352A" w:rsidRDefault="007C7E3C" w:rsidP="001C352A">
      <w:pPr>
        <w:spacing w:line="360" w:lineRule="auto"/>
        <w:ind w:firstLine="709"/>
        <w:jc w:val="both"/>
        <w:rPr>
          <w:rFonts w:ascii="Times New Roman" w:hAnsi="Times New Roman" w:cs="Times New Roman"/>
          <w:sz w:val="24"/>
        </w:rPr>
      </w:pPr>
      <w:r>
        <w:rPr>
          <w:rFonts w:ascii="Times New Roman" w:hAnsi="Times New Roman" w:cs="Times New Roman"/>
          <w:sz w:val="24"/>
          <w:szCs w:val="24"/>
        </w:rPr>
        <w:t xml:space="preserve">En segundo lugar, resulta muy útil la vía de los acuerdos de refinanciación para así evitar la situación concursal, llevado a cabo por la autonomía de la voluntad, la cual pude generar cierta problemática por la que alguna de las </w:t>
      </w:r>
      <w:r w:rsidR="001C352A">
        <w:rPr>
          <w:rFonts w:ascii="Times New Roman" w:hAnsi="Times New Roman" w:cs="Times New Roman"/>
          <w:sz w:val="24"/>
          <w:szCs w:val="24"/>
        </w:rPr>
        <w:t>partes pueda</w:t>
      </w:r>
      <w:r>
        <w:rPr>
          <w:rFonts w:ascii="Times New Roman" w:hAnsi="Times New Roman" w:cs="Times New Roman"/>
          <w:sz w:val="24"/>
          <w:szCs w:val="24"/>
        </w:rPr>
        <w:t xml:space="preserve"> exigir unas garantías excesivas.</w:t>
      </w:r>
      <w:r w:rsidR="001C352A">
        <w:rPr>
          <w:rFonts w:ascii="Times New Roman" w:hAnsi="Times New Roman" w:cs="Times New Roman"/>
          <w:sz w:val="24"/>
          <w:szCs w:val="24"/>
        </w:rPr>
        <w:t xml:space="preserve"> Al principio, los acuerdos de refinanciación solo se extendían a los acreedores que participaban, provocando que el resto de </w:t>
      </w:r>
      <w:r w:rsidR="00F34ED2">
        <w:rPr>
          <w:rFonts w:ascii="Times New Roman" w:hAnsi="Times New Roman" w:cs="Times New Roman"/>
          <w:sz w:val="24"/>
          <w:szCs w:val="24"/>
        </w:rPr>
        <w:t>acreedores</w:t>
      </w:r>
      <w:r w:rsidR="001C352A">
        <w:rPr>
          <w:rFonts w:ascii="Times New Roman" w:hAnsi="Times New Roman" w:cs="Times New Roman"/>
          <w:sz w:val="24"/>
          <w:szCs w:val="24"/>
        </w:rPr>
        <w:t xml:space="preserve"> no participantes pudieran solicitar la revocación del acuerdo, actualmente </w:t>
      </w:r>
      <w:r w:rsidR="001C352A">
        <w:rPr>
          <w:rFonts w:ascii="Times New Roman" w:hAnsi="Times New Roman" w:cs="Times New Roman"/>
          <w:sz w:val="24"/>
        </w:rPr>
        <w:t>los efectos se llegan a extender a quienes no han formado parte de él o los que han ignorado su existencia.</w:t>
      </w:r>
    </w:p>
    <w:p w:rsidR="001C352A" w:rsidRDefault="003A6039" w:rsidP="001C352A">
      <w:pPr>
        <w:spacing w:line="360" w:lineRule="auto"/>
        <w:ind w:firstLine="709"/>
        <w:jc w:val="both"/>
        <w:rPr>
          <w:rFonts w:ascii="Times New Roman" w:hAnsi="Times New Roman" w:cs="Times New Roman"/>
          <w:sz w:val="24"/>
        </w:rPr>
      </w:pPr>
      <w:r>
        <w:rPr>
          <w:rFonts w:ascii="Times New Roman" w:hAnsi="Times New Roman" w:cs="Times New Roman"/>
          <w:sz w:val="24"/>
        </w:rPr>
        <w:t>En tercer lugar, l</w:t>
      </w:r>
      <w:r w:rsidR="001C352A">
        <w:rPr>
          <w:rFonts w:ascii="Times New Roman" w:hAnsi="Times New Roman" w:cs="Times New Roman"/>
          <w:sz w:val="24"/>
        </w:rPr>
        <w:t xml:space="preserve">as dos categorías que contempla los acuerdos de refinanciación, es fundamental ya que está orientada a distinguir </w:t>
      </w:r>
      <w:r>
        <w:rPr>
          <w:rFonts w:ascii="Times New Roman" w:hAnsi="Times New Roman" w:cs="Times New Roman"/>
          <w:sz w:val="24"/>
        </w:rPr>
        <w:t>a los acuerdos que cumplen todas las condiciones exigidas por la ley y aquellos que no la cumplen, para así dar mayor o menor protección con respecto a la rescisión y la extensión de los efectos a los diferentes acreedores.</w:t>
      </w:r>
    </w:p>
    <w:p w:rsidR="00BB4B11" w:rsidRDefault="00BB4B11" w:rsidP="001C352A">
      <w:pPr>
        <w:spacing w:line="360" w:lineRule="auto"/>
        <w:ind w:firstLine="709"/>
        <w:jc w:val="both"/>
        <w:rPr>
          <w:rFonts w:ascii="Times New Roman" w:hAnsi="Times New Roman" w:cs="Times New Roman"/>
          <w:sz w:val="24"/>
        </w:rPr>
      </w:pPr>
      <w:r>
        <w:rPr>
          <w:rFonts w:ascii="Times New Roman" w:hAnsi="Times New Roman" w:cs="Times New Roman"/>
          <w:sz w:val="24"/>
        </w:rPr>
        <w:t>En cuarto lugar,</w:t>
      </w:r>
      <w:r w:rsidR="00F34ED2">
        <w:rPr>
          <w:rFonts w:ascii="Times New Roman" w:hAnsi="Times New Roman" w:cs="Times New Roman"/>
          <w:sz w:val="24"/>
        </w:rPr>
        <w:t xml:space="preserve"> respecto del informe que elabora el expediente se le ha quitado el rango de obligatoriedad, eso puede provocar que los acreedores exigen excesivas garantías que se verá obligado al deudor a aceptarlas para sí obtener la financiación.</w:t>
      </w:r>
    </w:p>
    <w:p w:rsidR="00492AAD" w:rsidRPr="00417232" w:rsidRDefault="00F34ED2" w:rsidP="00FA24FF">
      <w:pPr>
        <w:spacing w:line="360" w:lineRule="auto"/>
        <w:ind w:firstLine="709"/>
        <w:jc w:val="both"/>
        <w:rPr>
          <w:rFonts w:ascii="Times New Roman" w:hAnsi="Times New Roman" w:cs="Times New Roman"/>
          <w:sz w:val="24"/>
        </w:rPr>
      </w:pPr>
      <w:r>
        <w:rPr>
          <w:rFonts w:ascii="Times New Roman" w:hAnsi="Times New Roman" w:cs="Times New Roman"/>
          <w:sz w:val="24"/>
        </w:rPr>
        <w:t xml:space="preserve">Por último, los acuerdos de refinanciación ha sido una </w:t>
      </w:r>
      <w:r w:rsidR="00FA24FF">
        <w:rPr>
          <w:rFonts w:ascii="Times New Roman" w:hAnsi="Times New Roman" w:cs="Times New Roman"/>
          <w:sz w:val="24"/>
        </w:rPr>
        <w:t xml:space="preserve">gran </w:t>
      </w:r>
      <w:r>
        <w:rPr>
          <w:rFonts w:ascii="Times New Roman" w:hAnsi="Times New Roman" w:cs="Times New Roman"/>
          <w:sz w:val="24"/>
        </w:rPr>
        <w:t>vía que facilita y ayuda a las empresas que se encuentran en situación de insolvencia actual o inminente y que permite a través de la financiación de los acreedores con un plan de viabilidad financiera seguir su actividad a corto y medio plazo, para así evitar la declaración</w:t>
      </w:r>
      <w:r w:rsidR="00FA24FF">
        <w:rPr>
          <w:rFonts w:ascii="Times New Roman" w:hAnsi="Times New Roman" w:cs="Times New Roman"/>
          <w:sz w:val="24"/>
        </w:rPr>
        <w:t xml:space="preserve"> concursal.</w:t>
      </w:r>
    </w:p>
    <w:p w:rsidR="00643474" w:rsidRDefault="00643474" w:rsidP="00A71FF5">
      <w:pPr>
        <w:spacing w:line="360" w:lineRule="auto"/>
        <w:ind w:firstLine="709"/>
        <w:jc w:val="both"/>
        <w:rPr>
          <w:rFonts w:ascii="Times New Roman" w:hAnsi="Times New Roman" w:cs="Times New Roman"/>
          <w:sz w:val="24"/>
        </w:rPr>
      </w:pPr>
    </w:p>
    <w:p w:rsidR="00492AAD" w:rsidRDefault="00492AAD" w:rsidP="00EF0158">
      <w:pPr>
        <w:spacing w:line="360" w:lineRule="auto"/>
        <w:jc w:val="both"/>
        <w:rPr>
          <w:rFonts w:ascii="Times New Roman" w:hAnsi="Times New Roman" w:cs="Times New Roman"/>
          <w:b/>
          <w:sz w:val="24"/>
        </w:rPr>
      </w:pPr>
      <w:r>
        <w:rPr>
          <w:rFonts w:ascii="Times New Roman" w:hAnsi="Times New Roman" w:cs="Times New Roman"/>
          <w:b/>
          <w:sz w:val="24"/>
        </w:rPr>
        <w:lastRenderedPageBreak/>
        <w:t>7. ANEXOS.</w:t>
      </w:r>
    </w:p>
    <w:p w:rsidR="00611CF7" w:rsidRPr="0075293E"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b/>
          <w:sz w:val="24"/>
        </w:rPr>
        <w:t>7.1. Modelo de solicitud de homologación judicial</w:t>
      </w:r>
      <w:r>
        <w:rPr>
          <w:rStyle w:val="Refdenotaalpie"/>
          <w:rFonts w:ascii="Times New Roman" w:hAnsi="Times New Roman" w:cs="Times New Roman"/>
          <w:b/>
          <w:sz w:val="24"/>
        </w:rPr>
        <w:footnoteReference w:id="49"/>
      </w:r>
      <w:r w:rsidRPr="00492AAD">
        <w:rPr>
          <w:rFonts w:ascii="Times New Roman" w:hAnsi="Times New Roman" w:cs="Times New Roman"/>
          <w:b/>
          <w:sz w:val="24"/>
        </w:rPr>
        <w:t>.</w:t>
      </w:r>
    </w:p>
    <w:p w:rsidR="00492AAD" w:rsidRDefault="00492AAD" w:rsidP="00EF0158">
      <w:pPr>
        <w:spacing w:line="360" w:lineRule="auto"/>
        <w:jc w:val="center"/>
        <w:rPr>
          <w:rFonts w:ascii="Times New Roman" w:hAnsi="Times New Roman" w:cs="Times New Roman"/>
          <w:sz w:val="24"/>
        </w:rPr>
      </w:pPr>
      <w:r w:rsidRPr="00492AAD">
        <w:rPr>
          <w:rFonts w:ascii="Times New Roman" w:hAnsi="Times New Roman" w:cs="Times New Roman"/>
          <w:sz w:val="24"/>
        </w:rPr>
        <w:t>AL JUZGADO DE LO MERCANTIL DE</w:t>
      </w:r>
      <w:proofErr w:type="gramStart"/>
      <w:r w:rsidRPr="00492AAD">
        <w:rPr>
          <w:rFonts w:ascii="Times New Roman" w:hAnsi="Times New Roman" w:cs="Times New Roman"/>
          <w:sz w:val="24"/>
        </w:rPr>
        <w:t xml:space="preserve"> ….</w:t>
      </w:r>
      <w:proofErr w:type="gramEnd"/>
      <w:r w:rsidRPr="00492AAD">
        <w:rPr>
          <w:rFonts w:ascii="Times New Roman" w:hAnsi="Times New Roman" w:cs="Times New Roman"/>
          <w:sz w:val="24"/>
        </w:rPr>
        <w:t>.</w:t>
      </w:r>
    </w:p>
    <w:p w:rsid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Don... Procurador, actuando en nombre y representación de</w:t>
      </w:r>
      <w:proofErr w:type="gramStart"/>
      <w:r w:rsidRPr="00492AAD">
        <w:rPr>
          <w:rFonts w:ascii="Times New Roman" w:hAnsi="Times New Roman" w:cs="Times New Roman"/>
          <w:sz w:val="24"/>
        </w:rPr>
        <w:t xml:space="preserve"> ….</w:t>
      </w:r>
      <w:proofErr w:type="gramEnd"/>
      <w:r w:rsidRPr="00492AAD">
        <w:rPr>
          <w:rFonts w:ascii="Times New Roman" w:hAnsi="Times New Roman" w:cs="Times New Roman"/>
          <w:sz w:val="24"/>
        </w:rPr>
        <w:t xml:space="preserve">., según acredito mediante apoderamiento apud acta otorgado ante el Secretario Judicial de …...., bajo la dirección Letrada de D. …, DIGO: </w:t>
      </w:r>
    </w:p>
    <w:p w:rsid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Que la mencionada representación que ostento y por medio del presente escrito, en tiempo y forma, y al amparo de la Ley Concursal, formulo SOLICITUD DE HOMOLOGACIÓN DE ACUERDO DE REFINANCIACIÓN suscrito por mi representada con los acreedores de pasivos financieros, que totalizan un ...% del pasivo de esta clase, formalizado en escritura pública de fecha... ante Notario D. …, la cual acompaño como documento nº..., la cual baso en los siguientes </w:t>
      </w:r>
    </w:p>
    <w:p w:rsidR="00492AAD" w:rsidRDefault="00492AAD" w:rsidP="00EF0158">
      <w:pPr>
        <w:spacing w:line="360" w:lineRule="auto"/>
        <w:jc w:val="center"/>
        <w:rPr>
          <w:rFonts w:ascii="Times New Roman" w:hAnsi="Times New Roman" w:cs="Times New Roman"/>
          <w:sz w:val="24"/>
        </w:rPr>
      </w:pPr>
      <w:r w:rsidRPr="00492AAD">
        <w:rPr>
          <w:rFonts w:ascii="Times New Roman" w:hAnsi="Times New Roman" w:cs="Times New Roman"/>
          <w:sz w:val="24"/>
        </w:rPr>
        <w:t>HECHOS</w:t>
      </w:r>
    </w:p>
    <w:p w:rsidR="00492AAD" w:rsidRP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Primero.- Antecedentes y comunicación previa. Mi representada figura inscrita en el Registro Mercantil</w:t>
      </w:r>
      <w:proofErr w:type="gramStart"/>
      <w:r w:rsidRPr="00492AAD">
        <w:rPr>
          <w:rFonts w:ascii="Times New Roman" w:hAnsi="Times New Roman" w:cs="Times New Roman"/>
          <w:sz w:val="24"/>
        </w:rPr>
        <w:t xml:space="preserve"> ….</w:t>
      </w:r>
      <w:proofErr w:type="gramEnd"/>
      <w:r w:rsidRPr="00492AAD">
        <w:rPr>
          <w:rFonts w:ascii="Times New Roman" w:hAnsi="Times New Roman" w:cs="Times New Roman"/>
          <w:sz w:val="24"/>
        </w:rPr>
        <w:t>, con domicilio en …... En fecha....., inició negociaciones con las entidades acreedores de pasivos financieros. Puesta en conocimiento del Juzgado de lo Mercantil... en fecha</w:t>
      </w:r>
      <w:proofErr w:type="gramStart"/>
      <w:r w:rsidRPr="00492AAD">
        <w:rPr>
          <w:rFonts w:ascii="Times New Roman" w:hAnsi="Times New Roman" w:cs="Times New Roman"/>
          <w:sz w:val="24"/>
        </w:rPr>
        <w:t>...(</w:t>
      </w:r>
      <w:proofErr w:type="gramEnd"/>
      <w:r w:rsidRPr="00492AAD">
        <w:rPr>
          <w:rFonts w:ascii="Times New Roman" w:hAnsi="Times New Roman" w:cs="Times New Roman"/>
          <w:sz w:val="24"/>
        </w:rPr>
        <w:t>documentos nº..)</w:t>
      </w:r>
    </w:p>
    <w:p w:rsidR="00492AAD" w:rsidRP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Segundo.- Acuerdo de refinanciación. En fecha... se alcanzó el acuerdo.... El acuerdo cumple con los requisitos establecidos (explicarlos).....</w:t>
      </w:r>
    </w:p>
    <w:p w:rsidR="00492AAD" w:rsidRP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Tercero.-  Alcance de la extensión de los efectos. El acuerdo no ha sido aceptado por …..., con una </w:t>
      </w:r>
      <w:proofErr w:type="gramStart"/>
      <w:r w:rsidRPr="00492AAD">
        <w:rPr>
          <w:rFonts w:ascii="Times New Roman" w:hAnsi="Times New Roman" w:cs="Times New Roman"/>
          <w:sz w:val="24"/>
        </w:rPr>
        <w:t>deuda  de</w:t>
      </w:r>
      <w:proofErr w:type="gramEnd"/>
      <w:r w:rsidRPr="00492AAD">
        <w:rPr>
          <w:rFonts w:ascii="Times New Roman" w:hAnsi="Times New Roman" w:cs="Times New Roman"/>
          <w:sz w:val="24"/>
        </w:rPr>
        <w:t xml:space="preserve"> ….. euros Se solicita que se extiendan los efectos de la espera pactada...</w:t>
      </w:r>
    </w:p>
    <w:p w:rsid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Cuarto.- Ejecuciones individuales cuya paralización se interesa. 1. el proceso de ejecución …. 2. el proceso …. 3. (….....) </w:t>
      </w:r>
    </w:p>
    <w:p w:rsid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Quinto.- Documentos que han de acompañarse. Escritura del acuerdo, certificación del auditor, informe del experto independiente, etc. </w:t>
      </w:r>
    </w:p>
    <w:p w:rsidR="003D38AB" w:rsidRDefault="003D38AB" w:rsidP="00EF0158">
      <w:pPr>
        <w:spacing w:line="360" w:lineRule="auto"/>
        <w:jc w:val="both"/>
        <w:rPr>
          <w:rFonts w:ascii="Times New Roman" w:hAnsi="Times New Roman" w:cs="Times New Roman"/>
          <w:sz w:val="24"/>
        </w:rPr>
      </w:pPr>
    </w:p>
    <w:p w:rsidR="00492AAD" w:rsidRPr="00492AAD" w:rsidRDefault="00492AAD" w:rsidP="00EF0158">
      <w:pPr>
        <w:spacing w:line="360" w:lineRule="auto"/>
        <w:jc w:val="center"/>
        <w:rPr>
          <w:rFonts w:ascii="Times New Roman" w:hAnsi="Times New Roman" w:cs="Times New Roman"/>
          <w:sz w:val="24"/>
        </w:rPr>
      </w:pPr>
      <w:r w:rsidRPr="00492AAD">
        <w:rPr>
          <w:rFonts w:ascii="Times New Roman" w:hAnsi="Times New Roman" w:cs="Times New Roman"/>
          <w:sz w:val="24"/>
        </w:rPr>
        <w:lastRenderedPageBreak/>
        <w:t>FUNDAMENTOS DE DERECHO</w:t>
      </w:r>
      <w:bookmarkStart w:id="6" w:name="_Hlk516936313"/>
    </w:p>
    <w:bookmarkEnd w:id="6"/>
    <w:p w:rsid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Primero.- Competencia. </w:t>
      </w:r>
    </w:p>
    <w:p w:rsid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Segundo.- Procedimiento. </w:t>
      </w:r>
    </w:p>
    <w:p w:rsid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Tercero.- Legitimación </w:t>
      </w:r>
    </w:p>
    <w:p w:rsid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Cuarto.- Homologación del acuerdo. </w:t>
      </w:r>
    </w:p>
    <w:p w:rsid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Quinto.- Paralización de las ejecuciones.</w:t>
      </w:r>
    </w:p>
    <w:p w:rsid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Sexto. Efectos de la Homologación. </w:t>
      </w:r>
    </w:p>
    <w:p w:rsid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Séptimo.- Publicidad. </w:t>
      </w:r>
    </w:p>
    <w:p w:rsid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Por lo que, AL JUZGADO SOLICITO Que habiendo por presentado este escrito con los documentos acompañados y sus copias, los admita; se sirva tener por comparecido y parte al Procurador que suscribe en nombre de</w:t>
      </w:r>
      <w:proofErr w:type="gramStart"/>
      <w:r w:rsidRPr="00492AAD">
        <w:rPr>
          <w:rFonts w:ascii="Times New Roman" w:hAnsi="Times New Roman" w:cs="Times New Roman"/>
          <w:sz w:val="24"/>
        </w:rPr>
        <w:t xml:space="preserve"> ….</w:t>
      </w:r>
      <w:proofErr w:type="gramEnd"/>
      <w:r w:rsidRPr="00492AAD">
        <w:rPr>
          <w:rFonts w:ascii="Times New Roman" w:hAnsi="Times New Roman" w:cs="Times New Roman"/>
          <w:sz w:val="24"/>
        </w:rPr>
        <w:t xml:space="preserve">. con quien entenderán las sucesivas diligencias, y: </w:t>
      </w:r>
    </w:p>
    <w:p w:rsid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1) que se dicte providencia de admisión a trámite de esta solicitud de homologación y acuerde la paralización de las ejecuciones singulares, dando la oportuna publicidad en el Registro Público </w:t>
      </w:r>
      <w:proofErr w:type="spellStart"/>
      <w:r w:rsidRPr="00492AAD">
        <w:rPr>
          <w:rFonts w:ascii="Times New Roman" w:hAnsi="Times New Roman" w:cs="Times New Roman"/>
          <w:sz w:val="24"/>
        </w:rPr>
        <w:t>Cocnursal</w:t>
      </w:r>
      <w:proofErr w:type="spellEnd"/>
      <w:r w:rsidRPr="00492AAD">
        <w:rPr>
          <w:rFonts w:ascii="Times New Roman" w:hAnsi="Times New Roman" w:cs="Times New Roman"/>
          <w:sz w:val="24"/>
        </w:rPr>
        <w:t xml:space="preserve">. </w:t>
      </w:r>
    </w:p>
    <w:p w:rsid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2) Que seguidamente se dicte auto acordando la homologación elevado a escritura pública nº.... de fecha.... ante el Notario …. con extensión a los acreedores............. 3) Que se publique la resolución mediante anuncio en el Registro Público Concursal y en el BOE mediante extracto. </w:t>
      </w:r>
    </w:p>
    <w:p w:rsidR="00492AAD" w:rsidRDefault="00492AAD" w:rsidP="00EF0158">
      <w:pPr>
        <w:spacing w:line="360" w:lineRule="auto"/>
        <w:jc w:val="center"/>
        <w:rPr>
          <w:rFonts w:ascii="Times New Roman" w:hAnsi="Times New Roman" w:cs="Times New Roman"/>
          <w:sz w:val="24"/>
        </w:rPr>
      </w:pPr>
      <w:r w:rsidRPr="00492AAD">
        <w:rPr>
          <w:rFonts w:ascii="Times New Roman" w:hAnsi="Times New Roman" w:cs="Times New Roman"/>
          <w:sz w:val="24"/>
        </w:rPr>
        <w:t xml:space="preserve">En ….... de …........ de …............ </w:t>
      </w:r>
    </w:p>
    <w:p w:rsidR="00492AAD" w:rsidRDefault="00492AAD" w:rsidP="00EF0158">
      <w:pPr>
        <w:spacing w:line="360" w:lineRule="auto"/>
        <w:jc w:val="center"/>
        <w:rPr>
          <w:rFonts w:ascii="Times New Roman" w:hAnsi="Times New Roman" w:cs="Times New Roman"/>
          <w:sz w:val="24"/>
        </w:rPr>
      </w:pPr>
      <w:r w:rsidRPr="00492AAD">
        <w:rPr>
          <w:rFonts w:ascii="Times New Roman" w:hAnsi="Times New Roman" w:cs="Times New Roman"/>
          <w:sz w:val="24"/>
        </w:rPr>
        <w:t>(Firma Abogado y Procurador)</w:t>
      </w:r>
    </w:p>
    <w:p w:rsidR="00492AAD" w:rsidRDefault="00492AAD" w:rsidP="00EF0158">
      <w:pPr>
        <w:spacing w:line="360" w:lineRule="auto"/>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492AAD" w:rsidRDefault="00492AAD" w:rsidP="00EF0158">
      <w:pPr>
        <w:spacing w:line="360" w:lineRule="auto"/>
        <w:jc w:val="both"/>
        <w:rPr>
          <w:rFonts w:ascii="Times New Roman" w:hAnsi="Times New Roman" w:cs="Times New Roman"/>
          <w:b/>
          <w:sz w:val="24"/>
        </w:rPr>
      </w:pPr>
      <w:r>
        <w:rPr>
          <w:rFonts w:ascii="Times New Roman" w:hAnsi="Times New Roman" w:cs="Times New Roman"/>
          <w:b/>
          <w:sz w:val="24"/>
        </w:rPr>
        <w:lastRenderedPageBreak/>
        <w:t xml:space="preserve">7.2. </w:t>
      </w:r>
      <w:r w:rsidRPr="0074421F">
        <w:rPr>
          <w:rFonts w:ascii="Times New Roman" w:hAnsi="Times New Roman" w:cs="Times New Roman"/>
          <w:b/>
          <w:sz w:val="24"/>
        </w:rPr>
        <w:t>Modelo formulario de comunicación del deudo</w:t>
      </w:r>
      <w:r>
        <w:rPr>
          <w:rFonts w:ascii="Times New Roman" w:hAnsi="Times New Roman" w:cs="Times New Roman"/>
          <w:b/>
          <w:sz w:val="24"/>
        </w:rPr>
        <w:t>r</w:t>
      </w:r>
      <w:r w:rsidR="00EF0158">
        <w:rPr>
          <w:rStyle w:val="Refdenotaalpie"/>
          <w:rFonts w:ascii="Times New Roman" w:hAnsi="Times New Roman" w:cs="Times New Roman"/>
          <w:b/>
          <w:sz w:val="24"/>
        </w:rPr>
        <w:footnoteReference w:id="50"/>
      </w:r>
      <w:r>
        <w:rPr>
          <w:rFonts w:ascii="Times New Roman" w:hAnsi="Times New Roman" w:cs="Times New Roman"/>
          <w:b/>
          <w:sz w:val="24"/>
        </w:rPr>
        <w:t>.</w:t>
      </w:r>
    </w:p>
    <w:p w:rsidR="00492AAD" w:rsidRPr="00492AAD" w:rsidRDefault="00492AAD" w:rsidP="00EF0158">
      <w:pPr>
        <w:spacing w:line="360" w:lineRule="auto"/>
        <w:jc w:val="center"/>
        <w:rPr>
          <w:rFonts w:ascii="Times New Roman" w:hAnsi="Times New Roman" w:cs="Times New Roman"/>
          <w:sz w:val="24"/>
        </w:rPr>
      </w:pPr>
      <w:r w:rsidRPr="00492AAD">
        <w:rPr>
          <w:rFonts w:ascii="Times New Roman" w:hAnsi="Times New Roman" w:cs="Times New Roman"/>
          <w:sz w:val="24"/>
        </w:rPr>
        <w:t>FORMULARIO DE COMUNICACIÓN DEL DEUDOR DE ACOGIMIENTO A LA FIGURA DEL PRECONCURSO AL JUZGADO DE LO MERCANTIL DE … QUE POR TURNO CORRESPONDA</w:t>
      </w:r>
    </w:p>
    <w:p w:rsid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DON …, Procurador de los Tribunales y de … S.L., con CIF … y domicilio en …, en la representación que consta acreditada mediante su otorgamiento apud acta, ante el mismo comparezco bajo la dirección letrada de don …, colegiado nº … del Ilustre Colegio de Abogados de …, y como más procedente sea en Derecho. </w:t>
      </w:r>
    </w:p>
    <w:p w:rsidR="00492AAD" w:rsidRDefault="00492AAD" w:rsidP="00EF0158">
      <w:pPr>
        <w:spacing w:line="360" w:lineRule="auto"/>
        <w:jc w:val="center"/>
        <w:rPr>
          <w:rFonts w:ascii="Times New Roman" w:hAnsi="Times New Roman" w:cs="Times New Roman"/>
          <w:sz w:val="24"/>
        </w:rPr>
      </w:pPr>
      <w:r w:rsidRPr="00492AAD">
        <w:rPr>
          <w:rFonts w:ascii="Times New Roman" w:hAnsi="Times New Roman" w:cs="Times New Roman"/>
          <w:sz w:val="24"/>
        </w:rPr>
        <w:t>DIGO</w:t>
      </w:r>
    </w:p>
    <w:p w:rsidR="00EF0158"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Que, por concurrir el estado de </w:t>
      </w:r>
      <w:r w:rsidRPr="00EF0158">
        <w:rPr>
          <w:rFonts w:ascii="Times New Roman" w:hAnsi="Times New Roman" w:cs="Times New Roman"/>
          <w:b/>
          <w:sz w:val="24"/>
        </w:rPr>
        <w:t>insolvencia actual</w:t>
      </w:r>
      <w:r w:rsidRPr="00492AAD">
        <w:rPr>
          <w:rFonts w:ascii="Times New Roman" w:hAnsi="Times New Roman" w:cs="Times New Roman"/>
          <w:sz w:val="24"/>
        </w:rPr>
        <w:t xml:space="preserve"> a que se refiere el art. 2 de la Ley 22/2003, de 9 de julio, Concursal (L.C.), habiendo iniciado esta parte negociaciones con los acreedores tendentes a obtener adhesiones a una propuesta anticipada de convenio, por medio del presente escrito vengo a </w:t>
      </w:r>
      <w:r w:rsidRPr="00EF0158">
        <w:rPr>
          <w:rFonts w:ascii="Times New Roman" w:hAnsi="Times New Roman" w:cs="Times New Roman"/>
          <w:b/>
          <w:sz w:val="24"/>
        </w:rPr>
        <w:t>COMUNICAR AL JUZGADO EL INICIO DE NEGOCIACIONES PREVIAS A SOLICITAR UN CONCURS</w:t>
      </w:r>
      <w:r w:rsidR="00EF0158">
        <w:rPr>
          <w:rFonts w:ascii="Times New Roman" w:hAnsi="Times New Roman" w:cs="Times New Roman"/>
          <w:b/>
          <w:sz w:val="24"/>
        </w:rPr>
        <w:t xml:space="preserve">O </w:t>
      </w:r>
      <w:r w:rsidRPr="00EF0158">
        <w:rPr>
          <w:rFonts w:ascii="Times New Roman" w:hAnsi="Times New Roman" w:cs="Times New Roman"/>
          <w:b/>
          <w:sz w:val="24"/>
        </w:rPr>
        <w:t>VOLUNTARIO DE ACREEDORES</w:t>
      </w:r>
      <w:r w:rsidRPr="00492AAD">
        <w:rPr>
          <w:rFonts w:ascii="Times New Roman" w:hAnsi="Times New Roman" w:cs="Times New Roman"/>
          <w:sz w:val="24"/>
        </w:rPr>
        <w:t xml:space="preserve">, al amparo de la previsión contenida en el art. 5.BIS de la L.C., y ello en base a las siguientes </w:t>
      </w:r>
    </w:p>
    <w:p w:rsidR="00EF0158" w:rsidRDefault="00492AAD" w:rsidP="00EF0158">
      <w:pPr>
        <w:spacing w:line="360" w:lineRule="auto"/>
        <w:jc w:val="center"/>
        <w:rPr>
          <w:rFonts w:ascii="Times New Roman" w:hAnsi="Times New Roman" w:cs="Times New Roman"/>
          <w:sz w:val="24"/>
        </w:rPr>
      </w:pPr>
      <w:r w:rsidRPr="00492AAD">
        <w:rPr>
          <w:rFonts w:ascii="Times New Roman" w:hAnsi="Times New Roman" w:cs="Times New Roman"/>
          <w:sz w:val="24"/>
        </w:rPr>
        <w:t>ALEGACIONES</w:t>
      </w:r>
    </w:p>
    <w:p w:rsidR="00EF0158" w:rsidRDefault="00EF0158" w:rsidP="00EF0158">
      <w:pPr>
        <w:spacing w:line="360" w:lineRule="auto"/>
        <w:jc w:val="both"/>
        <w:rPr>
          <w:rFonts w:ascii="Times New Roman" w:hAnsi="Times New Roman" w:cs="Times New Roman"/>
          <w:sz w:val="24"/>
        </w:rPr>
      </w:pPr>
      <w:r w:rsidRPr="00492AAD">
        <w:rPr>
          <w:rFonts w:ascii="Times New Roman" w:hAnsi="Times New Roman" w:cs="Times New Roman"/>
          <w:sz w:val="24"/>
        </w:rPr>
        <w:t>Primera. -</w:t>
      </w:r>
      <w:r w:rsidR="00492AAD" w:rsidRPr="00492AAD">
        <w:rPr>
          <w:rFonts w:ascii="Times New Roman" w:hAnsi="Times New Roman" w:cs="Times New Roman"/>
          <w:sz w:val="24"/>
        </w:rPr>
        <w:t xml:space="preserve"> Datos del deudor. </w:t>
      </w:r>
    </w:p>
    <w:p w:rsidR="00EF0158"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 S.L. es una entidad cuyo objeto social principal consiste en …, ubicando su domicilio social en … y ostentando su representación legal D. …, en su condición de administrador único. Se aporta como </w:t>
      </w:r>
      <w:r w:rsidRPr="00EF0158">
        <w:rPr>
          <w:rFonts w:ascii="Times New Roman" w:hAnsi="Times New Roman" w:cs="Times New Roman"/>
          <w:b/>
          <w:sz w:val="24"/>
        </w:rPr>
        <w:t>documento nº 1</w:t>
      </w:r>
      <w:r w:rsidRPr="00492AAD">
        <w:rPr>
          <w:rFonts w:ascii="Times New Roman" w:hAnsi="Times New Roman" w:cs="Times New Roman"/>
          <w:sz w:val="24"/>
        </w:rPr>
        <w:t xml:space="preserve"> nota informativa del Registro Mercantil de la referida sociedad, acreditando los citados extremos. </w:t>
      </w:r>
    </w:p>
    <w:p w:rsidR="00EF0158" w:rsidRDefault="00EF0158" w:rsidP="00EF0158">
      <w:pPr>
        <w:spacing w:line="360" w:lineRule="auto"/>
        <w:jc w:val="both"/>
        <w:rPr>
          <w:rFonts w:ascii="Times New Roman" w:hAnsi="Times New Roman" w:cs="Times New Roman"/>
          <w:sz w:val="24"/>
        </w:rPr>
      </w:pPr>
      <w:r w:rsidRPr="00492AAD">
        <w:rPr>
          <w:rFonts w:ascii="Times New Roman" w:hAnsi="Times New Roman" w:cs="Times New Roman"/>
          <w:sz w:val="24"/>
        </w:rPr>
        <w:t>Segunda. -</w:t>
      </w:r>
      <w:r w:rsidR="00492AAD" w:rsidRPr="00492AAD">
        <w:rPr>
          <w:rFonts w:ascii="Times New Roman" w:hAnsi="Times New Roman" w:cs="Times New Roman"/>
          <w:sz w:val="24"/>
        </w:rPr>
        <w:t xml:space="preserve"> De la propuesta anticipada de convenio. Ante la situación de insolvencia actual de mi representada, en el ánimo de alcanzar soluciones convenidas con los acreedores, frente a soluciones liquidativas del concurso, es por lo que venimos a acogernos, por medio del presente escrito, a la previsión contenida en el art. 5.BIS de la L.C., dando cuenta al Juzgado del </w:t>
      </w:r>
      <w:r w:rsidR="00492AAD" w:rsidRPr="00EF0158">
        <w:rPr>
          <w:rFonts w:ascii="Times New Roman" w:hAnsi="Times New Roman" w:cs="Times New Roman"/>
          <w:b/>
          <w:sz w:val="24"/>
          <w:u w:val="single"/>
        </w:rPr>
        <w:t>inicio de negociaciones con los acreedores al objeto de obtener adhesiones a una propuesta de convenio</w:t>
      </w:r>
      <w:r w:rsidR="00492AAD" w:rsidRPr="00492AAD">
        <w:rPr>
          <w:rFonts w:ascii="Times New Roman" w:hAnsi="Times New Roman" w:cs="Times New Roman"/>
          <w:sz w:val="24"/>
        </w:rPr>
        <w:t xml:space="preserve"> que, en su caso, permita asegurar la viabilidad del deudor. En este</w:t>
      </w:r>
      <w:r>
        <w:rPr>
          <w:rFonts w:ascii="Times New Roman" w:hAnsi="Times New Roman" w:cs="Times New Roman"/>
          <w:sz w:val="24"/>
        </w:rPr>
        <w:t xml:space="preserve"> sentido,</w:t>
      </w:r>
      <w:r w:rsidR="00492AAD" w:rsidRPr="00492AAD">
        <w:rPr>
          <w:rFonts w:ascii="Times New Roman" w:hAnsi="Times New Roman" w:cs="Times New Roman"/>
          <w:sz w:val="24"/>
        </w:rPr>
        <w:t xml:space="preserve"> se adjunta como </w:t>
      </w:r>
      <w:r w:rsidR="00492AAD" w:rsidRPr="00EF0158">
        <w:rPr>
          <w:rFonts w:ascii="Times New Roman" w:hAnsi="Times New Roman" w:cs="Times New Roman"/>
          <w:b/>
          <w:sz w:val="24"/>
        </w:rPr>
        <w:t>documento nº 2</w:t>
      </w:r>
      <w:r w:rsidR="00492AAD" w:rsidRPr="00492AAD">
        <w:rPr>
          <w:rFonts w:ascii="Times New Roman" w:hAnsi="Times New Roman" w:cs="Times New Roman"/>
          <w:sz w:val="24"/>
        </w:rPr>
        <w:t xml:space="preserve"> el </w:t>
      </w:r>
      <w:r w:rsidR="00492AAD" w:rsidRPr="00492AAD">
        <w:rPr>
          <w:rFonts w:ascii="Times New Roman" w:hAnsi="Times New Roman" w:cs="Times New Roman"/>
          <w:sz w:val="24"/>
        </w:rPr>
        <w:lastRenderedPageBreak/>
        <w:t xml:space="preserve">texto íntegro de la propuesta anticipada de convenio puesta a disposición de los acreedores, lo cual se acredita con el </w:t>
      </w:r>
      <w:r w:rsidR="00492AAD" w:rsidRPr="00EF0158">
        <w:rPr>
          <w:rFonts w:ascii="Times New Roman" w:hAnsi="Times New Roman" w:cs="Times New Roman"/>
          <w:b/>
          <w:sz w:val="24"/>
        </w:rPr>
        <w:t>documento nº 3</w:t>
      </w:r>
      <w:r w:rsidR="00492AAD" w:rsidRPr="00492AAD">
        <w:rPr>
          <w:rFonts w:ascii="Times New Roman" w:hAnsi="Times New Roman" w:cs="Times New Roman"/>
          <w:sz w:val="24"/>
        </w:rPr>
        <w:t xml:space="preserve">, consistente en resguardo justificante de remisión del citado texto a la dirección conocida de los citados acreedores. </w:t>
      </w:r>
    </w:p>
    <w:p w:rsidR="00EF0158"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En su virtud, SUPLICO AL JUZGADO que tenga por presentado este escrito, se sirva admitirlo y, en su mérito, tenga por realizada la presente comunicación, dando a la misma el curso legal procedente. </w:t>
      </w:r>
    </w:p>
    <w:p w:rsidR="00EF0158"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Por ser Justicia que pido en …, a … de … de …</w:t>
      </w:r>
    </w:p>
    <w:p w:rsidR="00492AAD" w:rsidRDefault="00492AAD" w:rsidP="00EF0158">
      <w:pPr>
        <w:spacing w:line="360" w:lineRule="auto"/>
        <w:jc w:val="both"/>
        <w:rPr>
          <w:rFonts w:ascii="Times New Roman" w:hAnsi="Times New Roman" w:cs="Times New Roman"/>
          <w:sz w:val="24"/>
        </w:rPr>
      </w:pPr>
      <w:r w:rsidRPr="00492AAD">
        <w:rPr>
          <w:rFonts w:ascii="Times New Roman" w:hAnsi="Times New Roman" w:cs="Times New Roman"/>
          <w:sz w:val="24"/>
        </w:rPr>
        <w:t xml:space="preserve">                 Letrado                                                                Procurador</w:t>
      </w:r>
    </w:p>
    <w:p w:rsidR="00EF0158" w:rsidRDefault="00EF0158" w:rsidP="00EF0158">
      <w:pPr>
        <w:spacing w:line="360" w:lineRule="auto"/>
        <w:jc w:val="both"/>
        <w:rPr>
          <w:rFonts w:ascii="Times New Roman" w:hAnsi="Times New Roman" w:cs="Times New Roman"/>
          <w:sz w:val="24"/>
        </w:rPr>
      </w:pPr>
    </w:p>
    <w:p w:rsidR="004610D0" w:rsidRDefault="004610D0" w:rsidP="00EF0158">
      <w:pPr>
        <w:spacing w:line="360" w:lineRule="auto"/>
        <w:jc w:val="both"/>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4610D0" w:rsidRDefault="004610D0" w:rsidP="00EF0158">
      <w:pPr>
        <w:spacing w:line="360" w:lineRule="auto"/>
        <w:jc w:val="both"/>
        <w:rPr>
          <w:rFonts w:ascii="Times New Roman" w:hAnsi="Times New Roman" w:cs="Times New Roman"/>
          <w:b/>
          <w:sz w:val="24"/>
        </w:rPr>
      </w:pPr>
    </w:p>
    <w:p w:rsidR="00EF0158" w:rsidRPr="00EF0158" w:rsidRDefault="00EF0158" w:rsidP="00EF0158">
      <w:pPr>
        <w:spacing w:line="360" w:lineRule="auto"/>
        <w:jc w:val="both"/>
        <w:rPr>
          <w:rFonts w:ascii="Times New Roman" w:hAnsi="Times New Roman" w:cs="Times New Roman"/>
          <w:b/>
          <w:sz w:val="24"/>
        </w:rPr>
      </w:pPr>
      <w:r w:rsidRPr="00EF0158">
        <w:rPr>
          <w:rFonts w:ascii="Times New Roman" w:hAnsi="Times New Roman" w:cs="Times New Roman"/>
          <w:b/>
          <w:sz w:val="24"/>
        </w:rPr>
        <w:lastRenderedPageBreak/>
        <w:t>7.3 Modelo de acuerdo de refinanciación</w:t>
      </w:r>
      <w:r>
        <w:rPr>
          <w:rStyle w:val="Refdenotaalpie"/>
          <w:rFonts w:ascii="Times New Roman" w:hAnsi="Times New Roman" w:cs="Times New Roman"/>
          <w:b/>
          <w:sz w:val="24"/>
        </w:rPr>
        <w:footnoteReference w:id="51"/>
      </w:r>
      <w:r w:rsidRPr="00EF0158">
        <w:rPr>
          <w:rFonts w:ascii="Times New Roman" w:hAnsi="Times New Roman" w:cs="Times New Roman"/>
          <w:b/>
          <w:sz w:val="24"/>
        </w:rPr>
        <w:t>.</w:t>
      </w:r>
    </w:p>
    <w:p w:rsidR="00EF0158" w:rsidRDefault="00EF0158" w:rsidP="00DA1DB6">
      <w:pPr>
        <w:spacing w:line="360" w:lineRule="auto"/>
        <w:jc w:val="both"/>
        <w:rPr>
          <w:rFonts w:ascii="Times New Roman" w:hAnsi="Times New Roman" w:cs="Times New Roman"/>
          <w:sz w:val="24"/>
        </w:rPr>
      </w:pPr>
      <w:r w:rsidRPr="00EF0158">
        <w:rPr>
          <w:rFonts w:ascii="Times New Roman" w:hAnsi="Times New Roman" w:cs="Times New Roman"/>
          <w:sz w:val="24"/>
        </w:rPr>
        <w:t xml:space="preserve">Reunidos, de una parte, </w:t>
      </w:r>
    </w:p>
    <w:p w:rsidR="00EF0158" w:rsidRDefault="00EF0158" w:rsidP="00DA1DB6">
      <w:pPr>
        <w:spacing w:line="360" w:lineRule="auto"/>
        <w:jc w:val="both"/>
        <w:rPr>
          <w:rFonts w:ascii="Times New Roman" w:hAnsi="Times New Roman" w:cs="Times New Roman"/>
          <w:sz w:val="24"/>
        </w:rPr>
      </w:pPr>
      <w:r w:rsidRPr="00EF0158">
        <w:rPr>
          <w:rFonts w:ascii="Times New Roman" w:hAnsi="Times New Roman" w:cs="Times New Roman"/>
          <w:sz w:val="24"/>
        </w:rPr>
        <w:t>La entidad …... (deudor), representada por D.</w:t>
      </w:r>
      <w:proofErr w:type="gramStart"/>
      <w:r w:rsidRPr="00EF0158">
        <w:rPr>
          <w:rFonts w:ascii="Times New Roman" w:hAnsi="Times New Roman" w:cs="Times New Roman"/>
          <w:sz w:val="24"/>
        </w:rPr>
        <w:t xml:space="preserve"> ….</w:t>
      </w:r>
      <w:proofErr w:type="gramEnd"/>
      <w:r w:rsidRPr="00EF0158">
        <w:rPr>
          <w:rFonts w:ascii="Times New Roman" w:hAnsi="Times New Roman" w:cs="Times New Roman"/>
          <w:sz w:val="24"/>
        </w:rPr>
        <w:t xml:space="preserve">. con </w:t>
      </w:r>
      <w:proofErr w:type="gramStart"/>
      <w:r w:rsidRPr="00EF0158">
        <w:rPr>
          <w:rFonts w:ascii="Times New Roman" w:hAnsi="Times New Roman" w:cs="Times New Roman"/>
          <w:sz w:val="24"/>
        </w:rPr>
        <w:t>DNI....</w:t>
      </w:r>
      <w:proofErr w:type="gramEnd"/>
      <w:r w:rsidRPr="00EF0158">
        <w:rPr>
          <w:rFonts w:ascii="Times New Roman" w:hAnsi="Times New Roman" w:cs="Times New Roman"/>
          <w:sz w:val="24"/>
        </w:rPr>
        <w:t xml:space="preserve">. en </w:t>
      </w:r>
      <w:proofErr w:type="spellStart"/>
      <w:r w:rsidRPr="00EF0158">
        <w:rPr>
          <w:rFonts w:ascii="Times New Roman" w:hAnsi="Times New Roman" w:cs="Times New Roman"/>
          <w:sz w:val="24"/>
        </w:rPr>
        <w:t>vitud</w:t>
      </w:r>
      <w:proofErr w:type="spellEnd"/>
      <w:r w:rsidRPr="00EF0158">
        <w:rPr>
          <w:rFonts w:ascii="Times New Roman" w:hAnsi="Times New Roman" w:cs="Times New Roman"/>
          <w:sz w:val="24"/>
        </w:rPr>
        <w:t xml:space="preserve"> de poder otorgado a su favor el Notario de ….... a fecha..... con el nº de </w:t>
      </w:r>
      <w:proofErr w:type="gramStart"/>
      <w:r w:rsidRPr="00EF0158">
        <w:rPr>
          <w:rFonts w:ascii="Times New Roman" w:hAnsi="Times New Roman" w:cs="Times New Roman"/>
          <w:sz w:val="24"/>
        </w:rPr>
        <w:t>protocolo....</w:t>
      </w:r>
      <w:proofErr w:type="gramEnd"/>
      <w:r w:rsidRPr="00EF0158">
        <w:rPr>
          <w:rFonts w:ascii="Times New Roman" w:hAnsi="Times New Roman" w:cs="Times New Roman"/>
          <w:sz w:val="24"/>
        </w:rPr>
        <w:t xml:space="preserve">., poder que se halla debidamente inscrito en el Registro Mercantil de …. y vigente </w:t>
      </w:r>
    </w:p>
    <w:p w:rsidR="00EF0158" w:rsidRDefault="00EF0158" w:rsidP="00DA1DB6">
      <w:pPr>
        <w:spacing w:line="360" w:lineRule="auto"/>
        <w:jc w:val="both"/>
        <w:rPr>
          <w:rFonts w:ascii="Times New Roman" w:hAnsi="Times New Roman" w:cs="Times New Roman"/>
          <w:sz w:val="24"/>
        </w:rPr>
      </w:pPr>
      <w:r w:rsidRPr="00EF0158">
        <w:rPr>
          <w:rFonts w:ascii="Times New Roman" w:hAnsi="Times New Roman" w:cs="Times New Roman"/>
          <w:sz w:val="24"/>
        </w:rPr>
        <w:t xml:space="preserve">Y de otra parte, </w:t>
      </w:r>
    </w:p>
    <w:p w:rsidR="00EF0158" w:rsidRDefault="00EF0158" w:rsidP="00DA1DB6">
      <w:pPr>
        <w:spacing w:line="360" w:lineRule="auto"/>
        <w:jc w:val="both"/>
        <w:rPr>
          <w:rFonts w:ascii="Times New Roman" w:hAnsi="Times New Roman" w:cs="Times New Roman"/>
          <w:sz w:val="24"/>
        </w:rPr>
      </w:pPr>
      <w:r w:rsidRPr="00EF0158">
        <w:rPr>
          <w:rFonts w:ascii="Times New Roman" w:hAnsi="Times New Roman" w:cs="Times New Roman"/>
          <w:sz w:val="24"/>
        </w:rPr>
        <w:t xml:space="preserve">1.La entidad </w:t>
      </w:r>
      <w:proofErr w:type="gramStart"/>
      <w:r w:rsidRPr="00EF0158">
        <w:rPr>
          <w:rFonts w:ascii="Times New Roman" w:hAnsi="Times New Roman" w:cs="Times New Roman"/>
          <w:sz w:val="24"/>
        </w:rPr>
        <w:t>financiera....</w:t>
      </w:r>
      <w:proofErr w:type="gramEnd"/>
      <w:r w:rsidRPr="00EF0158">
        <w:rPr>
          <w:rFonts w:ascii="Times New Roman" w:hAnsi="Times New Roman" w:cs="Times New Roman"/>
          <w:sz w:val="24"/>
        </w:rPr>
        <w:t xml:space="preserve">., debidamente representada por don ….. con </w:t>
      </w:r>
      <w:proofErr w:type="gramStart"/>
      <w:r w:rsidRPr="00EF0158">
        <w:rPr>
          <w:rFonts w:ascii="Times New Roman" w:hAnsi="Times New Roman" w:cs="Times New Roman"/>
          <w:sz w:val="24"/>
        </w:rPr>
        <w:t>DNI....</w:t>
      </w:r>
      <w:proofErr w:type="gramEnd"/>
      <w:r w:rsidRPr="00EF0158">
        <w:rPr>
          <w:rFonts w:ascii="Times New Roman" w:hAnsi="Times New Roman" w:cs="Times New Roman"/>
          <w:sz w:val="24"/>
        </w:rPr>
        <w:t xml:space="preserve">., en virtud de poder otorgado a su favor ante Notario de ….. a </w:t>
      </w:r>
      <w:proofErr w:type="gramStart"/>
      <w:r w:rsidRPr="00EF0158">
        <w:rPr>
          <w:rFonts w:ascii="Times New Roman" w:hAnsi="Times New Roman" w:cs="Times New Roman"/>
          <w:sz w:val="24"/>
        </w:rPr>
        <w:t>fecha....</w:t>
      </w:r>
      <w:proofErr w:type="gramEnd"/>
      <w:r w:rsidRPr="00EF0158">
        <w:rPr>
          <w:rFonts w:ascii="Times New Roman" w:hAnsi="Times New Roman" w:cs="Times New Roman"/>
          <w:sz w:val="24"/>
        </w:rPr>
        <w:t xml:space="preserve">. con el nº de </w:t>
      </w:r>
      <w:proofErr w:type="gramStart"/>
      <w:r w:rsidRPr="00EF0158">
        <w:rPr>
          <w:rFonts w:ascii="Times New Roman" w:hAnsi="Times New Roman" w:cs="Times New Roman"/>
          <w:sz w:val="24"/>
        </w:rPr>
        <w:t>protocolo....</w:t>
      </w:r>
      <w:proofErr w:type="gramEnd"/>
      <w:r w:rsidRPr="00EF0158">
        <w:rPr>
          <w:rFonts w:ascii="Times New Roman" w:hAnsi="Times New Roman" w:cs="Times New Roman"/>
          <w:sz w:val="24"/>
        </w:rPr>
        <w:t xml:space="preserve">., poder que se halla debidamente inscrito en el Registro Mercantil de …. y vigente, </w:t>
      </w:r>
    </w:p>
    <w:p w:rsidR="00EF0158" w:rsidRDefault="00EF0158" w:rsidP="00DA1DB6">
      <w:pPr>
        <w:spacing w:line="360" w:lineRule="auto"/>
        <w:jc w:val="both"/>
        <w:rPr>
          <w:rFonts w:ascii="Times New Roman" w:hAnsi="Times New Roman" w:cs="Times New Roman"/>
          <w:sz w:val="24"/>
        </w:rPr>
      </w:pPr>
      <w:r w:rsidRPr="00EF0158">
        <w:rPr>
          <w:rFonts w:ascii="Times New Roman" w:hAnsi="Times New Roman" w:cs="Times New Roman"/>
          <w:sz w:val="24"/>
        </w:rPr>
        <w:t xml:space="preserve">2. La entidad financiera......... (En adelante los acreedores) </w:t>
      </w:r>
    </w:p>
    <w:p w:rsidR="00EF0158" w:rsidRDefault="00EF0158" w:rsidP="00EF0158">
      <w:pPr>
        <w:spacing w:line="360" w:lineRule="auto"/>
        <w:jc w:val="center"/>
        <w:rPr>
          <w:rFonts w:ascii="Times New Roman" w:hAnsi="Times New Roman" w:cs="Times New Roman"/>
          <w:sz w:val="24"/>
        </w:rPr>
      </w:pPr>
      <w:r w:rsidRPr="00EF0158">
        <w:rPr>
          <w:rFonts w:ascii="Times New Roman" w:hAnsi="Times New Roman" w:cs="Times New Roman"/>
          <w:sz w:val="24"/>
        </w:rPr>
        <w:t>EXPONEN</w:t>
      </w:r>
    </w:p>
    <w:p w:rsidR="00EF0158" w:rsidRDefault="00EF0158" w:rsidP="00DA1DB6">
      <w:pPr>
        <w:spacing w:line="360" w:lineRule="auto"/>
        <w:jc w:val="both"/>
        <w:rPr>
          <w:rFonts w:ascii="Times New Roman" w:hAnsi="Times New Roman" w:cs="Times New Roman"/>
          <w:sz w:val="24"/>
        </w:rPr>
      </w:pPr>
      <w:r w:rsidRPr="00EF0158">
        <w:rPr>
          <w:rFonts w:ascii="Times New Roman" w:hAnsi="Times New Roman" w:cs="Times New Roman"/>
          <w:sz w:val="24"/>
        </w:rPr>
        <w:t xml:space="preserve">1) Que el deudor con motivo de sus dificultades económicas, inició negociaciones para la refinanciación de sus deudas, lo que fue comunicado al Juzgado de lo Mercantil de …. en fecha.... </w:t>
      </w:r>
    </w:p>
    <w:p w:rsidR="00EF0158" w:rsidRDefault="00EF0158" w:rsidP="00DA1DB6">
      <w:pPr>
        <w:spacing w:line="360" w:lineRule="auto"/>
        <w:jc w:val="both"/>
        <w:rPr>
          <w:rFonts w:ascii="Times New Roman" w:hAnsi="Times New Roman" w:cs="Times New Roman"/>
          <w:sz w:val="24"/>
        </w:rPr>
      </w:pPr>
      <w:r w:rsidRPr="00EF0158">
        <w:rPr>
          <w:rFonts w:ascii="Times New Roman" w:hAnsi="Times New Roman" w:cs="Times New Roman"/>
          <w:sz w:val="24"/>
        </w:rPr>
        <w:t>2) En fecha.... por el registrador mercantil de</w:t>
      </w:r>
      <w:proofErr w:type="gramStart"/>
      <w:r w:rsidRPr="00EF0158">
        <w:rPr>
          <w:rFonts w:ascii="Times New Roman" w:hAnsi="Times New Roman" w:cs="Times New Roman"/>
          <w:sz w:val="24"/>
        </w:rPr>
        <w:t xml:space="preserve"> ….</w:t>
      </w:r>
      <w:proofErr w:type="gramEnd"/>
      <w:r w:rsidRPr="00EF0158">
        <w:rPr>
          <w:rFonts w:ascii="Times New Roman" w:hAnsi="Times New Roman" w:cs="Times New Roman"/>
          <w:sz w:val="24"/>
        </w:rPr>
        <w:t xml:space="preserve">. se nombró auditor a …. el cual ha expedido certificación de fecha.... que incorpora como anexo.... en la cual se expresa:   </w:t>
      </w:r>
    </w:p>
    <w:p w:rsidR="00571724" w:rsidRDefault="00EF0158" w:rsidP="00DA1DB6">
      <w:pPr>
        <w:spacing w:line="360" w:lineRule="auto"/>
        <w:jc w:val="both"/>
        <w:rPr>
          <w:rFonts w:ascii="Times New Roman" w:hAnsi="Times New Roman" w:cs="Times New Roman"/>
          <w:sz w:val="24"/>
        </w:rPr>
      </w:pPr>
      <w:r w:rsidRPr="00EF0158">
        <w:rPr>
          <w:rFonts w:ascii="Times New Roman" w:hAnsi="Times New Roman" w:cs="Times New Roman"/>
          <w:sz w:val="24"/>
        </w:rPr>
        <w:t xml:space="preserve">a) Que los ACREEDORES financieros suscribientes totalizan un … % de los pasivos financieros del deudor.      </w:t>
      </w:r>
    </w:p>
    <w:p w:rsidR="00571724" w:rsidRDefault="00EF0158" w:rsidP="00DA1DB6">
      <w:pPr>
        <w:spacing w:line="360" w:lineRule="auto"/>
        <w:jc w:val="both"/>
        <w:rPr>
          <w:rFonts w:ascii="Times New Roman" w:hAnsi="Times New Roman" w:cs="Times New Roman"/>
          <w:sz w:val="24"/>
        </w:rPr>
      </w:pPr>
      <w:r w:rsidRPr="00EF0158">
        <w:rPr>
          <w:rFonts w:ascii="Times New Roman" w:hAnsi="Times New Roman" w:cs="Times New Roman"/>
          <w:sz w:val="24"/>
        </w:rPr>
        <w:t>b) que la entidad acreedora …. ostenta una deuda de …. euros, por lo que totaliza un</w:t>
      </w:r>
      <w:proofErr w:type="gramStart"/>
      <w:r w:rsidRPr="00EF0158">
        <w:rPr>
          <w:rFonts w:ascii="Times New Roman" w:hAnsi="Times New Roman" w:cs="Times New Roman"/>
          <w:sz w:val="24"/>
        </w:rPr>
        <w:t xml:space="preserve"> ….</w:t>
      </w:r>
      <w:proofErr w:type="gramEnd"/>
      <w:r w:rsidRPr="00EF0158">
        <w:rPr>
          <w:rFonts w:ascii="Times New Roman" w:hAnsi="Times New Roman" w:cs="Times New Roman"/>
          <w:sz w:val="24"/>
        </w:rPr>
        <w:t xml:space="preserve">% del pasivo financiero del deudor     </w:t>
      </w:r>
    </w:p>
    <w:p w:rsidR="00571724" w:rsidRDefault="00EF0158" w:rsidP="00571724">
      <w:pPr>
        <w:spacing w:line="360" w:lineRule="auto"/>
        <w:jc w:val="both"/>
        <w:rPr>
          <w:rFonts w:ascii="Times New Roman" w:hAnsi="Times New Roman" w:cs="Times New Roman"/>
          <w:sz w:val="24"/>
        </w:rPr>
      </w:pPr>
      <w:r w:rsidRPr="00EF0158">
        <w:rPr>
          <w:rFonts w:ascii="Times New Roman" w:hAnsi="Times New Roman" w:cs="Times New Roman"/>
          <w:sz w:val="24"/>
        </w:rPr>
        <w:t>c) Que la entidad financiera ….... ostenta una deuda de …. euros, con una garantía</w:t>
      </w:r>
      <w:r w:rsidR="00571724" w:rsidRPr="00571724">
        <w:rPr>
          <w:rFonts w:ascii="Times New Roman" w:hAnsi="Times New Roman" w:cs="Times New Roman"/>
          <w:sz w:val="24"/>
        </w:rPr>
        <w:t xml:space="preserve">real por valor de …. euros, calculada conforme a las reglas establecidas en la Ley concursal, según valoración recogida en el informe de experto independiente que se incorpora como </w:t>
      </w:r>
      <w:proofErr w:type="gramStart"/>
      <w:r w:rsidR="00571724" w:rsidRPr="00571724">
        <w:rPr>
          <w:rFonts w:ascii="Times New Roman" w:hAnsi="Times New Roman" w:cs="Times New Roman"/>
          <w:sz w:val="24"/>
        </w:rPr>
        <w:t>anexo....</w:t>
      </w:r>
      <w:proofErr w:type="gramEnd"/>
      <w:r w:rsidR="00571724" w:rsidRPr="00571724">
        <w:rPr>
          <w:rFonts w:ascii="Times New Roman" w:hAnsi="Times New Roman" w:cs="Times New Roman"/>
          <w:sz w:val="24"/>
        </w:rPr>
        <w:t xml:space="preserve">. </w:t>
      </w:r>
    </w:p>
    <w:p w:rsidR="00571724" w:rsidRDefault="00571724" w:rsidP="00571724">
      <w:pPr>
        <w:spacing w:line="360" w:lineRule="auto"/>
        <w:jc w:val="both"/>
        <w:rPr>
          <w:rFonts w:ascii="Times New Roman" w:hAnsi="Times New Roman" w:cs="Times New Roman"/>
          <w:sz w:val="24"/>
        </w:rPr>
      </w:pPr>
      <w:r w:rsidRPr="00571724">
        <w:rPr>
          <w:rFonts w:ascii="Times New Roman" w:hAnsi="Times New Roman" w:cs="Times New Roman"/>
          <w:sz w:val="24"/>
        </w:rPr>
        <w:t>3) Que el deudor inició el procedimiento facultativo de nombramiento de experto independiente por el registrador mercantil de</w:t>
      </w:r>
      <w:proofErr w:type="gramStart"/>
      <w:r w:rsidRPr="00571724">
        <w:rPr>
          <w:rFonts w:ascii="Times New Roman" w:hAnsi="Times New Roman" w:cs="Times New Roman"/>
          <w:sz w:val="24"/>
        </w:rPr>
        <w:t xml:space="preserve"> ….</w:t>
      </w:r>
      <w:proofErr w:type="gramEnd"/>
      <w:r w:rsidRPr="00571724">
        <w:rPr>
          <w:rFonts w:ascii="Times New Roman" w:hAnsi="Times New Roman" w:cs="Times New Roman"/>
          <w:sz w:val="24"/>
        </w:rPr>
        <w:t xml:space="preserve">, siguiéndose expediente registral nº … </w:t>
      </w:r>
      <w:r w:rsidRPr="00571724">
        <w:rPr>
          <w:rFonts w:ascii="Times New Roman" w:hAnsi="Times New Roman" w:cs="Times New Roman"/>
          <w:sz w:val="24"/>
        </w:rPr>
        <w:lastRenderedPageBreak/>
        <w:t xml:space="preserve">y nombrándose a D. … fue elaborado informe favorable por el citado experto que se adjunta como anexo ….., en el cual se recogen las siguientes conclusiones: </w:t>
      </w:r>
    </w:p>
    <w:p w:rsidR="00571724" w:rsidRDefault="00571724" w:rsidP="00571724">
      <w:pPr>
        <w:spacing w:line="360" w:lineRule="auto"/>
        <w:jc w:val="both"/>
        <w:rPr>
          <w:rFonts w:ascii="Times New Roman" w:hAnsi="Times New Roman" w:cs="Times New Roman"/>
          <w:sz w:val="24"/>
        </w:rPr>
      </w:pPr>
      <w:r w:rsidRPr="00571724">
        <w:rPr>
          <w:rFonts w:ascii="Times New Roman" w:hAnsi="Times New Roman" w:cs="Times New Roman"/>
          <w:sz w:val="24"/>
        </w:rPr>
        <w:t xml:space="preserve">– la información proporcionada por el deudor es suficiente </w:t>
      </w:r>
    </w:p>
    <w:p w:rsidR="00571724" w:rsidRDefault="00571724" w:rsidP="00571724">
      <w:pPr>
        <w:spacing w:line="360" w:lineRule="auto"/>
        <w:jc w:val="both"/>
        <w:rPr>
          <w:rFonts w:ascii="Times New Roman" w:hAnsi="Times New Roman" w:cs="Times New Roman"/>
          <w:sz w:val="24"/>
        </w:rPr>
      </w:pPr>
      <w:r w:rsidRPr="00571724">
        <w:rPr>
          <w:rFonts w:ascii="Times New Roman" w:hAnsi="Times New Roman" w:cs="Times New Roman"/>
          <w:sz w:val="24"/>
        </w:rPr>
        <w:t xml:space="preserve">– es razonable y realizable el plan de viabilidad a corto y medio plazo </w:t>
      </w:r>
    </w:p>
    <w:p w:rsidR="00571724" w:rsidRDefault="00571724" w:rsidP="00571724">
      <w:pPr>
        <w:spacing w:line="360" w:lineRule="auto"/>
        <w:jc w:val="both"/>
        <w:rPr>
          <w:rFonts w:ascii="Times New Roman" w:hAnsi="Times New Roman" w:cs="Times New Roman"/>
          <w:sz w:val="24"/>
        </w:rPr>
      </w:pPr>
      <w:r w:rsidRPr="00571724">
        <w:rPr>
          <w:rFonts w:ascii="Times New Roman" w:hAnsi="Times New Roman" w:cs="Times New Roman"/>
          <w:sz w:val="24"/>
        </w:rPr>
        <w:t xml:space="preserve">– son proporcionales las garantías conforme a las condiciones normales del mercado. Este informe es conocido en todos sus extremos por los acreedores suscribientes. </w:t>
      </w:r>
    </w:p>
    <w:p w:rsidR="00571724" w:rsidRDefault="00571724" w:rsidP="00571724">
      <w:pPr>
        <w:spacing w:line="360" w:lineRule="auto"/>
        <w:jc w:val="both"/>
        <w:rPr>
          <w:rFonts w:ascii="Times New Roman" w:hAnsi="Times New Roman" w:cs="Times New Roman"/>
          <w:sz w:val="24"/>
        </w:rPr>
      </w:pPr>
      <w:r w:rsidRPr="00571724">
        <w:rPr>
          <w:rFonts w:ascii="Times New Roman" w:hAnsi="Times New Roman" w:cs="Times New Roman"/>
          <w:sz w:val="24"/>
        </w:rPr>
        <w:t xml:space="preserve">4) Y estando presentes el DEUDOR y los ACREEDORES, que totalizan un ...% del pasivo titularidad de las entidades financieras, por medio del presente acuerdan la refinanciación de la deuda con arreglo a las siguientes </w:t>
      </w:r>
    </w:p>
    <w:p w:rsidR="00571724" w:rsidRDefault="00571724" w:rsidP="00571724">
      <w:pPr>
        <w:spacing w:line="360" w:lineRule="auto"/>
        <w:jc w:val="center"/>
        <w:rPr>
          <w:rFonts w:ascii="Times New Roman" w:hAnsi="Times New Roman" w:cs="Times New Roman"/>
          <w:sz w:val="24"/>
        </w:rPr>
      </w:pPr>
      <w:r w:rsidRPr="00571724">
        <w:rPr>
          <w:rFonts w:ascii="Times New Roman" w:hAnsi="Times New Roman" w:cs="Times New Roman"/>
          <w:sz w:val="24"/>
        </w:rPr>
        <w:t>ESTIPULACIONES</w:t>
      </w:r>
    </w:p>
    <w:p w:rsidR="00571724" w:rsidRPr="00571724" w:rsidRDefault="00571724" w:rsidP="00571724">
      <w:pPr>
        <w:spacing w:line="360" w:lineRule="auto"/>
        <w:jc w:val="both"/>
        <w:rPr>
          <w:rFonts w:ascii="Times New Roman" w:hAnsi="Times New Roman" w:cs="Times New Roman"/>
          <w:sz w:val="24"/>
        </w:rPr>
      </w:pPr>
      <w:r w:rsidRPr="00571724">
        <w:rPr>
          <w:rFonts w:ascii="Times New Roman" w:hAnsi="Times New Roman" w:cs="Times New Roman"/>
          <w:sz w:val="24"/>
        </w:rPr>
        <w:t>Primero. - Se procede a la novación modificativa de los créditos vencidos al día de la fecha, pactando de carencia un año, en el cual el DEUDOR abonará únicamente los intereses que devenguen sobre el capital pendiente, y transcurrido el cual abonará el capital vencido hasta la fecha.</w:t>
      </w:r>
    </w:p>
    <w:p w:rsidR="00571724" w:rsidRPr="00571724" w:rsidRDefault="00571724" w:rsidP="00571724">
      <w:pPr>
        <w:spacing w:line="360" w:lineRule="auto"/>
        <w:jc w:val="both"/>
        <w:rPr>
          <w:rFonts w:ascii="Times New Roman" w:hAnsi="Times New Roman" w:cs="Times New Roman"/>
          <w:sz w:val="24"/>
        </w:rPr>
      </w:pPr>
      <w:r w:rsidRPr="00571724">
        <w:rPr>
          <w:rFonts w:ascii="Times New Roman" w:hAnsi="Times New Roman" w:cs="Times New Roman"/>
          <w:sz w:val="24"/>
        </w:rPr>
        <w:t>Segundo. - Se acuerda pactar una espera de cinco años en relación a los sucesivos plazos de vencimiento.</w:t>
      </w:r>
    </w:p>
    <w:p w:rsidR="00571724" w:rsidRPr="00571724" w:rsidRDefault="00571724" w:rsidP="00571724">
      <w:pPr>
        <w:spacing w:line="360" w:lineRule="auto"/>
        <w:jc w:val="both"/>
        <w:rPr>
          <w:rFonts w:ascii="Times New Roman" w:hAnsi="Times New Roman" w:cs="Times New Roman"/>
          <w:sz w:val="24"/>
        </w:rPr>
      </w:pPr>
      <w:r w:rsidRPr="00571724">
        <w:rPr>
          <w:rFonts w:ascii="Times New Roman" w:hAnsi="Times New Roman" w:cs="Times New Roman"/>
          <w:sz w:val="24"/>
        </w:rPr>
        <w:t>Tercero. - La continuidad de la actividad del deudor y su viabilidad a corto y medio plazo queda garantizada de acuerdo al plan de negocio informado por el experto independiente que consta en el anexo</w:t>
      </w:r>
      <w:proofErr w:type="gramStart"/>
      <w:r w:rsidRPr="00571724">
        <w:rPr>
          <w:rFonts w:ascii="Times New Roman" w:hAnsi="Times New Roman" w:cs="Times New Roman"/>
          <w:sz w:val="24"/>
        </w:rPr>
        <w:t xml:space="preserve"> ….</w:t>
      </w:r>
      <w:proofErr w:type="gramEnd"/>
      <w:r w:rsidRPr="00571724">
        <w:rPr>
          <w:rFonts w:ascii="Times New Roman" w:hAnsi="Times New Roman" w:cs="Times New Roman"/>
          <w:sz w:val="24"/>
        </w:rPr>
        <w:t>.</w:t>
      </w:r>
    </w:p>
    <w:p w:rsidR="00571724" w:rsidRDefault="00571724" w:rsidP="00571724">
      <w:pPr>
        <w:spacing w:line="360" w:lineRule="auto"/>
        <w:jc w:val="both"/>
        <w:rPr>
          <w:rFonts w:ascii="Times New Roman" w:hAnsi="Times New Roman" w:cs="Times New Roman"/>
          <w:sz w:val="24"/>
        </w:rPr>
      </w:pPr>
      <w:r w:rsidRPr="00571724">
        <w:rPr>
          <w:rFonts w:ascii="Times New Roman" w:hAnsi="Times New Roman" w:cs="Times New Roman"/>
          <w:sz w:val="24"/>
        </w:rPr>
        <w:t xml:space="preserve">Cuarto. - Las </w:t>
      </w:r>
      <w:proofErr w:type="gramStart"/>
      <w:r w:rsidRPr="00571724">
        <w:rPr>
          <w:rFonts w:ascii="Times New Roman" w:hAnsi="Times New Roman" w:cs="Times New Roman"/>
          <w:sz w:val="24"/>
        </w:rPr>
        <w:t>partes  manifiestan</w:t>
      </w:r>
      <w:proofErr w:type="gramEnd"/>
      <w:r w:rsidRPr="00571724">
        <w:rPr>
          <w:rFonts w:ascii="Times New Roman" w:hAnsi="Times New Roman" w:cs="Times New Roman"/>
          <w:sz w:val="24"/>
        </w:rPr>
        <w:t xml:space="preserve"> su voluntad de elevar el presente documento a escritura pública en la Notaria de …, habiéndose señalado el próximo día …. para el otorgamiento de la misma, comprometiéndose el DEUDOR a notificar este acuerdo a los acreedores financieros no participantes a fin de que puedan adherirse al mismo, sin perjuicio de su vinculación legal al mismo conforme a la Ley concursal. </w:t>
      </w:r>
    </w:p>
    <w:p w:rsidR="00DA1DB6" w:rsidRDefault="00571724" w:rsidP="00571724">
      <w:pPr>
        <w:spacing w:line="360" w:lineRule="auto"/>
        <w:jc w:val="both"/>
        <w:rPr>
          <w:rFonts w:ascii="Times New Roman" w:hAnsi="Times New Roman" w:cs="Times New Roman"/>
          <w:sz w:val="24"/>
        </w:rPr>
      </w:pPr>
      <w:r w:rsidRPr="00571724">
        <w:rPr>
          <w:rFonts w:ascii="Times New Roman" w:hAnsi="Times New Roman" w:cs="Times New Roman"/>
          <w:sz w:val="24"/>
        </w:rPr>
        <w:t>En la localidad de</w:t>
      </w:r>
      <w:proofErr w:type="gramStart"/>
      <w:r w:rsidRPr="00571724">
        <w:rPr>
          <w:rFonts w:ascii="Times New Roman" w:hAnsi="Times New Roman" w:cs="Times New Roman"/>
          <w:sz w:val="24"/>
        </w:rPr>
        <w:t xml:space="preserve"> ….</w:t>
      </w:r>
      <w:proofErr w:type="gramEnd"/>
      <w:r w:rsidRPr="00571724">
        <w:rPr>
          <w:rFonts w:ascii="Times New Roman" w:hAnsi="Times New Roman" w:cs="Times New Roman"/>
          <w:sz w:val="24"/>
        </w:rPr>
        <w:t>, a … de … del año...</w:t>
      </w:r>
    </w:p>
    <w:p w:rsidR="00571724" w:rsidRDefault="00571724" w:rsidP="00571724">
      <w:pPr>
        <w:rPr>
          <w:rFonts w:ascii="Times New Roman" w:hAnsi="Times New Roman" w:cs="Times New Roman"/>
          <w:sz w:val="24"/>
        </w:rPr>
      </w:pPr>
      <w:r w:rsidRPr="00571724">
        <w:rPr>
          <w:rFonts w:ascii="Times New Roman" w:hAnsi="Times New Roman" w:cs="Times New Roman"/>
          <w:sz w:val="24"/>
        </w:rPr>
        <w:t>(firma deudor y representantes de entidades financieras).</w:t>
      </w:r>
    </w:p>
    <w:p w:rsidR="001037E8" w:rsidRDefault="001037E8" w:rsidP="001037E8">
      <w:pPr>
        <w:spacing w:line="360" w:lineRule="auto"/>
        <w:jc w:val="both"/>
        <w:rPr>
          <w:rFonts w:ascii="Times New Roman" w:hAnsi="Times New Roman" w:cs="Times New Roman"/>
          <w:sz w:val="24"/>
        </w:rPr>
      </w:pPr>
    </w:p>
    <w:p w:rsidR="004610D0" w:rsidRDefault="004610D0" w:rsidP="001037E8">
      <w:pPr>
        <w:spacing w:line="360" w:lineRule="auto"/>
        <w:jc w:val="both"/>
        <w:rPr>
          <w:rFonts w:ascii="Times New Roman" w:hAnsi="Times New Roman" w:cs="Times New Roman"/>
          <w:b/>
          <w:sz w:val="24"/>
        </w:rPr>
      </w:pPr>
    </w:p>
    <w:p w:rsidR="004610D0" w:rsidRDefault="004610D0" w:rsidP="001037E8">
      <w:pPr>
        <w:spacing w:line="360" w:lineRule="auto"/>
        <w:jc w:val="both"/>
        <w:rPr>
          <w:rFonts w:ascii="Times New Roman" w:hAnsi="Times New Roman" w:cs="Times New Roman"/>
          <w:b/>
          <w:sz w:val="24"/>
        </w:rPr>
      </w:pPr>
    </w:p>
    <w:p w:rsidR="001037E8" w:rsidRPr="00B751E8" w:rsidRDefault="003B67D0" w:rsidP="00B751E8">
      <w:pPr>
        <w:spacing w:line="360" w:lineRule="auto"/>
        <w:jc w:val="both"/>
        <w:rPr>
          <w:rFonts w:ascii="Times New Roman" w:hAnsi="Times New Roman" w:cs="Times New Roman"/>
          <w:b/>
          <w:sz w:val="24"/>
        </w:rPr>
      </w:pPr>
      <w:r w:rsidRPr="00B751E8">
        <w:rPr>
          <w:rFonts w:ascii="Times New Roman" w:hAnsi="Times New Roman" w:cs="Times New Roman"/>
          <w:b/>
          <w:sz w:val="24"/>
        </w:rPr>
        <w:lastRenderedPageBreak/>
        <w:t>8.BIBLIOGRAFÍA.</w:t>
      </w:r>
    </w:p>
    <w:p w:rsidR="00DB01D0" w:rsidRPr="00B751E8" w:rsidRDefault="00262F94" w:rsidP="00B751E8">
      <w:pPr>
        <w:spacing w:line="360" w:lineRule="auto"/>
        <w:jc w:val="both"/>
        <w:rPr>
          <w:rFonts w:ascii="Times New Roman" w:hAnsi="Times New Roman" w:cs="Times New Roman"/>
          <w:b/>
          <w:i/>
          <w:sz w:val="24"/>
          <w:u w:val="single"/>
        </w:rPr>
      </w:pPr>
      <w:r w:rsidRPr="00B751E8">
        <w:rPr>
          <w:rFonts w:ascii="Times New Roman" w:hAnsi="Times New Roman" w:cs="Times New Roman"/>
          <w:b/>
          <w:i/>
          <w:sz w:val="24"/>
          <w:u w:val="single"/>
        </w:rPr>
        <w:t>Referencias Bibliográficas:</w:t>
      </w:r>
    </w:p>
    <w:p w:rsidR="00DB01D0" w:rsidRPr="00B751E8" w:rsidRDefault="00DB01D0" w:rsidP="00B751E8">
      <w:pPr>
        <w:pStyle w:val="Prrafodelista"/>
        <w:numPr>
          <w:ilvl w:val="0"/>
          <w:numId w:val="9"/>
        </w:numPr>
        <w:spacing w:line="360" w:lineRule="auto"/>
        <w:jc w:val="both"/>
        <w:rPr>
          <w:rFonts w:ascii="Times New Roman" w:hAnsi="Times New Roman" w:cs="Times New Roman"/>
          <w:sz w:val="24"/>
        </w:rPr>
      </w:pPr>
      <w:r w:rsidRPr="00B751E8">
        <w:rPr>
          <w:rFonts w:ascii="Times New Roman" w:hAnsi="Times New Roman" w:cs="Times New Roman"/>
          <w:sz w:val="24"/>
        </w:rPr>
        <w:t>Aznar Giner, E. (2016). “Refinanciaciones de deuda, acuerdos extrajudiciales de pago y concurso de acreedores”. Editorial: Tirant lo Blanch.</w:t>
      </w:r>
    </w:p>
    <w:p w:rsidR="00DB01D0" w:rsidRPr="00B751E8" w:rsidRDefault="00DB01D0" w:rsidP="00B751E8">
      <w:pPr>
        <w:pStyle w:val="Prrafodelista"/>
        <w:spacing w:line="360" w:lineRule="auto"/>
        <w:ind w:left="360"/>
        <w:jc w:val="both"/>
        <w:rPr>
          <w:rFonts w:ascii="Times New Roman" w:hAnsi="Times New Roman" w:cs="Times New Roman"/>
          <w:sz w:val="24"/>
        </w:rPr>
      </w:pPr>
    </w:p>
    <w:p w:rsidR="00DB01D0" w:rsidRPr="00B751E8" w:rsidRDefault="00DB01D0" w:rsidP="00B751E8">
      <w:pPr>
        <w:pStyle w:val="Prrafodelista"/>
        <w:numPr>
          <w:ilvl w:val="0"/>
          <w:numId w:val="9"/>
        </w:numPr>
        <w:spacing w:line="360" w:lineRule="auto"/>
        <w:jc w:val="both"/>
        <w:rPr>
          <w:rFonts w:ascii="Times New Roman" w:hAnsi="Times New Roman" w:cs="Times New Roman"/>
          <w:sz w:val="24"/>
        </w:rPr>
      </w:pPr>
      <w:r w:rsidRPr="00B751E8">
        <w:rPr>
          <w:rFonts w:ascii="Times New Roman" w:hAnsi="Times New Roman" w:cs="Times New Roman"/>
          <w:sz w:val="24"/>
        </w:rPr>
        <w:t xml:space="preserve">Cervera, M. (2014). “El procedimiento de homologación de acuerdos de refinanciación”. Anuario de Derecho Concursal núm. 33/2014. </w:t>
      </w:r>
      <w:proofErr w:type="spellStart"/>
      <w:proofErr w:type="gramStart"/>
      <w:r w:rsidRPr="00B751E8">
        <w:rPr>
          <w:rFonts w:ascii="Times New Roman" w:hAnsi="Times New Roman" w:cs="Times New Roman"/>
          <w:sz w:val="24"/>
        </w:rPr>
        <w:t>Editorial:Civitas</w:t>
      </w:r>
      <w:proofErr w:type="spellEnd"/>
      <w:proofErr w:type="gramEnd"/>
      <w:r w:rsidRPr="00B751E8">
        <w:rPr>
          <w:rFonts w:ascii="Times New Roman" w:hAnsi="Times New Roman" w:cs="Times New Roman"/>
          <w:sz w:val="24"/>
        </w:rPr>
        <w:t>, SA, Pamplona.</w:t>
      </w:r>
      <w:r w:rsidRPr="00B751E8">
        <w:rPr>
          <w:rFonts w:ascii="Times New Roman" w:hAnsi="Times New Roman" w:cs="Times New Roman"/>
          <w:i/>
          <w:sz w:val="24"/>
        </w:rPr>
        <w:t xml:space="preserve">(Disponible </w:t>
      </w:r>
      <w:proofErr w:type="spellStart"/>
      <w:r w:rsidRPr="00B751E8">
        <w:rPr>
          <w:rFonts w:ascii="Times New Roman" w:hAnsi="Times New Roman" w:cs="Times New Roman"/>
          <w:i/>
          <w:sz w:val="24"/>
        </w:rPr>
        <w:t>on</w:t>
      </w:r>
      <w:proofErr w:type="spellEnd"/>
      <w:r w:rsidRPr="00B751E8">
        <w:rPr>
          <w:rFonts w:ascii="Times New Roman" w:hAnsi="Times New Roman" w:cs="Times New Roman"/>
          <w:i/>
          <w:sz w:val="24"/>
        </w:rPr>
        <w:t xml:space="preserve"> line:</w:t>
      </w:r>
      <w:r w:rsidR="00BD2D4B">
        <w:rPr>
          <w:rFonts w:ascii="Times New Roman" w:hAnsi="Times New Roman" w:cs="Times New Roman"/>
          <w:i/>
          <w:sz w:val="24"/>
        </w:rPr>
        <w:t xml:space="preserve"> </w:t>
      </w:r>
      <w:hyperlink r:id="rId9" w:history="1">
        <w:r w:rsidRPr="00B751E8">
          <w:rPr>
            <w:rStyle w:val="Hipervnculo"/>
            <w:rFonts w:ascii="Times New Roman" w:hAnsi="Times New Roman" w:cs="Times New Roman"/>
            <w:color w:val="auto"/>
            <w:sz w:val="24"/>
            <w:u w:val="none"/>
          </w:rPr>
          <w:t>http://www.0-aranzadi.aranzadidigital.es</w:t>
        </w:r>
      </w:hyperlink>
      <w:r w:rsidRPr="00B751E8">
        <w:rPr>
          <w:rFonts w:ascii="Times New Roman" w:hAnsi="Times New Roman" w:cs="Times New Roman"/>
          <w:sz w:val="24"/>
        </w:rPr>
        <w:t>).</w:t>
      </w:r>
    </w:p>
    <w:p w:rsidR="00DB01D0" w:rsidRPr="00B751E8" w:rsidRDefault="00DB01D0" w:rsidP="00B751E8">
      <w:pPr>
        <w:pStyle w:val="Prrafodelista"/>
        <w:spacing w:line="360" w:lineRule="auto"/>
        <w:jc w:val="both"/>
        <w:rPr>
          <w:rFonts w:ascii="Times New Roman" w:hAnsi="Times New Roman" w:cs="Times New Roman"/>
          <w:sz w:val="24"/>
        </w:rPr>
      </w:pPr>
    </w:p>
    <w:p w:rsidR="00DB01D0" w:rsidRPr="00B751E8" w:rsidRDefault="00DB01D0" w:rsidP="00B751E8">
      <w:pPr>
        <w:pStyle w:val="Prrafodelista"/>
        <w:numPr>
          <w:ilvl w:val="0"/>
          <w:numId w:val="9"/>
        </w:numPr>
        <w:spacing w:line="360" w:lineRule="auto"/>
        <w:jc w:val="both"/>
        <w:rPr>
          <w:rFonts w:ascii="Times New Roman" w:hAnsi="Times New Roman" w:cs="Times New Roman"/>
          <w:sz w:val="24"/>
        </w:rPr>
      </w:pPr>
      <w:r w:rsidRPr="00B751E8">
        <w:rPr>
          <w:rFonts w:ascii="Times New Roman" w:hAnsi="Times New Roman" w:cs="Times New Roman"/>
          <w:sz w:val="24"/>
        </w:rPr>
        <w:t xml:space="preserve">Díaz </w:t>
      </w:r>
      <w:proofErr w:type="spellStart"/>
      <w:r w:rsidRPr="00B751E8">
        <w:rPr>
          <w:rFonts w:ascii="Times New Roman" w:hAnsi="Times New Roman" w:cs="Times New Roman"/>
          <w:sz w:val="24"/>
        </w:rPr>
        <w:t>Echegeray</w:t>
      </w:r>
      <w:proofErr w:type="spellEnd"/>
      <w:r w:rsidRPr="00B751E8">
        <w:rPr>
          <w:rFonts w:ascii="Times New Roman" w:hAnsi="Times New Roman" w:cs="Times New Roman"/>
          <w:sz w:val="24"/>
        </w:rPr>
        <w:t xml:space="preserve">, J.L. (2015). “Concepto y tipología de los acuerdos de refinanciación”. Monografías. Los acuerdos de refinanciación. BIB 2015\40. Editorial: </w:t>
      </w:r>
      <w:proofErr w:type="spellStart"/>
      <w:r w:rsidRPr="00B751E8">
        <w:rPr>
          <w:rFonts w:ascii="Times New Roman" w:hAnsi="Times New Roman" w:cs="Times New Roman"/>
          <w:sz w:val="24"/>
        </w:rPr>
        <w:t>Civitas</w:t>
      </w:r>
      <w:proofErr w:type="spellEnd"/>
      <w:r w:rsidRPr="00B751E8">
        <w:rPr>
          <w:rFonts w:ascii="Times New Roman" w:hAnsi="Times New Roman" w:cs="Times New Roman"/>
          <w:sz w:val="24"/>
        </w:rPr>
        <w:t xml:space="preserve">, SA. </w:t>
      </w:r>
      <w:r w:rsidRPr="00B751E8">
        <w:rPr>
          <w:rFonts w:ascii="Times New Roman" w:hAnsi="Times New Roman" w:cs="Times New Roman"/>
          <w:i/>
          <w:sz w:val="24"/>
        </w:rPr>
        <w:t xml:space="preserve">(Disponible </w:t>
      </w:r>
      <w:proofErr w:type="spellStart"/>
      <w:r w:rsidRPr="00B751E8">
        <w:rPr>
          <w:rFonts w:ascii="Times New Roman" w:hAnsi="Times New Roman" w:cs="Times New Roman"/>
          <w:i/>
          <w:sz w:val="24"/>
        </w:rPr>
        <w:t>on</w:t>
      </w:r>
      <w:proofErr w:type="spellEnd"/>
      <w:r w:rsidRPr="00B751E8">
        <w:rPr>
          <w:rFonts w:ascii="Times New Roman" w:hAnsi="Times New Roman" w:cs="Times New Roman"/>
          <w:i/>
          <w:sz w:val="24"/>
        </w:rPr>
        <w:t xml:space="preserve"> line:</w:t>
      </w:r>
      <w:r w:rsidR="00BD2D4B">
        <w:rPr>
          <w:rFonts w:ascii="Times New Roman" w:hAnsi="Times New Roman" w:cs="Times New Roman"/>
          <w:i/>
          <w:sz w:val="24"/>
        </w:rPr>
        <w:t xml:space="preserve"> </w:t>
      </w:r>
      <w:hyperlink r:id="rId10" w:history="1">
        <w:r w:rsidRPr="00B751E8">
          <w:rPr>
            <w:rStyle w:val="Hipervnculo"/>
            <w:rFonts w:ascii="Times New Roman" w:hAnsi="Times New Roman" w:cs="Times New Roman"/>
            <w:color w:val="auto"/>
            <w:sz w:val="24"/>
            <w:u w:val="none"/>
          </w:rPr>
          <w:t>http://www.0-aranzadi.aranzadidigital.es</w:t>
        </w:r>
      </w:hyperlink>
      <w:r w:rsidRPr="00B751E8">
        <w:rPr>
          <w:rFonts w:ascii="Times New Roman" w:hAnsi="Times New Roman" w:cs="Times New Roman"/>
          <w:sz w:val="24"/>
        </w:rPr>
        <w:t>).</w:t>
      </w:r>
    </w:p>
    <w:p w:rsidR="00DB01D0" w:rsidRPr="00B751E8" w:rsidRDefault="00DB01D0" w:rsidP="00B751E8">
      <w:pPr>
        <w:pStyle w:val="Prrafodelista"/>
        <w:spacing w:line="360" w:lineRule="auto"/>
        <w:jc w:val="both"/>
        <w:rPr>
          <w:rFonts w:ascii="Times New Roman" w:hAnsi="Times New Roman" w:cs="Times New Roman"/>
          <w:sz w:val="24"/>
        </w:rPr>
      </w:pPr>
    </w:p>
    <w:p w:rsidR="00DB01D0" w:rsidRPr="00B751E8" w:rsidRDefault="00DB01D0" w:rsidP="00B751E8">
      <w:pPr>
        <w:pStyle w:val="Prrafodelista"/>
        <w:numPr>
          <w:ilvl w:val="0"/>
          <w:numId w:val="9"/>
        </w:numPr>
        <w:spacing w:line="360" w:lineRule="auto"/>
        <w:jc w:val="both"/>
        <w:rPr>
          <w:rFonts w:ascii="Times New Roman" w:hAnsi="Times New Roman" w:cs="Times New Roman"/>
          <w:sz w:val="24"/>
        </w:rPr>
      </w:pPr>
      <w:r w:rsidRPr="00B751E8">
        <w:rPr>
          <w:rFonts w:ascii="Times New Roman" w:hAnsi="Times New Roman" w:cs="Times New Roman"/>
          <w:sz w:val="24"/>
        </w:rPr>
        <w:t>León, F.J. (2014</w:t>
      </w:r>
      <w:proofErr w:type="gramStart"/>
      <w:r w:rsidRPr="00B751E8">
        <w:rPr>
          <w:rFonts w:ascii="Times New Roman" w:hAnsi="Times New Roman" w:cs="Times New Roman"/>
          <w:sz w:val="24"/>
        </w:rPr>
        <w:t>).“</w:t>
      </w:r>
      <w:proofErr w:type="gramEnd"/>
      <w:r w:rsidRPr="00B751E8">
        <w:rPr>
          <w:rFonts w:ascii="Times New Roman" w:hAnsi="Times New Roman" w:cs="Times New Roman"/>
          <w:sz w:val="24"/>
        </w:rPr>
        <w:t xml:space="preserve">La ineficacia de los acuerdos de refinanciación”. </w:t>
      </w:r>
      <w:proofErr w:type="spellStart"/>
      <w:r w:rsidRPr="00B751E8">
        <w:rPr>
          <w:rFonts w:ascii="Times New Roman" w:hAnsi="Times New Roman" w:cs="Times New Roman"/>
          <w:sz w:val="24"/>
        </w:rPr>
        <w:t>ADCon</w:t>
      </w:r>
      <w:proofErr w:type="spellEnd"/>
      <w:r w:rsidRPr="00B751E8">
        <w:rPr>
          <w:rFonts w:ascii="Times New Roman" w:hAnsi="Times New Roman" w:cs="Times New Roman"/>
          <w:sz w:val="24"/>
        </w:rPr>
        <w:t>, núm.33.</w:t>
      </w:r>
    </w:p>
    <w:p w:rsidR="00DB01D0" w:rsidRPr="00B751E8" w:rsidRDefault="00DB01D0" w:rsidP="00B751E8">
      <w:pPr>
        <w:pStyle w:val="Prrafodelista"/>
        <w:spacing w:line="360" w:lineRule="auto"/>
        <w:ind w:left="360"/>
        <w:jc w:val="both"/>
        <w:rPr>
          <w:rFonts w:ascii="Times New Roman" w:hAnsi="Times New Roman" w:cs="Times New Roman"/>
          <w:sz w:val="24"/>
        </w:rPr>
      </w:pPr>
    </w:p>
    <w:p w:rsidR="00DB01D0" w:rsidRPr="00B751E8" w:rsidRDefault="00DB01D0" w:rsidP="00B751E8">
      <w:pPr>
        <w:pStyle w:val="Prrafodelista"/>
        <w:numPr>
          <w:ilvl w:val="0"/>
          <w:numId w:val="9"/>
        </w:numPr>
        <w:spacing w:line="360" w:lineRule="auto"/>
        <w:jc w:val="both"/>
        <w:rPr>
          <w:rFonts w:ascii="Times New Roman" w:hAnsi="Times New Roman" w:cs="Times New Roman"/>
          <w:sz w:val="24"/>
        </w:rPr>
      </w:pPr>
      <w:r w:rsidRPr="00B751E8">
        <w:rPr>
          <w:rFonts w:ascii="Times New Roman" w:hAnsi="Times New Roman" w:cs="Times New Roman"/>
          <w:sz w:val="24"/>
        </w:rPr>
        <w:t>Olivencia, M. (2012). “La reforma de la Ley concursal”.</w:t>
      </w:r>
      <w:r w:rsidR="00BD2D4B">
        <w:rPr>
          <w:rFonts w:ascii="Times New Roman" w:hAnsi="Times New Roman" w:cs="Times New Roman"/>
          <w:sz w:val="24"/>
        </w:rPr>
        <w:t xml:space="preserve"> </w:t>
      </w:r>
      <w:r w:rsidRPr="00B751E8">
        <w:rPr>
          <w:rFonts w:ascii="Times New Roman" w:hAnsi="Times New Roman" w:cs="Times New Roman"/>
          <w:sz w:val="24"/>
        </w:rPr>
        <w:t xml:space="preserve">Revista de Derecho Mercantil nº 285/2012. </w:t>
      </w:r>
      <w:r w:rsidRPr="00B751E8">
        <w:rPr>
          <w:rFonts w:ascii="Times New Roman" w:hAnsi="Times New Roman" w:cs="Times New Roman"/>
          <w:i/>
          <w:sz w:val="24"/>
        </w:rPr>
        <w:t xml:space="preserve">(Disponible </w:t>
      </w:r>
      <w:proofErr w:type="spellStart"/>
      <w:r w:rsidRPr="00B751E8">
        <w:rPr>
          <w:rFonts w:ascii="Times New Roman" w:hAnsi="Times New Roman" w:cs="Times New Roman"/>
          <w:i/>
          <w:sz w:val="24"/>
        </w:rPr>
        <w:t>on</w:t>
      </w:r>
      <w:proofErr w:type="spellEnd"/>
      <w:r w:rsidRPr="00B751E8">
        <w:rPr>
          <w:rFonts w:ascii="Times New Roman" w:hAnsi="Times New Roman" w:cs="Times New Roman"/>
          <w:i/>
          <w:sz w:val="24"/>
        </w:rPr>
        <w:t xml:space="preserve"> line: </w:t>
      </w:r>
      <w:hyperlink r:id="rId11" w:history="1">
        <w:r w:rsidRPr="00B751E8">
          <w:rPr>
            <w:rStyle w:val="Hipervnculo"/>
            <w:rFonts w:ascii="Times New Roman" w:hAnsi="Times New Roman" w:cs="Times New Roman"/>
            <w:color w:val="auto"/>
            <w:sz w:val="24"/>
            <w:u w:val="none"/>
          </w:rPr>
          <w:t>http://www.cuatrecasas.com</w:t>
        </w:r>
      </w:hyperlink>
      <w:r w:rsidRPr="00B751E8">
        <w:rPr>
          <w:rFonts w:ascii="Times New Roman" w:hAnsi="Times New Roman" w:cs="Times New Roman"/>
          <w:sz w:val="24"/>
        </w:rPr>
        <w:t>).</w:t>
      </w:r>
    </w:p>
    <w:p w:rsidR="00DB01D0" w:rsidRPr="00B751E8" w:rsidRDefault="00DB01D0" w:rsidP="00B751E8">
      <w:pPr>
        <w:pStyle w:val="Prrafodelista"/>
        <w:spacing w:line="360" w:lineRule="auto"/>
        <w:ind w:left="360"/>
        <w:jc w:val="both"/>
        <w:rPr>
          <w:rFonts w:ascii="Times New Roman" w:hAnsi="Times New Roman" w:cs="Times New Roman"/>
          <w:sz w:val="24"/>
        </w:rPr>
      </w:pPr>
    </w:p>
    <w:p w:rsidR="00DB01D0" w:rsidRPr="00B751E8" w:rsidRDefault="00DB01D0" w:rsidP="00B751E8">
      <w:pPr>
        <w:pStyle w:val="Prrafodelista"/>
        <w:numPr>
          <w:ilvl w:val="0"/>
          <w:numId w:val="9"/>
        </w:numPr>
        <w:spacing w:line="360" w:lineRule="auto"/>
        <w:jc w:val="both"/>
        <w:rPr>
          <w:rFonts w:ascii="Times New Roman" w:hAnsi="Times New Roman" w:cs="Times New Roman"/>
          <w:sz w:val="24"/>
        </w:rPr>
      </w:pPr>
      <w:r w:rsidRPr="00B751E8">
        <w:rPr>
          <w:rFonts w:ascii="Times New Roman" w:hAnsi="Times New Roman" w:cs="Times New Roman"/>
          <w:sz w:val="24"/>
        </w:rPr>
        <w:t xml:space="preserve">Pereira, G. (2015). “Nueva reforma de la Ley Concursal, Ley 9/2015, de 25 de mayo, de medidas urgentes en materia concursal”. </w:t>
      </w:r>
      <w:r w:rsidRPr="00B751E8">
        <w:rPr>
          <w:rFonts w:ascii="Times New Roman" w:hAnsi="Times New Roman" w:cs="Times New Roman"/>
          <w:i/>
          <w:sz w:val="24"/>
        </w:rPr>
        <w:t xml:space="preserve">LEGAL FLASH. Área de Derecho Mercantil y Contencioso. (Disponible </w:t>
      </w:r>
      <w:proofErr w:type="spellStart"/>
      <w:r w:rsidRPr="00B751E8">
        <w:rPr>
          <w:rFonts w:ascii="Times New Roman" w:hAnsi="Times New Roman" w:cs="Times New Roman"/>
          <w:i/>
          <w:sz w:val="24"/>
        </w:rPr>
        <w:t>on</w:t>
      </w:r>
      <w:proofErr w:type="spellEnd"/>
      <w:r w:rsidRPr="00B751E8">
        <w:rPr>
          <w:rFonts w:ascii="Times New Roman" w:hAnsi="Times New Roman" w:cs="Times New Roman"/>
          <w:i/>
          <w:sz w:val="24"/>
        </w:rPr>
        <w:t xml:space="preserve"> line: </w:t>
      </w:r>
      <w:hyperlink r:id="rId12" w:history="1">
        <w:r w:rsidRPr="00B751E8">
          <w:rPr>
            <w:rStyle w:val="Hipervnculo"/>
            <w:rFonts w:ascii="Times New Roman" w:hAnsi="Times New Roman" w:cs="Times New Roman"/>
            <w:color w:val="auto"/>
            <w:sz w:val="24"/>
            <w:u w:val="none"/>
          </w:rPr>
          <w:t>http://www.cuatrecasas.com</w:t>
        </w:r>
      </w:hyperlink>
      <w:r w:rsidRPr="00B751E8">
        <w:rPr>
          <w:rFonts w:ascii="Times New Roman" w:hAnsi="Times New Roman" w:cs="Times New Roman"/>
          <w:sz w:val="24"/>
        </w:rPr>
        <w:t>).</w:t>
      </w:r>
    </w:p>
    <w:p w:rsidR="00DB01D0" w:rsidRPr="00B751E8" w:rsidRDefault="00DB01D0" w:rsidP="00B751E8">
      <w:pPr>
        <w:pStyle w:val="Prrafodelista"/>
        <w:jc w:val="both"/>
        <w:rPr>
          <w:rFonts w:ascii="Times New Roman" w:hAnsi="Times New Roman" w:cs="Times New Roman"/>
          <w:sz w:val="24"/>
        </w:rPr>
      </w:pPr>
    </w:p>
    <w:p w:rsidR="00DB01D0" w:rsidRPr="00B751E8" w:rsidRDefault="00DB01D0" w:rsidP="00B751E8">
      <w:pPr>
        <w:pStyle w:val="Prrafodelista"/>
        <w:numPr>
          <w:ilvl w:val="0"/>
          <w:numId w:val="9"/>
        </w:numPr>
        <w:spacing w:line="360" w:lineRule="auto"/>
        <w:jc w:val="both"/>
        <w:rPr>
          <w:rFonts w:ascii="Times New Roman" w:hAnsi="Times New Roman" w:cs="Times New Roman"/>
          <w:sz w:val="24"/>
        </w:rPr>
      </w:pPr>
      <w:r w:rsidRPr="00B751E8">
        <w:rPr>
          <w:rFonts w:ascii="Times New Roman" w:hAnsi="Times New Roman" w:cs="Times New Roman"/>
          <w:sz w:val="24"/>
        </w:rPr>
        <w:t>Pérez Benítez, J.J. (2014</w:t>
      </w:r>
      <w:proofErr w:type="gramStart"/>
      <w:r w:rsidRPr="00B751E8">
        <w:rPr>
          <w:rFonts w:ascii="Times New Roman" w:hAnsi="Times New Roman" w:cs="Times New Roman"/>
          <w:sz w:val="24"/>
        </w:rPr>
        <w:t>).“</w:t>
      </w:r>
      <w:proofErr w:type="gramEnd"/>
      <w:r w:rsidRPr="00B751E8">
        <w:rPr>
          <w:rFonts w:ascii="Times New Roman" w:hAnsi="Times New Roman" w:cs="Times New Roman"/>
          <w:sz w:val="24"/>
        </w:rPr>
        <w:t>La nueva regulación de los acuerdos de refinanciación”.</w:t>
      </w:r>
      <w:r w:rsidR="00BD2D4B">
        <w:rPr>
          <w:rFonts w:ascii="Times New Roman" w:hAnsi="Times New Roman" w:cs="Times New Roman"/>
          <w:sz w:val="24"/>
        </w:rPr>
        <w:t xml:space="preserve"> </w:t>
      </w:r>
      <w:r w:rsidRPr="00B751E8">
        <w:rPr>
          <w:rFonts w:ascii="Times New Roman" w:hAnsi="Times New Roman" w:cs="Times New Roman"/>
          <w:sz w:val="24"/>
        </w:rPr>
        <w:t>Revista Derecho Mercantil. (</w:t>
      </w:r>
      <w:r w:rsidRPr="00B751E8">
        <w:rPr>
          <w:rFonts w:ascii="Times New Roman" w:hAnsi="Times New Roman" w:cs="Times New Roman"/>
          <w:i/>
          <w:sz w:val="24"/>
        </w:rPr>
        <w:t xml:space="preserve">Disponible </w:t>
      </w:r>
      <w:proofErr w:type="spellStart"/>
      <w:r w:rsidRPr="00B751E8">
        <w:rPr>
          <w:rFonts w:ascii="Times New Roman" w:hAnsi="Times New Roman" w:cs="Times New Roman"/>
          <w:i/>
          <w:sz w:val="24"/>
        </w:rPr>
        <w:t>on</w:t>
      </w:r>
      <w:proofErr w:type="spellEnd"/>
      <w:r w:rsidRPr="00B751E8">
        <w:rPr>
          <w:rFonts w:ascii="Times New Roman" w:hAnsi="Times New Roman" w:cs="Times New Roman"/>
          <w:i/>
          <w:sz w:val="24"/>
        </w:rPr>
        <w:t xml:space="preserve"> line</w:t>
      </w:r>
      <w:r w:rsidRPr="00B751E8">
        <w:rPr>
          <w:rFonts w:ascii="Times New Roman" w:hAnsi="Times New Roman" w:cs="Times New Roman"/>
          <w:sz w:val="24"/>
        </w:rPr>
        <w:t>: htpp://http://www.elderecho.com).</w:t>
      </w:r>
    </w:p>
    <w:p w:rsidR="00DB01D0" w:rsidRPr="00B751E8" w:rsidRDefault="00DB01D0" w:rsidP="00B751E8">
      <w:pPr>
        <w:pStyle w:val="Prrafodelista"/>
        <w:spacing w:line="360" w:lineRule="auto"/>
        <w:ind w:left="360"/>
        <w:jc w:val="both"/>
        <w:rPr>
          <w:rFonts w:ascii="Times New Roman" w:hAnsi="Times New Roman" w:cs="Times New Roman"/>
          <w:sz w:val="24"/>
        </w:rPr>
      </w:pPr>
    </w:p>
    <w:p w:rsidR="00DB01D0" w:rsidRPr="00B751E8" w:rsidRDefault="00DB01D0" w:rsidP="00B751E8">
      <w:pPr>
        <w:pStyle w:val="Prrafodelista"/>
        <w:numPr>
          <w:ilvl w:val="0"/>
          <w:numId w:val="9"/>
        </w:numPr>
        <w:spacing w:line="360" w:lineRule="auto"/>
        <w:jc w:val="both"/>
        <w:rPr>
          <w:rFonts w:ascii="Times New Roman" w:hAnsi="Times New Roman" w:cs="Times New Roman"/>
          <w:sz w:val="24"/>
        </w:rPr>
      </w:pPr>
      <w:r w:rsidRPr="00B751E8">
        <w:rPr>
          <w:rFonts w:ascii="Times New Roman" w:hAnsi="Times New Roman" w:cs="Times New Roman"/>
          <w:sz w:val="24"/>
        </w:rPr>
        <w:t xml:space="preserve">Pérez de Ontiveros, C. (2015). “Los acuerdos de refinanciación y la acción revocatoria o pauliana”. Anuario de Derecho Concursal núm. 35/2015. </w:t>
      </w:r>
      <w:proofErr w:type="spellStart"/>
      <w:proofErr w:type="gramStart"/>
      <w:r w:rsidRPr="00B751E8">
        <w:rPr>
          <w:rFonts w:ascii="Times New Roman" w:hAnsi="Times New Roman" w:cs="Times New Roman"/>
          <w:sz w:val="24"/>
        </w:rPr>
        <w:t>Editorial:Civitas</w:t>
      </w:r>
      <w:proofErr w:type="spellEnd"/>
      <w:proofErr w:type="gramEnd"/>
      <w:r w:rsidRPr="00B751E8">
        <w:rPr>
          <w:rFonts w:ascii="Times New Roman" w:hAnsi="Times New Roman" w:cs="Times New Roman"/>
          <w:sz w:val="24"/>
        </w:rPr>
        <w:t>, SA, Pamplona.</w:t>
      </w:r>
      <w:r w:rsidRPr="00B751E8">
        <w:rPr>
          <w:rFonts w:ascii="Times New Roman" w:hAnsi="Times New Roman" w:cs="Times New Roman"/>
          <w:i/>
          <w:sz w:val="24"/>
        </w:rPr>
        <w:t xml:space="preserve">(Disponible </w:t>
      </w:r>
      <w:proofErr w:type="spellStart"/>
      <w:r w:rsidRPr="00B751E8">
        <w:rPr>
          <w:rFonts w:ascii="Times New Roman" w:hAnsi="Times New Roman" w:cs="Times New Roman"/>
          <w:i/>
          <w:sz w:val="24"/>
        </w:rPr>
        <w:t>on</w:t>
      </w:r>
      <w:proofErr w:type="spellEnd"/>
      <w:r w:rsidRPr="00B751E8">
        <w:rPr>
          <w:rFonts w:ascii="Times New Roman" w:hAnsi="Times New Roman" w:cs="Times New Roman"/>
          <w:i/>
          <w:sz w:val="24"/>
        </w:rPr>
        <w:t xml:space="preserve"> line:</w:t>
      </w:r>
      <w:r w:rsidR="00BD2D4B">
        <w:rPr>
          <w:rFonts w:ascii="Times New Roman" w:hAnsi="Times New Roman" w:cs="Times New Roman"/>
          <w:i/>
          <w:sz w:val="24"/>
        </w:rPr>
        <w:t xml:space="preserve"> </w:t>
      </w:r>
      <w:hyperlink r:id="rId13" w:history="1">
        <w:r w:rsidRPr="00B751E8">
          <w:rPr>
            <w:rStyle w:val="Hipervnculo"/>
            <w:rFonts w:ascii="Times New Roman" w:hAnsi="Times New Roman" w:cs="Times New Roman"/>
            <w:color w:val="auto"/>
            <w:sz w:val="24"/>
            <w:u w:val="none"/>
          </w:rPr>
          <w:t>http://www.0-aranzadi.aranzadidigital.es</w:t>
        </w:r>
      </w:hyperlink>
      <w:r w:rsidRPr="00B751E8">
        <w:rPr>
          <w:rFonts w:ascii="Times New Roman" w:hAnsi="Times New Roman" w:cs="Times New Roman"/>
          <w:sz w:val="24"/>
        </w:rPr>
        <w:t>).</w:t>
      </w:r>
    </w:p>
    <w:p w:rsidR="00DB01D0" w:rsidRPr="00B751E8" w:rsidRDefault="00DB01D0" w:rsidP="00B751E8">
      <w:pPr>
        <w:pStyle w:val="Prrafodelista"/>
        <w:spacing w:line="360" w:lineRule="auto"/>
        <w:ind w:left="360"/>
        <w:jc w:val="both"/>
        <w:rPr>
          <w:rFonts w:ascii="Times New Roman" w:hAnsi="Times New Roman" w:cs="Times New Roman"/>
          <w:sz w:val="24"/>
        </w:rPr>
      </w:pPr>
    </w:p>
    <w:p w:rsidR="00DB01D0" w:rsidRPr="00B751E8" w:rsidRDefault="005E18F4" w:rsidP="00B751E8">
      <w:pPr>
        <w:pStyle w:val="Prrafodelista"/>
        <w:numPr>
          <w:ilvl w:val="0"/>
          <w:numId w:val="9"/>
        </w:numPr>
        <w:spacing w:line="360" w:lineRule="auto"/>
        <w:jc w:val="both"/>
        <w:rPr>
          <w:rFonts w:ascii="Times New Roman" w:hAnsi="Times New Roman" w:cs="Times New Roman"/>
          <w:sz w:val="24"/>
        </w:rPr>
      </w:pPr>
      <w:r w:rsidRPr="00B751E8">
        <w:rPr>
          <w:rFonts w:ascii="Times New Roman" w:hAnsi="Times New Roman" w:cs="Times New Roman"/>
          <w:sz w:val="24"/>
        </w:rPr>
        <w:lastRenderedPageBreak/>
        <w:t>Pulgar Ezquerra, J</w:t>
      </w:r>
      <w:r w:rsidR="00BB019B" w:rsidRPr="00B751E8">
        <w:rPr>
          <w:rFonts w:ascii="Times New Roman" w:hAnsi="Times New Roman" w:cs="Times New Roman"/>
          <w:sz w:val="24"/>
        </w:rPr>
        <w:t>.</w:t>
      </w:r>
      <w:r w:rsidRPr="00B751E8">
        <w:rPr>
          <w:rFonts w:ascii="Times New Roman" w:hAnsi="Times New Roman" w:cs="Times New Roman"/>
          <w:sz w:val="24"/>
        </w:rPr>
        <w:t xml:space="preserve"> (2011). </w:t>
      </w:r>
      <w:r w:rsidR="00F24B78" w:rsidRPr="00B751E8">
        <w:rPr>
          <w:rFonts w:ascii="Times New Roman" w:hAnsi="Times New Roman" w:cs="Times New Roman"/>
          <w:sz w:val="24"/>
        </w:rPr>
        <w:t>“</w:t>
      </w:r>
      <w:r w:rsidRPr="00B751E8">
        <w:rPr>
          <w:rFonts w:ascii="Times New Roman" w:hAnsi="Times New Roman" w:cs="Times New Roman"/>
          <w:sz w:val="24"/>
        </w:rPr>
        <w:t>Acuerdos de refinanciación y Escudos Protectores» en la reforma de la Ley Concursal española 22/2003</w:t>
      </w:r>
      <w:proofErr w:type="gramStart"/>
      <w:r w:rsidR="00F24B78" w:rsidRPr="00B751E8">
        <w:rPr>
          <w:rFonts w:ascii="Times New Roman" w:hAnsi="Times New Roman" w:cs="Times New Roman"/>
          <w:sz w:val="24"/>
        </w:rPr>
        <w:t>”.</w:t>
      </w:r>
      <w:r w:rsidR="00262F94" w:rsidRPr="00B751E8">
        <w:rPr>
          <w:rFonts w:ascii="Times New Roman" w:hAnsi="Times New Roman" w:cs="Times New Roman"/>
          <w:i/>
          <w:sz w:val="24"/>
        </w:rPr>
        <w:t>(</w:t>
      </w:r>
      <w:proofErr w:type="gramEnd"/>
      <w:r w:rsidR="00262F94" w:rsidRPr="00B751E8">
        <w:rPr>
          <w:rFonts w:ascii="Times New Roman" w:hAnsi="Times New Roman" w:cs="Times New Roman"/>
          <w:i/>
          <w:sz w:val="24"/>
        </w:rPr>
        <w:t xml:space="preserve">Disponible </w:t>
      </w:r>
      <w:proofErr w:type="spellStart"/>
      <w:r w:rsidR="00262F94" w:rsidRPr="00B751E8">
        <w:rPr>
          <w:rFonts w:ascii="Times New Roman" w:hAnsi="Times New Roman" w:cs="Times New Roman"/>
          <w:i/>
          <w:sz w:val="24"/>
        </w:rPr>
        <w:t>on</w:t>
      </w:r>
      <w:proofErr w:type="spellEnd"/>
      <w:r w:rsidR="00262F94" w:rsidRPr="00B751E8">
        <w:rPr>
          <w:rFonts w:ascii="Times New Roman" w:hAnsi="Times New Roman" w:cs="Times New Roman"/>
          <w:i/>
          <w:sz w:val="24"/>
        </w:rPr>
        <w:t xml:space="preserve"> line: </w:t>
      </w:r>
      <w:r w:rsidR="00262F94" w:rsidRPr="00B751E8">
        <w:rPr>
          <w:rFonts w:ascii="Times New Roman" w:hAnsi="Times New Roman" w:cs="Times New Roman"/>
          <w:sz w:val="24"/>
        </w:rPr>
        <w:t>htpp://www.sanperhouse.com</w:t>
      </w:r>
      <w:r w:rsidR="00C95424" w:rsidRPr="00B751E8">
        <w:rPr>
          <w:rFonts w:ascii="Times New Roman" w:hAnsi="Times New Roman" w:cs="Times New Roman"/>
          <w:sz w:val="24"/>
        </w:rPr>
        <w:t>).</w:t>
      </w:r>
    </w:p>
    <w:p w:rsidR="00DB01D0" w:rsidRPr="00B751E8" w:rsidRDefault="00DB01D0" w:rsidP="00B751E8">
      <w:pPr>
        <w:pStyle w:val="Prrafodelista"/>
        <w:spacing w:line="360" w:lineRule="auto"/>
        <w:ind w:left="360"/>
        <w:jc w:val="both"/>
        <w:rPr>
          <w:rFonts w:ascii="Times New Roman" w:hAnsi="Times New Roman" w:cs="Times New Roman"/>
          <w:sz w:val="24"/>
        </w:rPr>
      </w:pPr>
    </w:p>
    <w:p w:rsidR="00DB01D0" w:rsidRPr="00B751E8" w:rsidRDefault="00DB01D0" w:rsidP="00B751E8">
      <w:pPr>
        <w:pStyle w:val="Prrafodelista"/>
        <w:numPr>
          <w:ilvl w:val="0"/>
          <w:numId w:val="9"/>
        </w:numPr>
        <w:spacing w:line="360" w:lineRule="auto"/>
        <w:jc w:val="both"/>
        <w:rPr>
          <w:rFonts w:ascii="Times New Roman" w:hAnsi="Times New Roman" w:cs="Times New Roman"/>
          <w:sz w:val="24"/>
        </w:rPr>
      </w:pPr>
      <w:r w:rsidRPr="00B751E8">
        <w:rPr>
          <w:rFonts w:ascii="Times New Roman" w:hAnsi="Times New Roman" w:cs="Times New Roman"/>
          <w:sz w:val="24"/>
        </w:rPr>
        <w:t>Pulgar Ezquerra, J. (2011) “</w:t>
      </w:r>
      <w:proofErr w:type="spellStart"/>
      <w:r w:rsidRPr="00B751E8">
        <w:rPr>
          <w:rFonts w:ascii="Times New Roman" w:hAnsi="Times New Roman" w:cs="Times New Roman"/>
          <w:sz w:val="24"/>
        </w:rPr>
        <w:t>Preconcursalidad</w:t>
      </w:r>
      <w:proofErr w:type="spellEnd"/>
      <w:r w:rsidRPr="00B751E8">
        <w:rPr>
          <w:rFonts w:ascii="Times New Roman" w:hAnsi="Times New Roman" w:cs="Times New Roman"/>
          <w:sz w:val="24"/>
        </w:rPr>
        <w:t xml:space="preserve"> y acuerdos de refinanciación”. En PULGAR </w:t>
      </w:r>
      <w:proofErr w:type="gramStart"/>
      <w:r w:rsidRPr="00B751E8">
        <w:rPr>
          <w:rFonts w:ascii="Times New Roman" w:hAnsi="Times New Roman" w:cs="Times New Roman"/>
          <w:sz w:val="24"/>
        </w:rPr>
        <w:t>EZQUERRA,J</w:t>
      </w:r>
      <w:proofErr w:type="gramEnd"/>
      <w:r w:rsidRPr="00B751E8">
        <w:rPr>
          <w:rFonts w:ascii="Times New Roman" w:hAnsi="Times New Roman" w:cs="Times New Roman"/>
          <w:sz w:val="24"/>
        </w:rPr>
        <w:t>(directora)VVAA. El concurso de acreedores. Editorial: La Ley. Edición 1ª</w:t>
      </w:r>
    </w:p>
    <w:p w:rsidR="00DB01D0" w:rsidRPr="00B751E8" w:rsidRDefault="00DB01D0" w:rsidP="00B751E8">
      <w:pPr>
        <w:pStyle w:val="Prrafodelista"/>
        <w:spacing w:line="360" w:lineRule="auto"/>
        <w:ind w:left="360"/>
        <w:jc w:val="both"/>
        <w:rPr>
          <w:rFonts w:ascii="Times New Roman" w:hAnsi="Times New Roman" w:cs="Times New Roman"/>
          <w:sz w:val="24"/>
        </w:rPr>
      </w:pPr>
    </w:p>
    <w:p w:rsidR="00DB01D0" w:rsidRPr="00B751E8" w:rsidRDefault="00DB01D0" w:rsidP="00B751E8">
      <w:pPr>
        <w:pStyle w:val="Prrafodelista"/>
        <w:numPr>
          <w:ilvl w:val="0"/>
          <w:numId w:val="9"/>
        </w:numPr>
        <w:spacing w:line="360" w:lineRule="auto"/>
        <w:jc w:val="both"/>
        <w:rPr>
          <w:rFonts w:ascii="Times New Roman" w:hAnsi="Times New Roman" w:cs="Times New Roman"/>
          <w:sz w:val="24"/>
        </w:rPr>
      </w:pPr>
      <w:r w:rsidRPr="00B751E8">
        <w:rPr>
          <w:rFonts w:ascii="Times New Roman" w:hAnsi="Times New Roman" w:cs="Times New Roman"/>
          <w:sz w:val="24"/>
        </w:rPr>
        <w:t xml:space="preserve">Sánchez Calero, J. (2010). “Refinanciación y reintegración concursal”. Anuario de Derecho Concursal nº 20/2010 [BIB 2010, 198]). Editorial </w:t>
      </w:r>
      <w:proofErr w:type="spellStart"/>
      <w:r w:rsidRPr="00B751E8">
        <w:rPr>
          <w:rFonts w:ascii="Times New Roman" w:hAnsi="Times New Roman" w:cs="Times New Roman"/>
          <w:sz w:val="24"/>
        </w:rPr>
        <w:t>Civitas</w:t>
      </w:r>
      <w:proofErr w:type="spellEnd"/>
      <w:r w:rsidRPr="00B751E8">
        <w:rPr>
          <w:rFonts w:ascii="Times New Roman" w:hAnsi="Times New Roman" w:cs="Times New Roman"/>
          <w:sz w:val="24"/>
        </w:rPr>
        <w:t xml:space="preserve">, SA, Pamplona. </w:t>
      </w:r>
      <w:r w:rsidRPr="00B751E8">
        <w:rPr>
          <w:rFonts w:ascii="Times New Roman" w:hAnsi="Times New Roman" w:cs="Times New Roman"/>
          <w:i/>
          <w:sz w:val="24"/>
        </w:rPr>
        <w:t xml:space="preserve">(Disponible </w:t>
      </w:r>
      <w:proofErr w:type="spellStart"/>
      <w:r w:rsidRPr="00B751E8">
        <w:rPr>
          <w:rFonts w:ascii="Times New Roman" w:hAnsi="Times New Roman" w:cs="Times New Roman"/>
          <w:i/>
          <w:sz w:val="24"/>
        </w:rPr>
        <w:t>on</w:t>
      </w:r>
      <w:proofErr w:type="spellEnd"/>
      <w:r w:rsidRPr="00B751E8">
        <w:rPr>
          <w:rFonts w:ascii="Times New Roman" w:hAnsi="Times New Roman" w:cs="Times New Roman"/>
          <w:i/>
          <w:sz w:val="24"/>
        </w:rPr>
        <w:t xml:space="preserve"> line:</w:t>
      </w:r>
      <w:r w:rsidR="00BD2D4B">
        <w:rPr>
          <w:rFonts w:ascii="Times New Roman" w:hAnsi="Times New Roman" w:cs="Times New Roman"/>
          <w:i/>
          <w:sz w:val="24"/>
        </w:rPr>
        <w:t xml:space="preserve"> </w:t>
      </w:r>
      <w:hyperlink r:id="rId14" w:history="1">
        <w:r w:rsidRPr="00B751E8">
          <w:rPr>
            <w:rStyle w:val="Hipervnculo"/>
            <w:rFonts w:ascii="Times New Roman" w:hAnsi="Times New Roman" w:cs="Times New Roman"/>
            <w:color w:val="auto"/>
            <w:sz w:val="24"/>
            <w:u w:val="none"/>
          </w:rPr>
          <w:t>http://www.0-aranzadi.aranzadidigital.es</w:t>
        </w:r>
        <w:r w:rsidRPr="00B751E8">
          <w:rPr>
            <w:rStyle w:val="Hipervnculo"/>
            <w:rFonts w:ascii="Times New Roman" w:hAnsi="Times New Roman" w:cs="Times New Roman"/>
            <w:sz w:val="24"/>
          </w:rPr>
          <w:t>)</w:t>
        </w:r>
      </w:hyperlink>
      <w:r w:rsidRPr="00B751E8">
        <w:rPr>
          <w:rFonts w:ascii="Times New Roman" w:hAnsi="Times New Roman" w:cs="Times New Roman"/>
          <w:sz w:val="24"/>
        </w:rPr>
        <w:t>.</w:t>
      </w:r>
    </w:p>
    <w:p w:rsidR="00DB01D0" w:rsidRPr="00B751E8" w:rsidRDefault="00DB01D0" w:rsidP="00B751E8">
      <w:pPr>
        <w:pStyle w:val="Prrafodelista"/>
        <w:spacing w:line="360" w:lineRule="auto"/>
        <w:ind w:left="360"/>
        <w:jc w:val="both"/>
        <w:rPr>
          <w:rFonts w:ascii="Times New Roman" w:hAnsi="Times New Roman" w:cs="Times New Roman"/>
          <w:sz w:val="24"/>
        </w:rPr>
      </w:pPr>
    </w:p>
    <w:p w:rsidR="00DB01D0" w:rsidRPr="00B751E8" w:rsidRDefault="00DB01D0" w:rsidP="00B751E8">
      <w:pPr>
        <w:pStyle w:val="Prrafodelista"/>
        <w:numPr>
          <w:ilvl w:val="0"/>
          <w:numId w:val="9"/>
        </w:numPr>
        <w:spacing w:line="360" w:lineRule="auto"/>
        <w:jc w:val="both"/>
        <w:rPr>
          <w:rFonts w:ascii="Times New Roman" w:hAnsi="Times New Roman" w:cs="Times New Roman"/>
          <w:sz w:val="24"/>
        </w:rPr>
      </w:pPr>
      <w:proofErr w:type="spellStart"/>
      <w:r w:rsidRPr="00B751E8">
        <w:rPr>
          <w:rFonts w:ascii="Times New Roman" w:hAnsi="Times New Roman" w:cs="Times New Roman"/>
          <w:sz w:val="24"/>
        </w:rPr>
        <w:t>Senés</w:t>
      </w:r>
      <w:proofErr w:type="spellEnd"/>
      <w:r w:rsidRPr="00B751E8">
        <w:rPr>
          <w:rFonts w:ascii="Times New Roman" w:hAnsi="Times New Roman" w:cs="Times New Roman"/>
          <w:sz w:val="24"/>
        </w:rPr>
        <w:t xml:space="preserve">, C. (2013). “La homologación de los acuerdos de refinanciación”. Anuario de Derecho Concursal </w:t>
      </w:r>
      <w:proofErr w:type="spellStart"/>
      <w:r w:rsidRPr="00B751E8">
        <w:rPr>
          <w:rFonts w:ascii="Times New Roman" w:hAnsi="Times New Roman" w:cs="Times New Roman"/>
          <w:sz w:val="24"/>
        </w:rPr>
        <w:t>num</w:t>
      </w:r>
      <w:proofErr w:type="spellEnd"/>
      <w:r w:rsidRPr="00B751E8">
        <w:rPr>
          <w:rFonts w:ascii="Times New Roman" w:hAnsi="Times New Roman" w:cs="Times New Roman"/>
          <w:sz w:val="24"/>
        </w:rPr>
        <w:t xml:space="preserve">. 30/2013. Editorial </w:t>
      </w:r>
      <w:proofErr w:type="spellStart"/>
      <w:r w:rsidRPr="00B751E8">
        <w:rPr>
          <w:rFonts w:ascii="Times New Roman" w:hAnsi="Times New Roman" w:cs="Times New Roman"/>
          <w:sz w:val="24"/>
        </w:rPr>
        <w:t>Civitas</w:t>
      </w:r>
      <w:proofErr w:type="spellEnd"/>
      <w:r w:rsidRPr="00B751E8">
        <w:rPr>
          <w:rFonts w:ascii="Times New Roman" w:hAnsi="Times New Roman" w:cs="Times New Roman"/>
          <w:sz w:val="24"/>
        </w:rPr>
        <w:t xml:space="preserve">, SA, Pamplona. </w:t>
      </w:r>
      <w:r w:rsidRPr="00B751E8">
        <w:rPr>
          <w:rFonts w:ascii="Times New Roman" w:hAnsi="Times New Roman" w:cs="Times New Roman"/>
          <w:i/>
          <w:sz w:val="24"/>
        </w:rPr>
        <w:t xml:space="preserve">(Disponible </w:t>
      </w:r>
      <w:proofErr w:type="spellStart"/>
      <w:r w:rsidRPr="00B751E8">
        <w:rPr>
          <w:rFonts w:ascii="Times New Roman" w:hAnsi="Times New Roman" w:cs="Times New Roman"/>
          <w:i/>
          <w:sz w:val="24"/>
        </w:rPr>
        <w:t>on</w:t>
      </w:r>
      <w:proofErr w:type="spellEnd"/>
      <w:r w:rsidRPr="00B751E8">
        <w:rPr>
          <w:rFonts w:ascii="Times New Roman" w:hAnsi="Times New Roman" w:cs="Times New Roman"/>
          <w:i/>
          <w:sz w:val="24"/>
        </w:rPr>
        <w:t xml:space="preserve"> line:</w:t>
      </w:r>
      <w:r w:rsidR="00BD2D4B">
        <w:rPr>
          <w:rFonts w:ascii="Times New Roman" w:hAnsi="Times New Roman" w:cs="Times New Roman"/>
          <w:i/>
          <w:sz w:val="24"/>
        </w:rPr>
        <w:t xml:space="preserve"> </w:t>
      </w:r>
      <w:hyperlink r:id="rId15" w:history="1">
        <w:r w:rsidRPr="00B751E8">
          <w:rPr>
            <w:rStyle w:val="Hipervnculo"/>
            <w:rFonts w:ascii="Times New Roman" w:hAnsi="Times New Roman" w:cs="Times New Roman"/>
            <w:color w:val="auto"/>
            <w:sz w:val="24"/>
            <w:u w:val="none"/>
          </w:rPr>
          <w:t>http://www.0-aranzadi.aranzadidigital.es</w:t>
        </w:r>
      </w:hyperlink>
      <w:r w:rsidRPr="00B751E8">
        <w:rPr>
          <w:rFonts w:ascii="Times New Roman" w:hAnsi="Times New Roman" w:cs="Times New Roman"/>
          <w:sz w:val="24"/>
        </w:rPr>
        <w:t>).</w:t>
      </w:r>
    </w:p>
    <w:p w:rsidR="00DB01D0" w:rsidRPr="00B751E8" w:rsidRDefault="00DB01D0" w:rsidP="00B751E8">
      <w:pPr>
        <w:pStyle w:val="Prrafodelista"/>
        <w:spacing w:line="360" w:lineRule="auto"/>
        <w:ind w:left="360"/>
        <w:jc w:val="both"/>
        <w:rPr>
          <w:rFonts w:ascii="Times New Roman" w:hAnsi="Times New Roman" w:cs="Times New Roman"/>
          <w:sz w:val="24"/>
        </w:rPr>
      </w:pPr>
    </w:p>
    <w:p w:rsidR="00392435" w:rsidRPr="00B751E8" w:rsidRDefault="00F70EE1" w:rsidP="00B751E8">
      <w:pPr>
        <w:pStyle w:val="Prrafodelista"/>
        <w:numPr>
          <w:ilvl w:val="0"/>
          <w:numId w:val="9"/>
        </w:numPr>
        <w:spacing w:line="360" w:lineRule="auto"/>
        <w:jc w:val="both"/>
        <w:rPr>
          <w:rFonts w:ascii="Times New Roman" w:hAnsi="Times New Roman" w:cs="Times New Roman"/>
          <w:sz w:val="24"/>
        </w:rPr>
      </w:pPr>
      <w:proofErr w:type="spellStart"/>
      <w:r w:rsidRPr="00B751E8">
        <w:rPr>
          <w:rFonts w:ascii="Times New Roman" w:hAnsi="Times New Roman" w:cs="Times New Roman"/>
          <w:sz w:val="24"/>
        </w:rPr>
        <w:t>Sospedra</w:t>
      </w:r>
      <w:proofErr w:type="spellEnd"/>
      <w:r w:rsidRPr="00B751E8">
        <w:rPr>
          <w:rFonts w:ascii="Times New Roman" w:hAnsi="Times New Roman" w:cs="Times New Roman"/>
          <w:sz w:val="24"/>
        </w:rPr>
        <w:t xml:space="preserve"> Navas, F.J</w:t>
      </w:r>
      <w:r w:rsidR="00BB019B" w:rsidRPr="00B751E8">
        <w:rPr>
          <w:rFonts w:ascii="Times New Roman" w:hAnsi="Times New Roman" w:cs="Times New Roman"/>
          <w:sz w:val="24"/>
        </w:rPr>
        <w:t>.</w:t>
      </w:r>
      <w:r w:rsidRPr="00B751E8">
        <w:rPr>
          <w:rFonts w:ascii="Times New Roman" w:hAnsi="Times New Roman" w:cs="Times New Roman"/>
          <w:sz w:val="24"/>
        </w:rPr>
        <w:t xml:space="preserve"> (2014</w:t>
      </w:r>
      <w:proofErr w:type="gramStart"/>
      <w:r w:rsidRPr="00B751E8">
        <w:rPr>
          <w:rFonts w:ascii="Times New Roman" w:hAnsi="Times New Roman" w:cs="Times New Roman"/>
          <w:sz w:val="24"/>
        </w:rPr>
        <w:t>).“</w:t>
      </w:r>
      <w:proofErr w:type="gramEnd"/>
      <w:r w:rsidRPr="00B751E8">
        <w:rPr>
          <w:rFonts w:ascii="Times New Roman" w:hAnsi="Times New Roman" w:cs="Times New Roman"/>
          <w:sz w:val="24"/>
        </w:rPr>
        <w:t xml:space="preserve">Instituciones </w:t>
      </w:r>
      <w:proofErr w:type="spellStart"/>
      <w:r w:rsidRPr="00B751E8">
        <w:rPr>
          <w:rFonts w:ascii="Times New Roman" w:hAnsi="Times New Roman" w:cs="Times New Roman"/>
          <w:sz w:val="24"/>
        </w:rPr>
        <w:t>preconcursales</w:t>
      </w:r>
      <w:proofErr w:type="spellEnd"/>
      <w:r w:rsidRPr="00B751E8">
        <w:rPr>
          <w:rFonts w:ascii="Times New Roman" w:hAnsi="Times New Roman" w:cs="Times New Roman"/>
          <w:sz w:val="24"/>
        </w:rPr>
        <w:t xml:space="preserve">. Los acuerdos de refinanciación”. Proceso concursal. Comentarios, jurisprudencia, esquemas y </w:t>
      </w:r>
      <w:proofErr w:type="spellStart"/>
      <w:r w:rsidRPr="00B751E8">
        <w:rPr>
          <w:rFonts w:ascii="Times New Roman" w:hAnsi="Times New Roman" w:cs="Times New Roman"/>
          <w:sz w:val="24"/>
        </w:rPr>
        <w:t>formularios.Editorial</w:t>
      </w:r>
      <w:proofErr w:type="spellEnd"/>
      <w:r w:rsidRPr="00B751E8">
        <w:rPr>
          <w:rFonts w:ascii="Times New Roman" w:hAnsi="Times New Roman" w:cs="Times New Roman"/>
          <w:sz w:val="24"/>
        </w:rPr>
        <w:t xml:space="preserve">: Thomson Reuters, </w:t>
      </w:r>
      <w:proofErr w:type="spellStart"/>
      <w:r w:rsidRPr="00B751E8">
        <w:rPr>
          <w:rFonts w:ascii="Times New Roman" w:hAnsi="Times New Roman" w:cs="Times New Roman"/>
          <w:sz w:val="24"/>
        </w:rPr>
        <w:t>Civitas</w:t>
      </w:r>
      <w:proofErr w:type="spellEnd"/>
      <w:r w:rsidRPr="00B751E8">
        <w:rPr>
          <w:rFonts w:ascii="Times New Roman" w:hAnsi="Times New Roman" w:cs="Times New Roman"/>
          <w:sz w:val="24"/>
        </w:rPr>
        <w:t xml:space="preserve">. Edición 3ª,2014. </w:t>
      </w:r>
    </w:p>
    <w:p w:rsidR="00862D92" w:rsidRPr="00B751E8" w:rsidRDefault="00862D92" w:rsidP="00B751E8">
      <w:pPr>
        <w:pStyle w:val="Prrafodelista"/>
        <w:spacing w:line="360" w:lineRule="auto"/>
        <w:ind w:left="360"/>
        <w:jc w:val="both"/>
        <w:rPr>
          <w:rFonts w:ascii="Times New Roman" w:hAnsi="Times New Roman" w:cs="Times New Roman"/>
          <w:sz w:val="24"/>
        </w:rPr>
      </w:pPr>
    </w:p>
    <w:p w:rsidR="00BB019B" w:rsidRPr="00B751E8" w:rsidRDefault="00911245" w:rsidP="00B751E8">
      <w:pPr>
        <w:pStyle w:val="Prrafodelista"/>
        <w:numPr>
          <w:ilvl w:val="0"/>
          <w:numId w:val="9"/>
        </w:numPr>
        <w:spacing w:line="360" w:lineRule="auto"/>
        <w:jc w:val="both"/>
        <w:rPr>
          <w:rFonts w:ascii="Times New Roman" w:hAnsi="Times New Roman" w:cs="Times New Roman"/>
          <w:sz w:val="24"/>
        </w:rPr>
      </w:pPr>
      <w:r w:rsidRPr="00B751E8">
        <w:rPr>
          <w:rFonts w:ascii="Times New Roman" w:hAnsi="Times New Roman" w:cs="Times New Roman"/>
          <w:sz w:val="24"/>
        </w:rPr>
        <w:t>Valencia, F</w:t>
      </w:r>
      <w:r w:rsidR="00BB019B" w:rsidRPr="00B751E8">
        <w:rPr>
          <w:rFonts w:ascii="Times New Roman" w:hAnsi="Times New Roman" w:cs="Times New Roman"/>
          <w:sz w:val="24"/>
        </w:rPr>
        <w:t>.</w:t>
      </w:r>
      <w:r w:rsidRPr="00B751E8">
        <w:rPr>
          <w:rFonts w:ascii="Times New Roman" w:hAnsi="Times New Roman" w:cs="Times New Roman"/>
          <w:sz w:val="24"/>
        </w:rPr>
        <w:t xml:space="preserve"> (2014). “La tipología de los acuerdos de refinanciación”, </w:t>
      </w:r>
      <w:proofErr w:type="spellStart"/>
      <w:r w:rsidRPr="00B751E8">
        <w:rPr>
          <w:rFonts w:ascii="Times New Roman" w:hAnsi="Times New Roman" w:cs="Times New Roman"/>
          <w:sz w:val="24"/>
        </w:rPr>
        <w:t>ADCon</w:t>
      </w:r>
      <w:proofErr w:type="spellEnd"/>
      <w:r w:rsidRPr="00B751E8">
        <w:rPr>
          <w:rFonts w:ascii="Times New Roman" w:hAnsi="Times New Roman" w:cs="Times New Roman"/>
          <w:sz w:val="24"/>
        </w:rPr>
        <w:t>, núm. 33</w:t>
      </w:r>
      <w:r w:rsidR="00662168" w:rsidRPr="00B751E8">
        <w:rPr>
          <w:rFonts w:ascii="Times New Roman" w:hAnsi="Times New Roman" w:cs="Times New Roman"/>
          <w:sz w:val="24"/>
        </w:rPr>
        <w:t>.</w:t>
      </w:r>
    </w:p>
    <w:p w:rsidR="00A62E76" w:rsidRPr="00B751E8" w:rsidRDefault="00A62E76" w:rsidP="00B751E8">
      <w:pPr>
        <w:pStyle w:val="Textonotapie"/>
        <w:jc w:val="both"/>
        <w:rPr>
          <w:rFonts w:ascii="Times New Roman" w:hAnsi="Times New Roman" w:cs="Times New Roman"/>
          <w:sz w:val="24"/>
        </w:rPr>
      </w:pPr>
    </w:p>
    <w:p w:rsidR="00A62E76" w:rsidRPr="00B751E8" w:rsidRDefault="00A62E76" w:rsidP="00B751E8">
      <w:pPr>
        <w:pStyle w:val="Textonotapie"/>
        <w:jc w:val="both"/>
        <w:rPr>
          <w:rFonts w:ascii="Times New Roman" w:hAnsi="Times New Roman" w:cs="Times New Roman"/>
          <w:b/>
          <w:i/>
          <w:sz w:val="24"/>
          <w:u w:val="single"/>
        </w:rPr>
      </w:pPr>
      <w:r w:rsidRPr="00B751E8">
        <w:rPr>
          <w:rFonts w:ascii="Times New Roman" w:hAnsi="Times New Roman" w:cs="Times New Roman"/>
          <w:b/>
          <w:i/>
          <w:sz w:val="24"/>
          <w:u w:val="single"/>
        </w:rPr>
        <w:t>Referencias legislativas:</w:t>
      </w:r>
    </w:p>
    <w:p w:rsidR="0012048B" w:rsidRPr="00B751E8" w:rsidRDefault="0012048B" w:rsidP="00B751E8">
      <w:pPr>
        <w:pStyle w:val="Textonotapie"/>
        <w:jc w:val="both"/>
        <w:rPr>
          <w:rFonts w:ascii="Times New Roman" w:hAnsi="Times New Roman" w:cs="Times New Roman"/>
          <w:b/>
          <w:i/>
          <w:sz w:val="24"/>
          <w:u w:val="single"/>
        </w:rPr>
      </w:pPr>
    </w:p>
    <w:p w:rsidR="004945BE" w:rsidRPr="00B751E8" w:rsidRDefault="004945BE" w:rsidP="00B751E8">
      <w:pPr>
        <w:pStyle w:val="Textonotapie"/>
        <w:jc w:val="both"/>
        <w:rPr>
          <w:rFonts w:ascii="Times New Roman" w:hAnsi="Times New Roman" w:cs="Times New Roman"/>
          <w:b/>
          <w:i/>
          <w:sz w:val="24"/>
          <w:u w:val="single"/>
        </w:rPr>
      </w:pPr>
    </w:p>
    <w:p w:rsidR="004945BE" w:rsidRPr="00B751E8" w:rsidRDefault="004945BE" w:rsidP="00B751E8">
      <w:pPr>
        <w:pStyle w:val="Textonotapie"/>
        <w:numPr>
          <w:ilvl w:val="0"/>
          <w:numId w:val="11"/>
        </w:numPr>
        <w:spacing w:line="360" w:lineRule="auto"/>
        <w:jc w:val="both"/>
        <w:rPr>
          <w:rFonts w:ascii="Times New Roman" w:hAnsi="Times New Roman" w:cs="Times New Roman"/>
          <w:b/>
          <w:i/>
          <w:sz w:val="24"/>
          <w:u w:val="single"/>
        </w:rPr>
      </w:pPr>
      <w:r w:rsidRPr="00B751E8">
        <w:rPr>
          <w:rFonts w:ascii="Times New Roman" w:hAnsi="Times New Roman" w:cs="Times New Roman"/>
          <w:sz w:val="24"/>
        </w:rPr>
        <w:t>Ley 22/2003, de 9 de julio, Concursal.</w:t>
      </w:r>
    </w:p>
    <w:p w:rsidR="00A62E76" w:rsidRPr="00B751E8" w:rsidRDefault="00A62E76" w:rsidP="00B751E8">
      <w:pPr>
        <w:pStyle w:val="Textonotapie"/>
        <w:spacing w:line="360" w:lineRule="auto"/>
        <w:jc w:val="both"/>
        <w:rPr>
          <w:rFonts w:ascii="Times New Roman" w:hAnsi="Times New Roman" w:cs="Times New Roman"/>
          <w:b/>
          <w:sz w:val="24"/>
          <w:u w:val="single"/>
        </w:rPr>
      </w:pPr>
    </w:p>
    <w:p w:rsidR="0012048B" w:rsidRPr="00B751E8" w:rsidRDefault="0012048B" w:rsidP="00B751E8">
      <w:pPr>
        <w:pStyle w:val="Textonotapie"/>
        <w:numPr>
          <w:ilvl w:val="0"/>
          <w:numId w:val="10"/>
        </w:numPr>
        <w:spacing w:line="360" w:lineRule="auto"/>
        <w:jc w:val="both"/>
        <w:rPr>
          <w:rFonts w:ascii="Times New Roman" w:hAnsi="Times New Roman" w:cs="Times New Roman"/>
          <w:sz w:val="24"/>
        </w:rPr>
      </w:pPr>
      <w:r w:rsidRPr="00B751E8">
        <w:rPr>
          <w:rFonts w:ascii="Times New Roman" w:hAnsi="Times New Roman" w:cs="Times New Roman"/>
          <w:sz w:val="24"/>
        </w:rPr>
        <w:t>RD Ley 3/2009, de 27 de marzo, de medidas urgentes en materia tributaria, financiera y concursal ante la evolución de la situación económica.</w:t>
      </w:r>
    </w:p>
    <w:p w:rsidR="00392435" w:rsidRPr="00B751E8" w:rsidRDefault="00392435" w:rsidP="00B751E8">
      <w:pPr>
        <w:pStyle w:val="Textonotapie"/>
        <w:spacing w:line="360" w:lineRule="auto"/>
        <w:ind w:left="360"/>
        <w:jc w:val="both"/>
        <w:rPr>
          <w:rFonts w:ascii="Times New Roman" w:hAnsi="Times New Roman" w:cs="Times New Roman"/>
          <w:sz w:val="24"/>
        </w:rPr>
      </w:pPr>
    </w:p>
    <w:p w:rsidR="0012048B" w:rsidRPr="00B751E8" w:rsidRDefault="0012048B" w:rsidP="00B751E8">
      <w:pPr>
        <w:pStyle w:val="Textonotapie"/>
        <w:numPr>
          <w:ilvl w:val="0"/>
          <w:numId w:val="10"/>
        </w:numPr>
        <w:spacing w:line="360" w:lineRule="auto"/>
        <w:jc w:val="both"/>
        <w:rPr>
          <w:rFonts w:ascii="Times New Roman" w:hAnsi="Times New Roman" w:cs="Times New Roman"/>
          <w:sz w:val="24"/>
        </w:rPr>
      </w:pPr>
      <w:r w:rsidRPr="00B751E8">
        <w:rPr>
          <w:rFonts w:ascii="Times New Roman" w:hAnsi="Times New Roman" w:cs="Times New Roman"/>
          <w:sz w:val="24"/>
        </w:rPr>
        <w:t>RD Ley 38/2011, de 10 de octubre, de reforma de la Ley 22/2003, de 9 de Julio, Concursal.</w:t>
      </w:r>
    </w:p>
    <w:p w:rsidR="00392435" w:rsidRPr="00B751E8" w:rsidRDefault="00392435" w:rsidP="00B751E8">
      <w:pPr>
        <w:pStyle w:val="Textonotapie"/>
        <w:spacing w:line="360" w:lineRule="auto"/>
        <w:jc w:val="both"/>
        <w:rPr>
          <w:rFonts w:ascii="Times New Roman" w:hAnsi="Times New Roman" w:cs="Times New Roman"/>
          <w:sz w:val="24"/>
        </w:rPr>
      </w:pPr>
    </w:p>
    <w:p w:rsidR="0012048B" w:rsidRPr="00B751E8" w:rsidRDefault="0012048B" w:rsidP="00B751E8">
      <w:pPr>
        <w:pStyle w:val="Textonotapie"/>
        <w:numPr>
          <w:ilvl w:val="0"/>
          <w:numId w:val="10"/>
        </w:numPr>
        <w:spacing w:line="360" w:lineRule="auto"/>
        <w:jc w:val="both"/>
        <w:rPr>
          <w:rFonts w:ascii="Times New Roman" w:hAnsi="Times New Roman" w:cs="Times New Roman"/>
          <w:sz w:val="24"/>
        </w:rPr>
      </w:pPr>
      <w:r w:rsidRPr="00B751E8">
        <w:rPr>
          <w:rFonts w:ascii="Times New Roman" w:hAnsi="Times New Roman" w:cs="Times New Roman"/>
          <w:sz w:val="24"/>
        </w:rPr>
        <w:lastRenderedPageBreak/>
        <w:t>Ley 14/2013, de 27 de septiembre, de apoyo a los emprendedores y su internacionalización</w:t>
      </w:r>
      <w:r w:rsidR="004945BE" w:rsidRPr="00B751E8">
        <w:rPr>
          <w:rFonts w:ascii="Times New Roman" w:hAnsi="Times New Roman" w:cs="Times New Roman"/>
          <w:sz w:val="24"/>
        </w:rPr>
        <w:t>.</w:t>
      </w:r>
    </w:p>
    <w:p w:rsidR="00862D92" w:rsidRPr="00B751E8" w:rsidRDefault="00862D92" w:rsidP="00B751E8">
      <w:pPr>
        <w:pStyle w:val="Prrafodelista"/>
        <w:spacing w:line="360" w:lineRule="auto"/>
        <w:ind w:left="360"/>
        <w:jc w:val="both"/>
        <w:rPr>
          <w:rFonts w:ascii="Times New Roman" w:hAnsi="Times New Roman" w:cs="Times New Roman"/>
          <w:sz w:val="24"/>
        </w:rPr>
      </w:pPr>
    </w:p>
    <w:p w:rsidR="004945BE" w:rsidRPr="00B751E8" w:rsidRDefault="00662168" w:rsidP="00B751E8">
      <w:pPr>
        <w:pStyle w:val="Prrafodelista"/>
        <w:numPr>
          <w:ilvl w:val="0"/>
          <w:numId w:val="10"/>
        </w:numPr>
        <w:spacing w:line="360" w:lineRule="auto"/>
        <w:jc w:val="both"/>
        <w:rPr>
          <w:rFonts w:ascii="Times New Roman" w:hAnsi="Times New Roman" w:cs="Times New Roman"/>
          <w:sz w:val="24"/>
        </w:rPr>
      </w:pPr>
      <w:r w:rsidRPr="00B751E8">
        <w:rPr>
          <w:rFonts w:ascii="Times New Roman" w:hAnsi="Times New Roman" w:cs="Times New Roman"/>
          <w:sz w:val="24"/>
        </w:rPr>
        <w:t>RD Ley 4/2014, de 7 de marzo, por el que se adoptan medidas urgentes en materia de refinanciación y reestructuración de deuda empresarial.</w:t>
      </w:r>
    </w:p>
    <w:p w:rsidR="00662168" w:rsidRPr="00B751E8" w:rsidRDefault="00662168" w:rsidP="00B751E8">
      <w:pPr>
        <w:pStyle w:val="Prrafodelista"/>
        <w:spacing w:line="360" w:lineRule="auto"/>
        <w:jc w:val="both"/>
        <w:rPr>
          <w:rFonts w:ascii="Times New Roman" w:hAnsi="Times New Roman" w:cs="Times New Roman"/>
          <w:sz w:val="24"/>
        </w:rPr>
      </w:pPr>
    </w:p>
    <w:p w:rsidR="00B751E8" w:rsidRPr="00B751E8" w:rsidRDefault="00662168" w:rsidP="00B751E8">
      <w:pPr>
        <w:pStyle w:val="Prrafodelista"/>
        <w:numPr>
          <w:ilvl w:val="0"/>
          <w:numId w:val="10"/>
        </w:numPr>
        <w:spacing w:line="360" w:lineRule="auto"/>
        <w:jc w:val="both"/>
        <w:rPr>
          <w:rFonts w:ascii="Times New Roman" w:hAnsi="Times New Roman" w:cs="Times New Roman"/>
          <w:sz w:val="24"/>
        </w:rPr>
      </w:pPr>
      <w:r w:rsidRPr="00B751E8">
        <w:rPr>
          <w:rFonts w:ascii="Times New Roman" w:hAnsi="Times New Roman" w:cs="Times New Roman"/>
          <w:sz w:val="24"/>
        </w:rPr>
        <w:t>Ley 17/2014, de30 de septiembre, por la que se adoptan medidas urgentes en materia de refinanciación y reestructuración de deuda empresarial.</w:t>
      </w:r>
    </w:p>
    <w:p w:rsidR="00B751E8" w:rsidRPr="00B751E8" w:rsidRDefault="00B751E8" w:rsidP="00B751E8">
      <w:pPr>
        <w:pStyle w:val="Prrafodelista"/>
        <w:spacing w:line="360" w:lineRule="auto"/>
        <w:ind w:left="360"/>
        <w:jc w:val="both"/>
        <w:rPr>
          <w:rFonts w:ascii="Times New Roman" w:hAnsi="Times New Roman" w:cs="Times New Roman"/>
          <w:sz w:val="24"/>
        </w:rPr>
      </w:pPr>
    </w:p>
    <w:p w:rsidR="00392435" w:rsidRPr="00B751E8" w:rsidRDefault="00662168" w:rsidP="00B751E8">
      <w:pPr>
        <w:pStyle w:val="Prrafodelista"/>
        <w:numPr>
          <w:ilvl w:val="0"/>
          <w:numId w:val="10"/>
        </w:numPr>
        <w:spacing w:line="360" w:lineRule="auto"/>
        <w:jc w:val="both"/>
        <w:rPr>
          <w:rFonts w:ascii="Times New Roman" w:hAnsi="Times New Roman" w:cs="Times New Roman"/>
          <w:sz w:val="24"/>
        </w:rPr>
      </w:pPr>
      <w:r w:rsidRPr="00B751E8">
        <w:rPr>
          <w:rFonts w:ascii="Times New Roman" w:hAnsi="Times New Roman" w:cs="Times New Roman"/>
          <w:sz w:val="24"/>
        </w:rPr>
        <w:t xml:space="preserve"> Ley 9/2015, de 25 de mayo, de medidas urgentes en materia concursal.</w:t>
      </w:r>
    </w:p>
    <w:p w:rsidR="00392435" w:rsidRPr="00B751E8" w:rsidRDefault="00392435" w:rsidP="00B751E8">
      <w:pPr>
        <w:pStyle w:val="Prrafodelista"/>
        <w:spacing w:line="360" w:lineRule="auto"/>
        <w:ind w:left="360"/>
        <w:jc w:val="both"/>
        <w:rPr>
          <w:rFonts w:ascii="Times New Roman" w:hAnsi="Times New Roman" w:cs="Times New Roman"/>
          <w:sz w:val="24"/>
        </w:rPr>
      </w:pPr>
    </w:p>
    <w:p w:rsidR="00392435" w:rsidRPr="00B751E8" w:rsidRDefault="0036724A" w:rsidP="00B751E8">
      <w:pPr>
        <w:pStyle w:val="Prrafodelista"/>
        <w:numPr>
          <w:ilvl w:val="0"/>
          <w:numId w:val="10"/>
        </w:numPr>
        <w:spacing w:line="360" w:lineRule="auto"/>
        <w:jc w:val="both"/>
        <w:rPr>
          <w:rFonts w:ascii="Times New Roman" w:hAnsi="Times New Roman" w:cs="Times New Roman"/>
          <w:sz w:val="24"/>
        </w:rPr>
      </w:pPr>
      <w:r w:rsidRPr="00B751E8">
        <w:rPr>
          <w:rFonts w:ascii="Times New Roman" w:hAnsi="Times New Roman" w:cs="Times New Roman"/>
          <w:sz w:val="24"/>
        </w:rPr>
        <w:t>Código Civil, 1889, (BOE núm. 206, de 25/07/1889).</w:t>
      </w:r>
    </w:p>
    <w:p w:rsidR="00392435" w:rsidRPr="00B751E8" w:rsidRDefault="00392435" w:rsidP="00B751E8">
      <w:pPr>
        <w:pStyle w:val="Prrafodelista"/>
        <w:spacing w:line="360" w:lineRule="auto"/>
        <w:ind w:left="360"/>
        <w:jc w:val="both"/>
        <w:rPr>
          <w:rFonts w:ascii="Times New Roman" w:hAnsi="Times New Roman" w:cs="Times New Roman"/>
          <w:sz w:val="24"/>
        </w:rPr>
      </w:pPr>
    </w:p>
    <w:p w:rsidR="0036724A" w:rsidRPr="00B751E8" w:rsidRDefault="0036724A" w:rsidP="00B751E8">
      <w:pPr>
        <w:pStyle w:val="Prrafodelista"/>
        <w:numPr>
          <w:ilvl w:val="0"/>
          <w:numId w:val="10"/>
        </w:numPr>
        <w:spacing w:line="360" w:lineRule="auto"/>
        <w:jc w:val="both"/>
        <w:rPr>
          <w:rFonts w:ascii="Times New Roman" w:hAnsi="Times New Roman" w:cs="Times New Roman"/>
          <w:sz w:val="24"/>
        </w:rPr>
      </w:pPr>
      <w:r w:rsidRPr="00B751E8">
        <w:rPr>
          <w:rFonts w:ascii="Times New Roman" w:hAnsi="Times New Roman" w:cs="Times New Roman"/>
          <w:sz w:val="24"/>
        </w:rPr>
        <w:t>Código de Comercio, 1885, (BOE núm. 289, de 16/10/1885</w:t>
      </w:r>
      <w:r w:rsidR="004945BE" w:rsidRPr="00B751E8">
        <w:rPr>
          <w:rFonts w:ascii="Times New Roman" w:hAnsi="Times New Roman" w:cs="Times New Roman"/>
          <w:sz w:val="24"/>
        </w:rPr>
        <w:t>).</w:t>
      </w:r>
    </w:p>
    <w:p w:rsidR="004945BE" w:rsidRPr="00B751E8" w:rsidRDefault="004945BE" w:rsidP="00B751E8">
      <w:pPr>
        <w:pStyle w:val="Prrafodelista"/>
        <w:jc w:val="both"/>
        <w:rPr>
          <w:rFonts w:ascii="Times New Roman" w:hAnsi="Times New Roman" w:cs="Times New Roman"/>
          <w:sz w:val="24"/>
        </w:rPr>
      </w:pPr>
    </w:p>
    <w:p w:rsidR="004945BE" w:rsidRPr="00B751E8" w:rsidRDefault="004945BE" w:rsidP="00B751E8">
      <w:pPr>
        <w:pStyle w:val="Prrafodelista"/>
        <w:jc w:val="both"/>
        <w:rPr>
          <w:rFonts w:ascii="Times New Roman" w:hAnsi="Times New Roman" w:cs="Times New Roman"/>
          <w:sz w:val="24"/>
        </w:rPr>
      </w:pPr>
    </w:p>
    <w:p w:rsidR="004945BE" w:rsidRPr="00B751E8" w:rsidRDefault="004945BE" w:rsidP="00B751E8">
      <w:pPr>
        <w:spacing w:line="360" w:lineRule="auto"/>
        <w:jc w:val="both"/>
        <w:rPr>
          <w:rFonts w:ascii="Times New Roman" w:hAnsi="Times New Roman" w:cs="Times New Roman"/>
          <w:b/>
          <w:i/>
          <w:sz w:val="24"/>
          <w:u w:val="single"/>
        </w:rPr>
      </w:pPr>
      <w:r w:rsidRPr="00B751E8">
        <w:rPr>
          <w:rFonts w:ascii="Times New Roman" w:hAnsi="Times New Roman" w:cs="Times New Roman"/>
          <w:b/>
          <w:i/>
          <w:sz w:val="24"/>
          <w:u w:val="single"/>
        </w:rPr>
        <w:t>Referencias Jurisprudenciales:</w:t>
      </w:r>
    </w:p>
    <w:p w:rsidR="000375DE" w:rsidRPr="00B751E8" w:rsidRDefault="00127656" w:rsidP="00B751E8">
      <w:pPr>
        <w:pStyle w:val="Prrafodelista"/>
        <w:numPr>
          <w:ilvl w:val="0"/>
          <w:numId w:val="12"/>
        </w:numPr>
        <w:spacing w:line="360" w:lineRule="auto"/>
        <w:jc w:val="both"/>
        <w:rPr>
          <w:rFonts w:ascii="Times New Roman" w:hAnsi="Times New Roman" w:cs="Times New Roman"/>
          <w:sz w:val="24"/>
        </w:rPr>
      </w:pPr>
      <w:r w:rsidRPr="00B751E8">
        <w:rPr>
          <w:rFonts w:ascii="Times New Roman" w:hAnsi="Times New Roman" w:cs="Times New Roman"/>
          <w:sz w:val="24"/>
        </w:rPr>
        <w:t xml:space="preserve">AJM </w:t>
      </w:r>
      <w:r w:rsidR="009948EC" w:rsidRPr="00B751E8">
        <w:rPr>
          <w:rFonts w:ascii="Times New Roman" w:hAnsi="Times New Roman" w:cs="Times New Roman"/>
          <w:sz w:val="24"/>
        </w:rPr>
        <w:t>de Gijón (N.º 3), 10</w:t>
      </w:r>
      <w:r w:rsidRPr="00B751E8">
        <w:rPr>
          <w:rFonts w:ascii="Times New Roman" w:hAnsi="Times New Roman" w:cs="Times New Roman"/>
          <w:sz w:val="24"/>
        </w:rPr>
        <w:t xml:space="preserve"> de julio de </w:t>
      </w:r>
      <w:r w:rsidR="004D3F20" w:rsidRPr="00B751E8">
        <w:rPr>
          <w:rFonts w:ascii="Times New Roman" w:hAnsi="Times New Roman" w:cs="Times New Roman"/>
          <w:sz w:val="24"/>
        </w:rPr>
        <w:t>2012 (</w:t>
      </w:r>
      <w:r w:rsidR="009948EC" w:rsidRPr="00B751E8">
        <w:rPr>
          <w:rFonts w:ascii="Times New Roman" w:hAnsi="Times New Roman" w:cs="Times New Roman"/>
          <w:sz w:val="24"/>
        </w:rPr>
        <w:t>JUR 2012, 277325).</w:t>
      </w:r>
    </w:p>
    <w:p w:rsidR="004D3F20" w:rsidRPr="00B751E8" w:rsidRDefault="004D3F20" w:rsidP="00B751E8">
      <w:pPr>
        <w:pStyle w:val="Prrafodelista"/>
        <w:numPr>
          <w:ilvl w:val="0"/>
          <w:numId w:val="12"/>
        </w:numPr>
        <w:spacing w:line="360" w:lineRule="auto"/>
        <w:jc w:val="both"/>
        <w:rPr>
          <w:rFonts w:ascii="Times New Roman" w:hAnsi="Times New Roman" w:cs="Times New Roman"/>
          <w:sz w:val="24"/>
          <w:szCs w:val="24"/>
        </w:rPr>
      </w:pPr>
      <w:r w:rsidRPr="00B751E8">
        <w:rPr>
          <w:rFonts w:ascii="Times New Roman" w:hAnsi="Times New Roman" w:cs="Times New Roman"/>
          <w:sz w:val="24"/>
          <w:szCs w:val="24"/>
        </w:rPr>
        <w:t xml:space="preserve">Auto del </w:t>
      </w:r>
      <w:r w:rsidR="006F165D" w:rsidRPr="00B751E8">
        <w:rPr>
          <w:rFonts w:ascii="Times New Roman" w:hAnsi="Times New Roman" w:cs="Times New Roman"/>
          <w:sz w:val="24"/>
          <w:szCs w:val="24"/>
        </w:rPr>
        <w:t xml:space="preserve">JPI </w:t>
      </w:r>
      <w:r w:rsidRPr="00B751E8">
        <w:rPr>
          <w:rFonts w:ascii="Times New Roman" w:hAnsi="Times New Roman" w:cs="Times New Roman"/>
          <w:sz w:val="24"/>
          <w:szCs w:val="24"/>
        </w:rPr>
        <w:t xml:space="preserve">de Logroño (N.º 6), </w:t>
      </w:r>
      <w:r w:rsidR="00127656" w:rsidRPr="00B751E8">
        <w:rPr>
          <w:rFonts w:ascii="Times New Roman" w:hAnsi="Times New Roman" w:cs="Times New Roman"/>
          <w:sz w:val="24"/>
          <w:szCs w:val="24"/>
        </w:rPr>
        <w:t xml:space="preserve">4 de abril de </w:t>
      </w:r>
      <w:r w:rsidRPr="00B751E8">
        <w:rPr>
          <w:rFonts w:ascii="Times New Roman" w:hAnsi="Times New Roman" w:cs="Times New Roman"/>
          <w:sz w:val="24"/>
          <w:szCs w:val="24"/>
        </w:rPr>
        <w:t>2012 (JUR 2012, 304839).</w:t>
      </w:r>
    </w:p>
    <w:p w:rsidR="00127656" w:rsidRPr="00B751E8" w:rsidRDefault="00683425" w:rsidP="00B751E8">
      <w:pPr>
        <w:pStyle w:val="Prrafodelista"/>
        <w:numPr>
          <w:ilvl w:val="0"/>
          <w:numId w:val="12"/>
        </w:numPr>
        <w:spacing w:line="360" w:lineRule="auto"/>
        <w:jc w:val="both"/>
        <w:rPr>
          <w:rFonts w:ascii="Times New Roman" w:hAnsi="Times New Roman" w:cs="Times New Roman"/>
          <w:sz w:val="24"/>
        </w:rPr>
      </w:pPr>
      <w:r w:rsidRPr="00B751E8">
        <w:rPr>
          <w:rFonts w:ascii="Times New Roman" w:hAnsi="Times New Roman" w:cs="Times New Roman"/>
          <w:sz w:val="24"/>
          <w:szCs w:val="24"/>
        </w:rPr>
        <w:t>AJM</w:t>
      </w:r>
      <w:r w:rsidR="004D3F20" w:rsidRPr="00B751E8">
        <w:rPr>
          <w:rFonts w:ascii="Times New Roman" w:hAnsi="Times New Roman" w:cs="Times New Roman"/>
          <w:sz w:val="24"/>
        </w:rPr>
        <w:t xml:space="preserve"> de Barcelona (N.º 2), </w:t>
      </w:r>
      <w:r w:rsidR="00127656" w:rsidRPr="00B751E8">
        <w:rPr>
          <w:rFonts w:ascii="Times New Roman" w:hAnsi="Times New Roman" w:cs="Times New Roman"/>
          <w:sz w:val="24"/>
        </w:rPr>
        <w:t>5 de junio de</w:t>
      </w:r>
      <w:r w:rsidR="004D3F20" w:rsidRPr="00B751E8">
        <w:rPr>
          <w:rFonts w:ascii="Times New Roman" w:hAnsi="Times New Roman" w:cs="Times New Roman"/>
          <w:sz w:val="24"/>
        </w:rPr>
        <w:t>2012 (JUR 2013, 70497)</w:t>
      </w:r>
      <w:r w:rsidR="00127656" w:rsidRPr="00B751E8">
        <w:rPr>
          <w:rFonts w:ascii="Times New Roman" w:hAnsi="Times New Roman" w:cs="Times New Roman"/>
          <w:sz w:val="24"/>
        </w:rPr>
        <w:t>.</w:t>
      </w:r>
    </w:p>
    <w:p w:rsidR="00127656" w:rsidRPr="00B751E8" w:rsidRDefault="00683425" w:rsidP="00B751E8">
      <w:pPr>
        <w:pStyle w:val="Prrafodelista"/>
        <w:numPr>
          <w:ilvl w:val="0"/>
          <w:numId w:val="12"/>
        </w:numPr>
        <w:spacing w:line="360" w:lineRule="auto"/>
        <w:jc w:val="both"/>
        <w:rPr>
          <w:rFonts w:ascii="Times New Roman" w:hAnsi="Times New Roman" w:cs="Times New Roman"/>
          <w:sz w:val="24"/>
        </w:rPr>
      </w:pPr>
      <w:r w:rsidRPr="00B751E8">
        <w:rPr>
          <w:rFonts w:ascii="Times New Roman" w:hAnsi="Times New Roman" w:cs="Times New Roman"/>
          <w:sz w:val="24"/>
        </w:rPr>
        <w:t>AJM</w:t>
      </w:r>
      <w:r w:rsidR="00127656" w:rsidRPr="00B751E8">
        <w:rPr>
          <w:rFonts w:ascii="Times New Roman" w:hAnsi="Times New Roman" w:cs="Times New Roman"/>
          <w:sz w:val="24"/>
        </w:rPr>
        <w:t xml:space="preserve"> de Sevilla (N.º 2), </w:t>
      </w:r>
      <w:r w:rsidR="009948EC" w:rsidRPr="00B751E8">
        <w:rPr>
          <w:rFonts w:ascii="Times New Roman" w:hAnsi="Times New Roman" w:cs="Times New Roman"/>
          <w:sz w:val="24"/>
        </w:rPr>
        <w:t>11 de diciembre de 2012 (JUR 2013, 61599)</w:t>
      </w:r>
      <w:r w:rsidR="00127656" w:rsidRPr="00B751E8">
        <w:rPr>
          <w:rFonts w:ascii="Times New Roman" w:hAnsi="Times New Roman" w:cs="Times New Roman"/>
          <w:sz w:val="24"/>
        </w:rPr>
        <w:t>.</w:t>
      </w:r>
    </w:p>
    <w:p w:rsidR="009948EC" w:rsidRPr="00B751E8" w:rsidRDefault="009948EC" w:rsidP="00B751E8">
      <w:pPr>
        <w:pStyle w:val="Prrafodelista"/>
        <w:numPr>
          <w:ilvl w:val="0"/>
          <w:numId w:val="12"/>
        </w:numPr>
        <w:spacing w:line="360" w:lineRule="auto"/>
        <w:jc w:val="both"/>
        <w:rPr>
          <w:rFonts w:ascii="Times New Roman" w:hAnsi="Times New Roman" w:cs="Times New Roman"/>
          <w:sz w:val="24"/>
        </w:rPr>
      </w:pPr>
      <w:r w:rsidRPr="00B751E8">
        <w:rPr>
          <w:rFonts w:ascii="Times New Roman" w:hAnsi="Times New Roman" w:cs="Times New Roman"/>
          <w:sz w:val="24"/>
        </w:rPr>
        <w:t xml:space="preserve">Decreto dictado por el secretario del </w:t>
      </w:r>
      <w:r w:rsidR="00683425" w:rsidRPr="00B751E8">
        <w:rPr>
          <w:rFonts w:ascii="Times New Roman" w:hAnsi="Times New Roman" w:cs="Times New Roman"/>
          <w:sz w:val="24"/>
        </w:rPr>
        <w:t>JM</w:t>
      </w:r>
      <w:r w:rsidRPr="00B751E8">
        <w:rPr>
          <w:rFonts w:ascii="Times New Roman" w:hAnsi="Times New Roman" w:cs="Times New Roman"/>
          <w:sz w:val="24"/>
        </w:rPr>
        <w:t xml:space="preserve"> de Santa Cruz de Tenerife (N.º 1)</w:t>
      </w:r>
      <w:r w:rsidR="00127656" w:rsidRPr="00B751E8">
        <w:rPr>
          <w:rFonts w:ascii="Times New Roman" w:hAnsi="Times New Roman" w:cs="Times New Roman"/>
          <w:sz w:val="24"/>
        </w:rPr>
        <w:t xml:space="preserve">, </w:t>
      </w:r>
      <w:r w:rsidRPr="00B751E8">
        <w:rPr>
          <w:rFonts w:ascii="Times New Roman" w:hAnsi="Times New Roman" w:cs="Times New Roman"/>
          <w:sz w:val="24"/>
        </w:rPr>
        <w:t>29</w:t>
      </w:r>
      <w:r w:rsidR="00127656" w:rsidRPr="00B751E8">
        <w:rPr>
          <w:rFonts w:ascii="Times New Roman" w:hAnsi="Times New Roman" w:cs="Times New Roman"/>
          <w:sz w:val="24"/>
        </w:rPr>
        <w:t xml:space="preserve"> de enero de </w:t>
      </w:r>
      <w:r w:rsidRPr="00B751E8">
        <w:rPr>
          <w:rFonts w:ascii="Times New Roman" w:hAnsi="Times New Roman" w:cs="Times New Roman"/>
          <w:sz w:val="24"/>
        </w:rPr>
        <w:t>2013 (BOE Núm. 53, de 2.3.2013; Referencia 8198)</w:t>
      </w:r>
      <w:r w:rsidR="00127656" w:rsidRPr="00B751E8">
        <w:rPr>
          <w:rFonts w:ascii="Times New Roman" w:hAnsi="Times New Roman" w:cs="Times New Roman"/>
          <w:sz w:val="24"/>
        </w:rPr>
        <w:t>.</w:t>
      </w:r>
    </w:p>
    <w:p w:rsidR="009948EC" w:rsidRPr="00B751E8" w:rsidRDefault="009948EC" w:rsidP="00B751E8">
      <w:pPr>
        <w:pStyle w:val="Prrafodelista"/>
        <w:numPr>
          <w:ilvl w:val="0"/>
          <w:numId w:val="12"/>
        </w:numPr>
        <w:spacing w:line="360" w:lineRule="auto"/>
        <w:jc w:val="both"/>
        <w:rPr>
          <w:rFonts w:ascii="Times New Roman" w:hAnsi="Times New Roman" w:cs="Times New Roman"/>
          <w:sz w:val="24"/>
        </w:rPr>
      </w:pPr>
      <w:r w:rsidRPr="00B751E8">
        <w:rPr>
          <w:rFonts w:ascii="Times New Roman" w:hAnsi="Times New Roman" w:cs="Times New Roman"/>
          <w:sz w:val="24"/>
        </w:rPr>
        <w:t>SAP de Barcelona</w:t>
      </w:r>
      <w:r w:rsidR="00683425" w:rsidRPr="00B751E8">
        <w:rPr>
          <w:rFonts w:ascii="Times New Roman" w:hAnsi="Times New Roman" w:cs="Times New Roman"/>
          <w:sz w:val="24"/>
        </w:rPr>
        <w:t>,</w:t>
      </w:r>
      <w:r w:rsidRPr="00B751E8">
        <w:rPr>
          <w:rFonts w:ascii="Times New Roman" w:hAnsi="Times New Roman" w:cs="Times New Roman"/>
          <w:sz w:val="24"/>
        </w:rPr>
        <w:t xml:space="preserve"> de 6 de febrero de 2009 (JUR 2009,172445), núm. 58-72009, </w:t>
      </w:r>
      <w:proofErr w:type="spellStart"/>
      <w:r w:rsidRPr="00B751E8">
        <w:rPr>
          <w:rFonts w:ascii="Times New Roman" w:hAnsi="Times New Roman" w:cs="Times New Roman"/>
          <w:sz w:val="24"/>
        </w:rPr>
        <w:t>rec.</w:t>
      </w:r>
      <w:proofErr w:type="spellEnd"/>
      <w:r w:rsidRPr="00B751E8">
        <w:rPr>
          <w:rFonts w:ascii="Times New Roman" w:hAnsi="Times New Roman" w:cs="Times New Roman"/>
          <w:sz w:val="24"/>
        </w:rPr>
        <w:t xml:space="preserve"> 607/2008 (EDJ 2009/22460)</w:t>
      </w:r>
      <w:r w:rsidR="00683425" w:rsidRPr="00B751E8">
        <w:rPr>
          <w:rFonts w:ascii="Times New Roman" w:hAnsi="Times New Roman" w:cs="Times New Roman"/>
          <w:sz w:val="24"/>
        </w:rPr>
        <w:t>.</w:t>
      </w:r>
    </w:p>
    <w:p w:rsidR="009948EC" w:rsidRPr="00B751E8" w:rsidRDefault="009948EC" w:rsidP="00B751E8">
      <w:pPr>
        <w:pStyle w:val="Prrafodelista"/>
        <w:numPr>
          <w:ilvl w:val="0"/>
          <w:numId w:val="12"/>
        </w:numPr>
        <w:spacing w:line="360" w:lineRule="auto"/>
        <w:jc w:val="both"/>
        <w:rPr>
          <w:rFonts w:ascii="Times New Roman" w:hAnsi="Times New Roman" w:cs="Times New Roman"/>
          <w:sz w:val="24"/>
        </w:rPr>
      </w:pPr>
      <w:r w:rsidRPr="00B751E8">
        <w:rPr>
          <w:rFonts w:ascii="Times New Roman" w:hAnsi="Times New Roman" w:cs="Times New Roman"/>
          <w:sz w:val="24"/>
        </w:rPr>
        <w:t xml:space="preserve">Sentencia </w:t>
      </w:r>
      <w:r w:rsidR="00683425" w:rsidRPr="00B751E8">
        <w:rPr>
          <w:rFonts w:ascii="Times New Roman" w:hAnsi="Times New Roman" w:cs="Times New Roman"/>
          <w:sz w:val="24"/>
        </w:rPr>
        <w:t xml:space="preserve">del JM </w:t>
      </w:r>
      <w:r w:rsidRPr="00B751E8">
        <w:rPr>
          <w:rFonts w:ascii="Times New Roman" w:hAnsi="Times New Roman" w:cs="Times New Roman"/>
          <w:sz w:val="24"/>
        </w:rPr>
        <w:t>de Sevilla (N.º 2),3 de diciembre de 2012</w:t>
      </w:r>
      <w:r w:rsidR="006F165D" w:rsidRPr="00B751E8">
        <w:rPr>
          <w:rFonts w:ascii="Times New Roman" w:hAnsi="Times New Roman" w:cs="Times New Roman"/>
          <w:sz w:val="24"/>
        </w:rPr>
        <w:t xml:space="preserve"> BOE Núm. 310, de 26.12.2012 (Referencia 44803).</w:t>
      </w:r>
    </w:p>
    <w:p w:rsidR="009948EC" w:rsidRPr="00B751E8" w:rsidRDefault="00683425" w:rsidP="00B751E8">
      <w:pPr>
        <w:pStyle w:val="Prrafodelista"/>
        <w:numPr>
          <w:ilvl w:val="0"/>
          <w:numId w:val="12"/>
        </w:numPr>
        <w:spacing w:line="360" w:lineRule="auto"/>
        <w:jc w:val="both"/>
        <w:rPr>
          <w:rFonts w:ascii="Times New Roman" w:hAnsi="Times New Roman" w:cs="Times New Roman"/>
          <w:sz w:val="24"/>
        </w:rPr>
      </w:pPr>
      <w:r w:rsidRPr="00B751E8">
        <w:rPr>
          <w:rFonts w:ascii="Times New Roman" w:hAnsi="Times New Roman" w:cs="Times New Roman"/>
          <w:sz w:val="24"/>
        </w:rPr>
        <w:t>AJM</w:t>
      </w:r>
      <w:r w:rsidR="009948EC" w:rsidRPr="00B751E8">
        <w:rPr>
          <w:rFonts w:ascii="Times New Roman" w:hAnsi="Times New Roman" w:cs="Times New Roman"/>
          <w:sz w:val="24"/>
        </w:rPr>
        <w:t xml:space="preserve"> de Barcelona (N.º 6), de 5 de junio de </w:t>
      </w:r>
      <w:r w:rsidRPr="00B751E8">
        <w:rPr>
          <w:rFonts w:ascii="Times New Roman" w:hAnsi="Times New Roman" w:cs="Times New Roman"/>
          <w:sz w:val="24"/>
        </w:rPr>
        <w:t>2012 (</w:t>
      </w:r>
      <w:r w:rsidR="009948EC" w:rsidRPr="00B751E8">
        <w:rPr>
          <w:rFonts w:ascii="Times New Roman" w:hAnsi="Times New Roman" w:cs="Times New Roman"/>
          <w:sz w:val="24"/>
        </w:rPr>
        <w:t>JUR 2013, 70497)</w:t>
      </w:r>
      <w:r w:rsidR="006F165D" w:rsidRPr="00B751E8">
        <w:rPr>
          <w:rFonts w:ascii="Times New Roman" w:hAnsi="Times New Roman" w:cs="Times New Roman"/>
          <w:sz w:val="24"/>
        </w:rPr>
        <w:t>.</w:t>
      </w:r>
    </w:p>
    <w:p w:rsidR="00253772" w:rsidRPr="00B751E8" w:rsidRDefault="00683425" w:rsidP="00B751E8">
      <w:pPr>
        <w:pStyle w:val="Prrafodelista"/>
        <w:numPr>
          <w:ilvl w:val="0"/>
          <w:numId w:val="12"/>
        </w:numPr>
        <w:spacing w:line="360" w:lineRule="auto"/>
        <w:jc w:val="both"/>
        <w:rPr>
          <w:rFonts w:ascii="Times New Roman" w:hAnsi="Times New Roman" w:cs="Times New Roman"/>
          <w:sz w:val="24"/>
        </w:rPr>
      </w:pPr>
      <w:r w:rsidRPr="00B751E8">
        <w:rPr>
          <w:rFonts w:ascii="Times New Roman" w:hAnsi="Times New Roman" w:cs="Times New Roman"/>
          <w:sz w:val="24"/>
        </w:rPr>
        <w:t>AJM</w:t>
      </w:r>
      <w:r w:rsidR="00253772" w:rsidRPr="00B751E8">
        <w:rPr>
          <w:rFonts w:ascii="Times New Roman" w:hAnsi="Times New Roman" w:cs="Times New Roman"/>
          <w:sz w:val="24"/>
        </w:rPr>
        <w:t xml:space="preserve"> de Sevilla (N.º 2),21 de mayo de 2012 (AC 2012, 1498)</w:t>
      </w:r>
      <w:r w:rsidR="006F165D" w:rsidRPr="00B751E8">
        <w:rPr>
          <w:rFonts w:ascii="Times New Roman" w:hAnsi="Times New Roman" w:cs="Times New Roman"/>
          <w:sz w:val="24"/>
        </w:rPr>
        <w:t>.</w:t>
      </w:r>
    </w:p>
    <w:p w:rsidR="00683425" w:rsidRPr="00B751E8" w:rsidRDefault="00253772" w:rsidP="00B751E8">
      <w:pPr>
        <w:pStyle w:val="Prrafodelista"/>
        <w:numPr>
          <w:ilvl w:val="0"/>
          <w:numId w:val="12"/>
        </w:numPr>
        <w:spacing w:line="360" w:lineRule="auto"/>
        <w:jc w:val="both"/>
        <w:rPr>
          <w:rFonts w:ascii="Times New Roman" w:hAnsi="Times New Roman" w:cs="Times New Roman"/>
          <w:sz w:val="24"/>
        </w:rPr>
      </w:pPr>
      <w:r w:rsidRPr="00B751E8">
        <w:rPr>
          <w:rFonts w:ascii="Times New Roman" w:hAnsi="Times New Roman" w:cs="Times New Roman"/>
          <w:sz w:val="24"/>
        </w:rPr>
        <w:t xml:space="preserve">Anuncio JM de Madrid (N.º 6), </w:t>
      </w:r>
      <w:r w:rsidR="006F165D" w:rsidRPr="00B751E8">
        <w:rPr>
          <w:rFonts w:ascii="Times New Roman" w:hAnsi="Times New Roman" w:cs="Times New Roman"/>
          <w:sz w:val="24"/>
        </w:rPr>
        <w:t xml:space="preserve">5 de octubre de </w:t>
      </w:r>
      <w:r w:rsidRPr="00B751E8">
        <w:rPr>
          <w:rFonts w:ascii="Times New Roman" w:hAnsi="Times New Roman" w:cs="Times New Roman"/>
          <w:sz w:val="24"/>
        </w:rPr>
        <w:t>2012 (BOE Núm. 260, de 29.10.2012; Referencia 36630)</w:t>
      </w:r>
      <w:r w:rsidR="00683425" w:rsidRPr="00B751E8">
        <w:rPr>
          <w:rFonts w:ascii="Times New Roman" w:hAnsi="Times New Roman" w:cs="Times New Roman"/>
          <w:sz w:val="24"/>
        </w:rPr>
        <w:t>.</w:t>
      </w:r>
    </w:p>
    <w:p w:rsidR="00253772" w:rsidRPr="00B751E8" w:rsidRDefault="00683425" w:rsidP="00B751E8">
      <w:pPr>
        <w:pStyle w:val="Prrafodelista"/>
        <w:numPr>
          <w:ilvl w:val="0"/>
          <w:numId w:val="12"/>
        </w:numPr>
        <w:spacing w:line="360" w:lineRule="auto"/>
        <w:jc w:val="both"/>
        <w:rPr>
          <w:rFonts w:ascii="Times New Roman" w:hAnsi="Times New Roman" w:cs="Times New Roman"/>
          <w:sz w:val="24"/>
        </w:rPr>
      </w:pPr>
      <w:r w:rsidRPr="00B751E8">
        <w:rPr>
          <w:rFonts w:ascii="Times New Roman" w:hAnsi="Times New Roman" w:cs="Times New Roman"/>
          <w:sz w:val="24"/>
        </w:rPr>
        <w:t xml:space="preserve">Anuncio </w:t>
      </w:r>
      <w:r w:rsidR="00253772" w:rsidRPr="00B751E8">
        <w:rPr>
          <w:rFonts w:ascii="Times New Roman" w:hAnsi="Times New Roman" w:cs="Times New Roman"/>
          <w:sz w:val="24"/>
        </w:rPr>
        <w:t>J</w:t>
      </w:r>
      <w:r w:rsidRPr="00B751E8">
        <w:rPr>
          <w:rFonts w:ascii="Times New Roman" w:hAnsi="Times New Roman" w:cs="Times New Roman"/>
          <w:sz w:val="24"/>
        </w:rPr>
        <w:t>M</w:t>
      </w:r>
      <w:r w:rsidR="00253772" w:rsidRPr="00B751E8">
        <w:rPr>
          <w:rFonts w:ascii="Times New Roman" w:hAnsi="Times New Roman" w:cs="Times New Roman"/>
          <w:sz w:val="24"/>
        </w:rPr>
        <w:t xml:space="preserve"> de Oviedo, </w:t>
      </w:r>
      <w:r w:rsidRPr="00B751E8">
        <w:rPr>
          <w:rFonts w:ascii="Times New Roman" w:hAnsi="Times New Roman" w:cs="Times New Roman"/>
          <w:sz w:val="24"/>
        </w:rPr>
        <w:t>28 de enero de 2013</w:t>
      </w:r>
      <w:r w:rsidR="00253772" w:rsidRPr="00B751E8">
        <w:rPr>
          <w:rFonts w:ascii="Times New Roman" w:hAnsi="Times New Roman" w:cs="Times New Roman"/>
          <w:sz w:val="24"/>
        </w:rPr>
        <w:t xml:space="preserve"> (BOE Núm. 36, de 11.2.2013; Referencia 5184).</w:t>
      </w:r>
    </w:p>
    <w:p w:rsidR="006F165D" w:rsidRPr="00B751E8" w:rsidRDefault="00253772" w:rsidP="00B751E8">
      <w:pPr>
        <w:pStyle w:val="Prrafodelista"/>
        <w:numPr>
          <w:ilvl w:val="0"/>
          <w:numId w:val="12"/>
        </w:numPr>
        <w:spacing w:line="360" w:lineRule="auto"/>
        <w:jc w:val="both"/>
        <w:rPr>
          <w:rFonts w:ascii="Times New Roman" w:hAnsi="Times New Roman" w:cs="Times New Roman"/>
          <w:sz w:val="24"/>
        </w:rPr>
      </w:pPr>
      <w:r w:rsidRPr="00B751E8">
        <w:rPr>
          <w:rFonts w:ascii="Times New Roman" w:hAnsi="Times New Roman" w:cs="Times New Roman"/>
          <w:sz w:val="24"/>
        </w:rPr>
        <w:lastRenderedPageBreak/>
        <w:t xml:space="preserve">Edicto del JM de Madrid (N.º 12), </w:t>
      </w:r>
      <w:r w:rsidR="006F165D" w:rsidRPr="00B751E8">
        <w:rPr>
          <w:rFonts w:ascii="Times New Roman" w:hAnsi="Times New Roman" w:cs="Times New Roman"/>
          <w:sz w:val="24"/>
        </w:rPr>
        <w:t>10 de enero de</w:t>
      </w:r>
      <w:r w:rsidRPr="00B751E8">
        <w:rPr>
          <w:rFonts w:ascii="Times New Roman" w:hAnsi="Times New Roman" w:cs="Times New Roman"/>
          <w:sz w:val="24"/>
        </w:rPr>
        <w:t>2013 (BOE Núm. 20, de 23.1.2013; Referencia 2378)</w:t>
      </w:r>
      <w:r w:rsidR="006F165D" w:rsidRPr="00B751E8">
        <w:rPr>
          <w:rFonts w:ascii="Times New Roman" w:hAnsi="Times New Roman" w:cs="Times New Roman"/>
          <w:sz w:val="24"/>
        </w:rPr>
        <w:t>.</w:t>
      </w:r>
    </w:p>
    <w:p w:rsidR="00253772" w:rsidRPr="00B751E8" w:rsidRDefault="006F165D" w:rsidP="00B751E8">
      <w:pPr>
        <w:pStyle w:val="Prrafodelista"/>
        <w:numPr>
          <w:ilvl w:val="0"/>
          <w:numId w:val="12"/>
        </w:numPr>
        <w:spacing w:line="360" w:lineRule="auto"/>
        <w:jc w:val="both"/>
        <w:rPr>
          <w:rFonts w:ascii="Times New Roman" w:hAnsi="Times New Roman" w:cs="Times New Roman"/>
          <w:sz w:val="24"/>
        </w:rPr>
      </w:pPr>
      <w:r w:rsidRPr="00B751E8">
        <w:rPr>
          <w:rFonts w:ascii="Times New Roman" w:hAnsi="Times New Roman" w:cs="Times New Roman"/>
          <w:sz w:val="24"/>
        </w:rPr>
        <w:t xml:space="preserve">Edicto </w:t>
      </w:r>
      <w:r w:rsidR="00253772" w:rsidRPr="00B751E8">
        <w:rPr>
          <w:rFonts w:ascii="Times New Roman" w:hAnsi="Times New Roman" w:cs="Times New Roman"/>
          <w:sz w:val="24"/>
        </w:rPr>
        <w:t>JPI (Mercantil) de Lugo (N.º 2), de 17.1.2013 (BOE Núm. 30, de 4.2.2013; Referencia 4105).</w:t>
      </w:r>
    </w:p>
    <w:p w:rsidR="00253772" w:rsidRPr="00B751E8" w:rsidRDefault="006F165D" w:rsidP="00B751E8">
      <w:pPr>
        <w:pStyle w:val="Prrafodelista"/>
        <w:numPr>
          <w:ilvl w:val="0"/>
          <w:numId w:val="12"/>
        </w:numPr>
        <w:spacing w:line="360" w:lineRule="auto"/>
        <w:jc w:val="both"/>
        <w:rPr>
          <w:rFonts w:ascii="Times New Roman" w:hAnsi="Times New Roman" w:cs="Times New Roman"/>
          <w:sz w:val="24"/>
        </w:rPr>
      </w:pPr>
      <w:r w:rsidRPr="00B751E8">
        <w:rPr>
          <w:rFonts w:ascii="Times New Roman" w:hAnsi="Times New Roman" w:cs="Times New Roman"/>
          <w:sz w:val="24"/>
        </w:rPr>
        <w:t xml:space="preserve">Sentencia JM </w:t>
      </w:r>
      <w:r w:rsidR="00253772" w:rsidRPr="00B751E8">
        <w:rPr>
          <w:rFonts w:ascii="Times New Roman" w:hAnsi="Times New Roman" w:cs="Times New Roman"/>
          <w:sz w:val="24"/>
        </w:rPr>
        <w:t xml:space="preserve">de León (N.º 1), de </w:t>
      </w:r>
      <w:r w:rsidRPr="00B751E8">
        <w:rPr>
          <w:rFonts w:ascii="Times New Roman" w:hAnsi="Times New Roman" w:cs="Times New Roman"/>
          <w:sz w:val="24"/>
        </w:rPr>
        <w:t xml:space="preserve">21 de marzo </w:t>
      </w:r>
      <w:r w:rsidR="00253772" w:rsidRPr="00B751E8">
        <w:rPr>
          <w:rFonts w:ascii="Times New Roman" w:hAnsi="Times New Roman" w:cs="Times New Roman"/>
          <w:sz w:val="24"/>
        </w:rPr>
        <w:t>2012(AC 2012, 903).</w:t>
      </w:r>
    </w:p>
    <w:p w:rsidR="00253772" w:rsidRPr="00B751E8" w:rsidRDefault="00253772" w:rsidP="00B751E8">
      <w:pPr>
        <w:spacing w:line="360" w:lineRule="auto"/>
        <w:jc w:val="both"/>
        <w:rPr>
          <w:rFonts w:ascii="Times New Roman" w:hAnsi="Times New Roman" w:cs="Times New Roman"/>
          <w:sz w:val="24"/>
        </w:rPr>
      </w:pPr>
    </w:p>
    <w:p w:rsidR="00383325" w:rsidRPr="00B751E8" w:rsidRDefault="00383325" w:rsidP="00B751E8">
      <w:pPr>
        <w:spacing w:line="360" w:lineRule="auto"/>
        <w:jc w:val="both"/>
        <w:rPr>
          <w:rFonts w:ascii="Times New Roman" w:hAnsi="Times New Roman" w:cs="Times New Roman"/>
          <w:sz w:val="24"/>
        </w:rPr>
      </w:pPr>
    </w:p>
    <w:p w:rsidR="00383325" w:rsidRPr="00B751E8" w:rsidRDefault="00383325" w:rsidP="00B751E8">
      <w:pPr>
        <w:spacing w:line="360" w:lineRule="auto"/>
        <w:ind w:firstLine="709"/>
        <w:jc w:val="both"/>
        <w:rPr>
          <w:rFonts w:ascii="Times New Roman" w:hAnsi="Times New Roman" w:cs="Times New Roman"/>
          <w:sz w:val="24"/>
        </w:rPr>
      </w:pPr>
    </w:p>
    <w:p w:rsidR="00322171" w:rsidRPr="00057EDC" w:rsidRDefault="00322171" w:rsidP="00DC740A">
      <w:pPr>
        <w:spacing w:line="360" w:lineRule="auto"/>
        <w:ind w:firstLine="709"/>
        <w:jc w:val="both"/>
        <w:rPr>
          <w:rFonts w:ascii="Times New Roman" w:hAnsi="Times New Roman" w:cs="Times New Roman"/>
          <w:sz w:val="24"/>
        </w:rPr>
      </w:pPr>
    </w:p>
    <w:p w:rsidR="00057EDC" w:rsidRPr="00057EDC" w:rsidRDefault="00057EDC" w:rsidP="00FD6022">
      <w:pPr>
        <w:spacing w:line="360" w:lineRule="auto"/>
        <w:ind w:firstLine="709"/>
        <w:jc w:val="both"/>
        <w:rPr>
          <w:rFonts w:ascii="Times New Roman" w:hAnsi="Times New Roman" w:cs="Times New Roman"/>
          <w:sz w:val="24"/>
        </w:rPr>
      </w:pPr>
    </w:p>
    <w:sectPr w:rsidR="00057EDC" w:rsidRPr="00057EDC" w:rsidSect="00F11E22">
      <w:headerReference w:type="default" r:id="rId16"/>
      <w:footerReference w:type="default" r:id="rId17"/>
      <w:pgSz w:w="11906" w:h="16838"/>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C1A5C" w:rsidRDefault="008C1A5C" w:rsidP="00F402C5">
      <w:pPr>
        <w:spacing w:after="0" w:line="240" w:lineRule="auto"/>
      </w:pPr>
      <w:r>
        <w:separator/>
      </w:r>
    </w:p>
  </w:endnote>
  <w:endnote w:type="continuationSeparator" w:id="0">
    <w:p w:rsidR="008C1A5C" w:rsidRDefault="008C1A5C" w:rsidP="00F402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5327638"/>
      <w:docPartObj>
        <w:docPartGallery w:val="Page Numbers (Bottom of Page)"/>
        <w:docPartUnique/>
      </w:docPartObj>
    </w:sdtPr>
    <w:sdtEndPr>
      <w:rPr>
        <w:rFonts w:ascii="Times New Roman" w:hAnsi="Times New Roman" w:cs="Times New Roman"/>
        <w:b/>
        <w:sz w:val="24"/>
      </w:rPr>
    </w:sdtEndPr>
    <w:sdtContent>
      <w:p w:rsidR="008C1A5C" w:rsidRPr="006F165D" w:rsidRDefault="008C1A5C">
        <w:pPr>
          <w:pStyle w:val="Piedepgina"/>
          <w:jc w:val="right"/>
          <w:rPr>
            <w:b/>
          </w:rPr>
        </w:pPr>
        <w:r w:rsidRPr="006F165D">
          <w:rPr>
            <w:b/>
          </w:rPr>
          <w:fldChar w:fldCharType="begin"/>
        </w:r>
        <w:r w:rsidRPr="006F165D">
          <w:rPr>
            <w:b/>
          </w:rPr>
          <w:instrText>PAGE   \* MERGEFORMAT</w:instrText>
        </w:r>
        <w:r w:rsidRPr="006F165D">
          <w:rPr>
            <w:b/>
          </w:rPr>
          <w:fldChar w:fldCharType="separate"/>
        </w:r>
        <w:r w:rsidR="00BD2D4B">
          <w:rPr>
            <w:b/>
            <w:noProof/>
          </w:rPr>
          <w:t>1</w:t>
        </w:r>
        <w:r w:rsidRPr="006F165D">
          <w:rPr>
            <w:b/>
          </w:rPr>
          <w:fldChar w:fldCharType="end"/>
        </w:r>
      </w:p>
    </w:sdtContent>
  </w:sdt>
  <w:p w:rsidR="008C1A5C" w:rsidRDefault="008C1A5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C1A5C" w:rsidRDefault="008C1A5C" w:rsidP="00F402C5">
      <w:pPr>
        <w:spacing w:after="0" w:line="240" w:lineRule="auto"/>
      </w:pPr>
      <w:r>
        <w:separator/>
      </w:r>
    </w:p>
  </w:footnote>
  <w:footnote w:type="continuationSeparator" w:id="0">
    <w:p w:rsidR="008C1A5C" w:rsidRDefault="008C1A5C" w:rsidP="00F402C5">
      <w:pPr>
        <w:spacing w:after="0" w:line="240" w:lineRule="auto"/>
      </w:pPr>
      <w:r>
        <w:continuationSeparator/>
      </w:r>
    </w:p>
  </w:footnote>
  <w:footnote w:id="1">
    <w:p w:rsidR="008C1A5C" w:rsidRPr="004610D0" w:rsidRDefault="008C1A5C" w:rsidP="00D87E7C">
      <w:pPr>
        <w:pStyle w:val="Textonotapie"/>
        <w:jc w:val="both"/>
        <w:rPr>
          <w:rFonts w:ascii="Times New Roman" w:hAnsi="Times New Roman" w:cs="Times New Roman"/>
        </w:rPr>
      </w:pPr>
      <w:r w:rsidRPr="004610D0">
        <w:rPr>
          <w:rStyle w:val="Refdenotaalpie"/>
          <w:rFonts w:ascii="Times New Roman" w:hAnsi="Times New Roman" w:cs="Times New Roman"/>
        </w:rPr>
        <w:footnoteRef/>
      </w:r>
      <w:r w:rsidRPr="004610D0">
        <w:rPr>
          <w:rFonts w:ascii="Times New Roman" w:hAnsi="Times New Roman" w:cs="Times New Roman"/>
          <w:szCs w:val="18"/>
        </w:rPr>
        <w:t>Como decía Sánchez Calero, J., al comentar las medidas adoptadas por el Real Decreto-Ley 3/2009, de 27 de marzo, de Medidas urgentes en materia tributaria, financiera y concursal ante la evolución de la situación económica, una de las justificaciones más repetidas a favor de la propuesta de reforma sería la de que el sistema vigente era demasiado rígido a la hora de permitir una refinanciación de empresas que, estando en una situación difícil, tenían en esa refinanciación la vía para continuar su actividad, en la medida en que aspectos frecuentes en las refinanciaciones podrían ser considerados en el seno de un posterior concurso actos perjudiciales para la masa activa ( </w:t>
      </w:r>
      <w:bookmarkStart w:id="2" w:name="_Hlk517894187"/>
      <w:r w:rsidRPr="004610D0">
        <w:rPr>
          <w:rFonts w:ascii="Times New Roman" w:hAnsi="Times New Roman" w:cs="Times New Roman"/>
          <w:i/>
          <w:iCs/>
          <w:szCs w:val="18"/>
        </w:rPr>
        <w:t>« Refinanciación y reintegración concursal»,</w:t>
      </w:r>
      <w:r w:rsidRPr="004610D0">
        <w:rPr>
          <w:rFonts w:ascii="Times New Roman" w:hAnsi="Times New Roman" w:cs="Times New Roman"/>
          <w:szCs w:val="18"/>
        </w:rPr>
        <w:t>  </w:t>
      </w:r>
      <w:hyperlink r:id="rId1" w:history="1">
        <w:r w:rsidRPr="004610D0">
          <w:rPr>
            <w:rStyle w:val="Hipervnculo"/>
            <w:rFonts w:ascii="Times New Roman" w:hAnsi="Times New Roman" w:cs="Times New Roman"/>
            <w:color w:val="auto"/>
            <w:szCs w:val="18"/>
            <w:u w:val="none"/>
          </w:rPr>
          <w:t>Anuario de Derecho Concursal nº 20/2010  [BIB 2010, 198]</w:t>
        </w:r>
      </w:hyperlink>
      <w:r w:rsidRPr="004610D0">
        <w:rPr>
          <w:rFonts w:ascii="Times New Roman" w:hAnsi="Times New Roman" w:cs="Times New Roman"/>
          <w:szCs w:val="18"/>
        </w:rPr>
        <w:t> , pág. 5)</w:t>
      </w:r>
      <w:bookmarkEnd w:id="2"/>
      <w:r w:rsidRPr="004610D0">
        <w:rPr>
          <w:rFonts w:ascii="Times New Roman" w:hAnsi="Times New Roman" w:cs="Times New Roman"/>
          <w:szCs w:val="18"/>
        </w:rPr>
        <w:t>.</w:t>
      </w:r>
    </w:p>
  </w:footnote>
  <w:footnote w:id="2">
    <w:p w:rsidR="008C1A5C" w:rsidRDefault="008C1A5C">
      <w:pPr>
        <w:pStyle w:val="Textonotapie"/>
      </w:pPr>
      <w:r>
        <w:rPr>
          <w:rStyle w:val="Refdenotaalpie"/>
        </w:rPr>
        <w:footnoteRef/>
      </w:r>
      <w:r w:rsidRPr="00CC2CFF">
        <w:rPr>
          <w:rFonts w:ascii="Times New Roman" w:hAnsi="Times New Roman" w:cs="Times New Roman"/>
        </w:rPr>
        <w:t xml:space="preserve">FERNÁNDEZ DEL POZO califica como «piezas de un ciertamente rústico pero emergente Derecho preventivo o </w:t>
      </w:r>
      <w:r w:rsidRPr="00CC2CFF">
        <w:rPr>
          <w:rFonts w:ascii="Times New Roman" w:hAnsi="Times New Roman" w:cs="Times New Roman"/>
        </w:rPr>
        <w:t>preconcursal español»</w:t>
      </w:r>
    </w:p>
  </w:footnote>
  <w:footnote w:id="3">
    <w:p w:rsidR="008C1A5C" w:rsidRDefault="008C1A5C" w:rsidP="008375A6">
      <w:pPr>
        <w:pStyle w:val="Textonotapie"/>
        <w:jc w:val="both"/>
      </w:pPr>
      <w:r>
        <w:rPr>
          <w:rStyle w:val="Refdenotaalpie"/>
        </w:rPr>
        <w:footnoteRef/>
      </w:r>
      <w:r w:rsidRPr="008375A6">
        <w:rPr>
          <w:rFonts w:ascii="Times New Roman" w:hAnsi="Times New Roman" w:cs="Times New Roman"/>
        </w:rPr>
        <w:t xml:space="preserve">La última reforma de este artículo por la Ley 17/2014, de 30 de septiembre, por la que se adoptan medidas urgentes en materia de refinanciación y reestructuración de deuda empresarial (“Ley 17/2014”) suscitó dudas sobre cuál era el juzgado competente para decidir sobre la suspensión solicitada y sobre si el que lo fuera podría entrar a valorar tanto los presupuestos de la comunicación (negociación de un acuerdo de refinanciación, de una propuesta anticipada de convenio o de un acuerdo extrajudicial de pagos), como los presupuestos de la suspensión derivada de la comunicación (carácter necesario o no del bien, condición de acreedor titular de pasivo financiero o concurrencia del 51% de los acreedores titulares de pasivo financiero en el inicio de la negociación). En la jurisprudencia menor estas cuestiones habían sido resueltas en sentidos diversos (entre otros, </w:t>
      </w:r>
      <w:bookmarkStart w:id="3" w:name="_Hlk517949188"/>
      <w:r w:rsidRPr="008375A6">
        <w:rPr>
          <w:rFonts w:ascii="Times New Roman" w:hAnsi="Times New Roman" w:cs="Times New Roman"/>
        </w:rPr>
        <w:t>auto del Juzgado de lo Mercantil nº 1 de Granada, de 17 de marzo de 2014, decreto del Secretario Judicial del Juzgado de 1ª Instancia nº 6 de Logroño de 6 de mayo de 2014, auto de la Audiencia Provincial de Jaén, de 26 de junio de 2014, decreto del Juzgado de Primera Instancia de Barcelona nº 38 de 14 de mayo de 2014, auto del Juzgado de lo Mercantil de Alicante de 27 de octubre de 2014, providencia del Juzgado de lo Mercantil de Pontevedra nº 2 de 6 de junio de 2014</w:t>
      </w:r>
      <w:bookmarkEnd w:id="3"/>
      <w:r w:rsidRPr="008375A6">
        <w:rPr>
          <w:rFonts w:ascii="Times New Roman" w:hAnsi="Times New Roman" w:cs="Times New Roman"/>
        </w:rPr>
        <w:t>).</w:t>
      </w:r>
    </w:p>
  </w:footnote>
  <w:footnote w:id="4">
    <w:p w:rsidR="008C1A5C" w:rsidRPr="00B846BB" w:rsidRDefault="008C1A5C" w:rsidP="00B846BB">
      <w:pPr>
        <w:pStyle w:val="Textonotapie"/>
        <w:jc w:val="both"/>
        <w:rPr>
          <w:rFonts w:ascii="Times New Roman" w:hAnsi="Times New Roman" w:cs="Times New Roman"/>
        </w:rPr>
      </w:pPr>
      <w:r w:rsidRPr="00B846BB">
        <w:rPr>
          <w:rStyle w:val="Refdenotaalpie"/>
          <w:rFonts w:ascii="Times New Roman" w:hAnsi="Times New Roman" w:cs="Times New Roman"/>
        </w:rPr>
        <w:footnoteRef/>
      </w:r>
      <w:r w:rsidRPr="00B846BB">
        <w:rPr>
          <w:rFonts w:ascii="Times New Roman" w:hAnsi="Times New Roman" w:cs="Times New Roman"/>
        </w:rPr>
        <w:t xml:space="preserve"> Pérez Benítez, </w:t>
      </w:r>
      <w:r>
        <w:rPr>
          <w:rFonts w:ascii="Times New Roman" w:hAnsi="Times New Roman" w:cs="Times New Roman"/>
        </w:rPr>
        <w:t>J.J (2014)</w:t>
      </w:r>
      <w:r w:rsidRPr="00B846BB">
        <w:rPr>
          <w:rFonts w:ascii="Times New Roman" w:hAnsi="Times New Roman" w:cs="Times New Roman"/>
        </w:rPr>
        <w:t>, «La nueva regulación de los acuerdos de refinanciación», RDM.</w:t>
      </w:r>
    </w:p>
  </w:footnote>
  <w:footnote w:id="5">
    <w:p w:rsidR="008C1A5C" w:rsidRPr="00B846BB" w:rsidRDefault="008C1A5C" w:rsidP="00B846BB">
      <w:pPr>
        <w:pStyle w:val="Textonotapie"/>
        <w:jc w:val="both"/>
        <w:rPr>
          <w:rFonts w:ascii="Times New Roman" w:hAnsi="Times New Roman" w:cs="Times New Roman"/>
        </w:rPr>
      </w:pPr>
      <w:r w:rsidRPr="00B846BB">
        <w:rPr>
          <w:rStyle w:val="Refdenotaalpie"/>
          <w:rFonts w:ascii="Times New Roman" w:hAnsi="Times New Roman" w:cs="Times New Roman"/>
        </w:rPr>
        <w:footnoteRef/>
      </w:r>
      <w:r w:rsidRPr="00B846BB">
        <w:rPr>
          <w:rFonts w:ascii="Times New Roman" w:hAnsi="Times New Roman" w:cs="Times New Roman"/>
        </w:rPr>
        <w:t xml:space="preserve"> Pulgar </w:t>
      </w:r>
      <w:r w:rsidRPr="00B846BB">
        <w:rPr>
          <w:rFonts w:ascii="Times New Roman" w:hAnsi="Times New Roman" w:cs="Times New Roman"/>
        </w:rPr>
        <w:t>Ezquerra,</w:t>
      </w:r>
      <w:r>
        <w:rPr>
          <w:rFonts w:ascii="Times New Roman" w:hAnsi="Times New Roman" w:cs="Times New Roman"/>
        </w:rPr>
        <w:t>J</w:t>
      </w:r>
      <w:r w:rsidRPr="00B846BB">
        <w:rPr>
          <w:rFonts w:ascii="Times New Roman" w:hAnsi="Times New Roman" w:cs="Times New Roman"/>
        </w:rPr>
        <w:t>«Estrategias preconcursales y refinanciación de deuda», ob. cit., pág. 92.</w:t>
      </w:r>
    </w:p>
  </w:footnote>
  <w:footnote w:id="6">
    <w:p w:rsidR="008C1A5C" w:rsidRPr="00B846BB" w:rsidRDefault="008C1A5C" w:rsidP="00B846BB">
      <w:pPr>
        <w:pStyle w:val="Textonotapie"/>
        <w:jc w:val="both"/>
        <w:rPr>
          <w:rFonts w:ascii="Times New Roman" w:hAnsi="Times New Roman" w:cs="Times New Roman"/>
        </w:rPr>
      </w:pPr>
      <w:r w:rsidRPr="00B846BB">
        <w:rPr>
          <w:rStyle w:val="Refdenotaalpie"/>
          <w:rFonts w:ascii="Times New Roman" w:hAnsi="Times New Roman" w:cs="Times New Roman"/>
        </w:rPr>
        <w:footnoteRef/>
      </w:r>
      <w:r w:rsidRPr="00B846BB">
        <w:rPr>
          <w:rFonts w:ascii="Times New Roman" w:hAnsi="Times New Roman" w:cs="Times New Roman"/>
        </w:rPr>
        <w:t xml:space="preserve"> Artículo 1255 del CC: </w:t>
      </w:r>
      <w:r w:rsidRPr="00B846BB">
        <w:rPr>
          <w:rFonts w:ascii="Times New Roman" w:hAnsi="Times New Roman" w:cs="Times New Roman"/>
          <w:i/>
        </w:rPr>
        <w:t>“Los contratantes pueden establecer los pactos, cláusulas y condiciones que tengan por conveniente, siempre que no sean contrarios a las leyes, a la moral, ni al orden público.”</w:t>
      </w:r>
    </w:p>
  </w:footnote>
  <w:footnote w:id="7">
    <w:p w:rsidR="008C1A5C" w:rsidRPr="00B846BB" w:rsidRDefault="008C1A5C" w:rsidP="00B846BB">
      <w:pPr>
        <w:pStyle w:val="Textonotapie"/>
        <w:jc w:val="both"/>
        <w:rPr>
          <w:rFonts w:ascii="Times New Roman" w:hAnsi="Times New Roman" w:cs="Times New Roman"/>
        </w:rPr>
      </w:pPr>
      <w:r w:rsidRPr="00B846BB">
        <w:rPr>
          <w:rStyle w:val="Refdenotaalpie"/>
          <w:rFonts w:ascii="Times New Roman" w:hAnsi="Times New Roman" w:cs="Times New Roman"/>
        </w:rPr>
        <w:footnoteRef/>
      </w:r>
      <w:r w:rsidRPr="00B846BB">
        <w:rPr>
          <w:rFonts w:ascii="Times New Roman" w:hAnsi="Times New Roman" w:cs="Times New Roman"/>
        </w:rPr>
        <w:t xml:space="preserve">  Artículo 1258 del CC: “</w:t>
      </w:r>
      <w:r w:rsidRPr="00B846BB">
        <w:rPr>
          <w:rFonts w:ascii="Times New Roman" w:hAnsi="Times New Roman" w:cs="Times New Roman"/>
          <w:i/>
        </w:rPr>
        <w:t>Los contratos se perfeccionan por el mero consentimiento, y desde entonces obligan, no sólo al cumplimiento de lo expresamente pactado, sino también a todas las consecuencias que, según su naturaleza, sean conformes a la buena fe, al uso y a la ley.”</w:t>
      </w:r>
    </w:p>
  </w:footnote>
  <w:footnote w:id="8">
    <w:p w:rsidR="008C1A5C" w:rsidRPr="00B846BB" w:rsidRDefault="008C1A5C" w:rsidP="00B846BB">
      <w:pPr>
        <w:pStyle w:val="Textonotapie"/>
        <w:jc w:val="both"/>
        <w:rPr>
          <w:rFonts w:ascii="Times New Roman" w:hAnsi="Times New Roman" w:cs="Times New Roman"/>
          <w:i/>
        </w:rPr>
      </w:pPr>
      <w:r w:rsidRPr="00B846BB">
        <w:rPr>
          <w:rStyle w:val="Refdenotaalpie"/>
          <w:rFonts w:ascii="Times New Roman" w:hAnsi="Times New Roman" w:cs="Times New Roman"/>
        </w:rPr>
        <w:footnoteRef/>
      </w:r>
      <w:r w:rsidRPr="00B846BB">
        <w:rPr>
          <w:rFonts w:ascii="Times New Roman" w:hAnsi="Times New Roman" w:cs="Times New Roman"/>
        </w:rPr>
        <w:t xml:space="preserve"> Artículo 2 del Ccom: </w:t>
      </w:r>
      <w:r w:rsidRPr="00B846BB">
        <w:rPr>
          <w:rFonts w:ascii="Times New Roman" w:hAnsi="Times New Roman" w:cs="Times New Roman"/>
          <w:i/>
        </w:rPr>
        <w:t>“Los actos de comercio, sean o no comerciantes los que los ejecuten, y estén o no especificados en este Código, se regirán por las disposiciones contenidas en él; en su defecto, por los usos del comercio observados generalmente en cada plaza, y, a falta de ambas reglas, por las del Derecho común.</w:t>
      </w:r>
    </w:p>
    <w:p w:rsidR="008C1A5C" w:rsidRPr="00B846BB" w:rsidRDefault="008C1A5C" w:rsidP="00B846BB">
      <w:pPr>
        <w:pStyle w:val="Textonotapie"/>
        <w:jc w:val="both"/>
        <w:rPr>
          <w:rFonts w:ascii="Times New Roman" w:hAnsi="Times New Roman" w:cs="Times New Roman"/>
        </w:rPr>
      </w:pPr>
      <w:r w:rsidRPr="00B846BB">
        <w:rPr>
          <w:rFonts w:ascii="Times New Roman" w:hAnsi="Times New Roman" w:cs="Times New Roman"/>
          <w:i/>
        </w:rPr>
        <w:t>Serán reputados actos de comercio los comprendidos en este Código y cualesquiera otros de naturaleza análoga.”</w:t>
      </w:r>
    </w:p>
  </w:footnote>
  <w:footnote w:id="9">
    <w:p w:rsidR="008C1A5C" w:rsidRPr="00814F72" w:rsidRDefault="008C1A5C" w:rsidP="00B846BB">
      <w:pPr>
        <w:pStyle w:val="Textonotapie"/>
        <w:jc w:val="both"/>
        <w:rPr>
          <w:rFonts w:ascii="Times New Roman" w:hAnsi="Times New Roman" w:cs="Times New Roman"/>
        </w:rPr>
      </w:pPr>
      <w:r w:rsidRPr="00B846BB">
        <w:rPr>
          <w:rStyle w:val="Refdenotaalpie"/>
          <w:rFonts w:ascii="Times New Roman" w:hAnsi="Times New Roman" w:cs="Times New Roman"/>
        </w:rPr>
        <w:footnoteRef/>
      </w:r>
      <w:bookmarkStart w:id="4" w:name="_Hlk517892966"/>
      <w:r w:rsidRPr="00B846BB">
        <w:rPr>
          <w:rFonts w:ascii="Times New Roman" w:hAnsi="Times New Roman" w:cs="Times New Roman"/>
        </w:rPr>
        <w:t>Pulgar Ezquerra, J</w:t>
      </w:r>
      <w:r>
        <w:rPr>
          <w:rFonts w:ascii="Times New Roman" w:hAnsi="Times New Roman" w:cs="Times New Roman"/>
        </w:rPr>
        <w:t xml:space="preserve"> (2011)</w:t>
      </w:r>
      <w:r w:rsidRPr="00B846BB">
        <w:rPr>
          <w:rFonts w:ascii="Times New Roman" w:hAnsi="Times New Roman" w:cs="Times New Roman"/>
        </w:rPr>
        <w:t>, «Acuerdos de refinanciación y Escudos Protectores en la reforma de la Ley Concursal española 22/2003», Diario La Ley, núm. 7731, 2011.</w:t>
      </w:r>
      <w:bookmarkEnd w:id="4"/>
    </w:p>
  </w:footnote>
  <w:footnote w:id="10">
    <w:p w:rsidR="008C1A5C" w:rsidRDefault="008C1A5C" w:rsidP="00B846BB">
      <w:pPr>
        <w:pStyle w:val="Textonotapie"/>
        <w:jc w:val="both"/>
      </w:pPr>
      <w:r w:rsidRPr="00814F72">
        <w:rPr>
          <w:rStyle w:val="Refdenotaalpie"/>
          <w:rFonts w:ascii="Times New Roman" w:hAnsi="Times New Roman" w:cs="Times New Roman"/>
        </w:rPr>
        <w:footnoteRef/>
      </w:r>
      <w:r w:rsidRPr="00814F72">
        <w:rPr>
          <w:rFonts w:ascii="Times New Roman" w:hAnsi="Times New Roman" w:cs="Times New Roman"/>
        </w:rPr>
        <w:t xml:space="preserve"> Aznar Giner, E</w:t>
      </w:r>
      <w:r>
        <w:rPr>
          <w:rFonts w:ascii="Times New Roman" w:hAnsi="Times New Roman" w:cs="Times New Roman"/>
        </w:rPr>
        <w:t xml:space="preserve"> (2016).</w:t>
      </w:r>
      <w:r w:rsidRPr="00814F72">
        <w:rPr>
          <w:rFonts w:ascii="Times New Roman" w:hAnsi="Times New Roman" w:cs="Times New Roman"/>
        </w:rPr>
        <w:t xml:space="preserve"> Refinanciaciones de deuda, acuerdos extrajudiciales de pago y concurso de acreedores, ob. cit., pág. 17.</w:t>
      </w:r>
    </w:p>
  </w:footnote>
  <w:footnote w:id="11">
    <w:p w:rsidR="008C1A5C" w:rsidRPr="00814F72" w:rsidRDefault="008C1A5C" w:rsidP="00B846BB">
      <w:pPr>
        <w:pStyle w:val="Textonotapie"/>
        <w:jc w:val="both"/>
        <w:rPr>
          <w:rFonts w:ascii="Times New Roman" w:hAnsi="Times New Roman" w:cs="Times New Roman"/>
        </w:rPr>
      </w:pPr>
      <w:r w:rsidRPr="00814F72">
        <w:rPr>
          <w:rStyle w:val="Refdenotaalpie"/>
          <w:rFonts w:ascii="Times New Roman" w:hAnsi="Times New Roman" w:cs="Times New Roman"/>
        </w:rPr>
        <w:footnoteRef/>
      </w:r>
      <w:bookmarkStart w:id="5" w:name="_Hlk517945075"/>
      <w:r w:rsidRPr="00814F72">
        <w:rPr>
          <w:rFonts w:ascii="Times New Roman" w:hAnsi="Times New Roman" w:cs="Times New Roman"/>
        </w:rPr>
        <w:t>Olivencia, M.</w:t>
      </w:r>
      <w:r>
        <w:rPr>
          <w:rFonts w:ascii="Times New Roman" w:hAnsi="Times New Roman" w:cs="Times New Roman"/>
        </w:rPr>
        <w:t xml:space="preserve"> (2012).</w:t>
      </w:r>
      <w:r w:rsidRPr="00814F72">
        <w:rPr>
          <w:rFonts w:ascii="Times New Roman" w:hAnsi="Times New Roman" w:cs="Times New Roman"/>
        </w:rPr>
        <w:t xml:space="preserve"> «La reforma de la Ley concursal»</w:t>
      </w:r>
      <w:bookmarkEnd w:id="5"/>
      <w:r w:rsidRPr="00814F72">
        <w:rPr>
          <w:rFonts w:ascii="Times New Roman" w:hAnsi="Times New Roman" w:cs="Times New Roman"/>
        </w:rPr>
        <w:t>, RDM, 285, 2012, pág. 16.</w:t>
      </w:r>
    </w:p>
  </w:footnote>
  <w:footnote w:id="12">
    <w:p w:rsidR="008C1A5C" w:rsidRPr="00814F72" w:rsidRDefault="008C1A5C" w:rsidP="00B846BB">
      <w:pPr>
        <w:pStyle w:val="Textonotapie"/>
        <w:jc w:val="both"/>
        <w:rPr>
          <w:rFonts w:ascii="Times New Roman" w:hAnsi="Times New Roman" w:cs="Times New Roman"/>
        </w:rPr>
      </w:pPr>
      <w:r w:rsidRPr="00814F72">
        <w:rPr>
          <w:rStyle w:val="Refdenotaalpie"/>
          <w:rFonts w:ascii="Times New Roman" w:hAnsi="Times New Roman" w:cs="Times New Roman"/>
        </w:rPr>
        <w:footnoteRef/>
      </w:r>
      <w:r w:rsidRPr="00814F72">
        <w:rPr>
          <w:rFonts w:ascii="Times New Roman" w:hAnsi="Times New Roman" w:cs="Times New Roman"/>
        </w:rPr>
        <w:t xml:space="preserve"> León, </w:t>
      </w:r>
      <w:r>
        <w:rPr>
          <w:rFonts w:ascii="Times New Roman" w:hAnsi="Times New Roman" w:cs="Times New Roman"/>
        </w:rPr>
        <w:t>F.J. (2014)</w:t>
      </w:r>
      <w:r w:rsidRPr="00814F72">
        <w:rPr>
          <w:rFonts w:ascii="Times New Roman" w:hAnsi="Times New Roman" w:cs="Times New Roman"/>
        </w:rPr>
        <w:t xml:space="preserve"> «La ineficacia de los acuerdos de refinanciación», </w:t>
      </w:r>
      <w:r w:rsidRPr="00814F72">
        <w:rPr>
          <w:rFonts w:ascii="Times New Roman" w:hAnsi="Times New Roman" w:cs="Times New Roman"/>
        </w:rPr>
        <w:t>ADC</w:t>
      </w:r>
      <w:r>
        <w:rPr>
          <w:rFonts w:ascii="Times New Roman" w:hAnsi="Times New Roman" w:cs="Times New Roman"/>
        </w:rPr>
        <w:t>on</w:t>
      </w:r>
      <w:r w:rsidRPr="00814F72">
        <w:rPr>
          <w:rFonts w:ascii="Times New Roman" w:hAnsi="Times New Roman" w:cs="Times New Roman"/>
        </w:rPr>
        <w:t>, núm. 33, septiembre-diciembre, 2014, pág. 131.</w:t>
      </w:r>
    </w:p>
  </w:footnote>
  <w:footnote w:id="13">
    <w:p w:rsidR="008C1A5C" w:rsidRDefault="008C1A5C" w:rsidP="00B846BB">
      <w:pPr>
        <w:pStyle w:val="Textonotapie"/>
        <w:jc w:val="both"/>
      </w:pPr>
      <w:r w:rsidRPr="00814F72">
        <w:rPr>
          <w:rStyle w:val="Refdenotaalpie"/>
          <w:rFonts w:ascii="Times New Roman" w:hAnsi="Times New Roman" w:cs="Times New Roman"/>
        </w:rPr>
        <w:footnoteRef/>
      </w:r>
      <w:r w:rsidRPr="00814F72">
        <w:rPr>
          <w:rFonts w:ascii="Times New Roman" w:hAnsi="Times New Roman" w:cs="Times New Roman"/>
        </w:rPr>
        <w:t xml:space="preserve"> Valencia, F</w:t>
      </w:r>
      <w:r>
        <w:rPr>
          <w:rFonts w:ascii="Times New Roman" w:hAnsi="Times New Roman" w:cs="Times New Roman"/>
        </w:rPr>
        <w:t xml:space="preserve"> (2014)</w:t>
      </w:r>
      <w:r w:rsidRPr="00814F72">
        <w:rPr>
          <w:rFonts w:ascii="Times New Roman" w:hAnsi="Times New Roman" w:cs="Times New Roman"/>
        </w:rPr>
        <w:t>, «La tipología de los acuerdos de refinanciación», ADCo, núm. 33, págs. 66 y ss.; en similares términos se pronuncian Yáñez Evangelista y Niero Delgado, «Refinanciaciones: rescisión y extensión de efectos», ob. cit., pág. 162.</w:t>
      </w:r>
    </w:p>
  </w:footnote>
  <w:footnote w:id="14">
    <w:p w:rsidR="008C1A5C" w:rsidRPr="00814F72" w:rsidRDefault="008C1A5C" w:rsidP="00B846BB">
      <w:pPr>
        <w:pStyle w:val="Textonotapie"/>
        <w:jc w:val="both"/>
        <w:rPr>
          <w:rFonts w:ascii="Times New Roman" w:hAnsi="Times New Roman" w:cs="Times New Roman"/>
        </w:rPr>
      </w:pPr>
      <w:r w:rsidRPr="00814F72">
        <w:rPr>
          <w:rStyle w:val="Refdenotaalpie"/>
          <w:rFonts w:ascii="Times New Roman" w:hAnsi="Times New Roman" w:cs="Times New Roman"/>
        </w:rPr>
        <w:footnoteRef/>
      </w:r>
      <w:r w:rsidRPr="00814F72">
        <w:rPr>
          <w:rFonts w:ascii="Times New Roman" w:hAnsi="Times New Roman" w:cs="Times New Roman"/>
        </w:rPr>
        <w:t xml:space="preserve"> Vid. </w:t>
      </w:r>
      <w:r w:rsidRPr="00814F72">
        <w:rPr>
          <w:rFonts w:ascii="Times New Roman" w:hAnsi="Times New Roman" w:cs="Times New Roman"/>
        </w:rPr>
        <w:t>SospedraNavas,F</w:t>
      </w:r>
      <w:r>
        <w:rPr>
          <w:rFonts w:ascii="Times New Roman" w:hAnsi="Times New Roman" w:cs="Times New Roman"/>
        </w:rPr>
        <w:t>.J (2014)</w:t>
      </w:r>
      <w:r w:rsidRPr="00814F72">
        <w:rPr>
          <w:rFonts w:ascii="Times New Roman" w:hAnsi="Times New Roman" w:cs="Times New Roman"/>
        </w:rPr>
        <w:t>. Proceso Concursal. Comentarios, jurisprudencia, esquemas y formularios. Editorial: Thomson Reuters, Civitas. Edición 3ª. Págs. 97 y siguientes.</w:t>
      </w:r>
    </w:p>
  </w:footnote>
  <w:footnote w:id="15">
    <w:p w:rsidR="008C1A5C" w:rsidRDefault="008C1A5C" w:rsidP="00B846BB">
      <w:pPr>
        <w:pStyle w:val="Textonotapie"/>
        <w:jc w:val="both"/>
      </w:pPr>
      <w:r w:rsidRPr="00814F72">
        <w:rPr>
          <w:rStyle w:val="Refdenotaalpie"/>
          <w:rFonts w:ascii="Times New Roman" w:hAnsi="Times New Roman" w:cs="Times New Roman"/>
        </w:rPr>
        <w:footnoteRef/>
      </w:r>
      <w:r w:rsidRPr="00814F72">
        <w:rPr>
          <w:rFonts w:ascii="Times New Roman" w:hAnsi="Times New Roman" w:cs="Times New Roman"/>
        </w:rPr>
        <w:t xml:space="preserve"> Vid. Sospedra Navas,Francisco.José. Proceso Concursal. Comentarios, jurisprudencia, esquemas y formularios. Editorial: Thomson Reuters, Civitas. Edición 3ª,2014. Pág 100</w:t>
      </w:r>
    </w:p>
  </w:footnote>
  <w:footnote w:id="16">
    <w:p w:rsidR="008C1A5C" w:rsidRPr="00814F72" w:rsidRDefault="008C1A5C" w:rsidP="00B846BB">
      <w:pPr>
        <w:pStyle w:val="Textonotapie"/>
        <w:jc w:val="both"/>
        <w:rPr>
          <w:rFonts w:ascii="Times New Roman" w:hAnsi="Times New Roman" w:cs="Times New Roman"/>
        </w:rPr>
      </w:pPr>
      <w:r w:rsidRPr="00814F72">
        <w:rPr>
          <w:rStyle w:val="Refdenotaalpie"/>
          <w:rFonts w:ascii="Times New Roman" w:hAnsi="Times New Roman" w:cs="Times New Roman"/>
        </w:rPr>
        <w:footnoteRef/>
      </w:r>
      <w:r w:rsidRPr="00814F72">
        <w:rPr>
          <w:rFonts w:ascii="Times New Roman" w:hAnsi="Times New Roman" w:cs="Times New Roman"/>
        </w:rPr>
        <w:t xml:space="preserve"> Valencia</w:t>
      </w:r>
      <w:r>
        <w:rPr>
          <w:rFonts w:ascii="Times New Roman" w:hAnsi="Times New Roman" w:cs="Times New Roman"/>
        </w:rPr>
        <w:t>, F (2014)</w:t>
      </w:r>
      <w:r w:rsidRPr="00814F72">
        <w:rPr>
          <w:rFonts w:ascii="Times New Roman" w:hAnsi="Times New Roman" w:cs="Times New Roman"/>
        </w:rPr>
        <w:t>, «La tipología de los acuerdos de refinanciación», ob. cit., pág. 68</w:t>
      </w:r>
    </w:p>
  </w:footnote>
  <w:footnote w:id="17">
    <w:p w:rsidR="008C1A5C" w:rsidRDefault="008C1A5C" w:rsidP="00B846BB">
      <w:pPr>
        <w:pStyle w:val="Textonotapie"/>
        <w:jc w:val="both"/>
      </w:pPr>
      <w:r w:rsidRPr="00814F72">
        <w:rPr>
          <w:rStyle w:val="Refdenotaalpie"/>
          <w:rFonts w:ascii="Times New Roman" w:hAnsi="Times New Roman" w:cs="Times New Roman"/>
        </w:rPr>
        <w:footnoteRef/>
      </w:r>
      <w:r w:rsidRPr="00814F72">
        <w:rPr>
          <w:rFonts w:ascii="Times New Roman" w:hAnsi="Times New Roman" w:cs="Times New Roman"/>
        </w:rPr>
        <w:t xml:space="preserve"> Pulgar Ezquerra, «Acuerdos de refinanciación y escudos protectores en la reforma de la Ley Concursal española 22/2003», ob. cit.</w:t>
      </w:r>
    </w:p>
  </w:footnote>
  <w:footnote w:id="18">
    <w:p w:rsidR="008C1A5C" w:rsidRPr="00CB7CC4" w:rsidRDefault="008C1A5C" w:rsidP="00B846BB">
      <w:pPr>
        <w:pStyle w:val="Textonotapie"/>
        <w:jc w:val="both"/>
        <w:rPr>
          <w:rFonts w:ascii="Times New Roman" w:hAnsi="Times New Roman" w:cs="Times New Roman"/>
        </w:rPr>
      </w:pPr>
      <w:r w:rsidRPr="00CB7CC4">
        <w:rPr>
          <w:rStyle w:val="Refdenotaalpie"/>
          <w:rFonts w:ascii="Times New Roman" w:hAnsi="Times New Roman" w:cs="Times New Roman"/>
        </w:rPr>
        <w:footnoteRef/>
      </w:r>
      <w:r w:rsidRPr="00CB7CC4">
        <w:rPr>
          <w:rFonts w:ascii="Times New Roman" w:hAnsi="Times New Roman" w:cs="Times New Roman"/>
        </w:rPr>
        <w:t xml:space="preserve"> La regulación en España de la homologación proviene del Proyecto de Ley de reforma concursal ( BOCG , Congreso, Serie A. Núm. 119-1) y está inspirada en la regulación italiana sobre los «acuerdos de reestructuración de deudas», introducida mediante DL de 14 de marzo de 2005, n.º 35 -ampliado en 2010 mediante DL de 31 de mayo, n.º 78-, aunque existen notables diferencias entre uno y otro sistema de homologación; entre otras, la limitación que comporta la homologación en el sistema italiano, no solo del ejercicio de las acciones ejecutivas sino también de la solicitud o el mantenimiento de las medidas cautelares que puedan deparar una preferencia para el cobro de créditos. Aunque formalmente, la regulación italiana de los acuerdos de refinanciación se inserta en el marco del procedimiento de concordato preventivo (art. 182-bis Legge Fallimentare), la mayoría de la doctrina sostiene la independencia de éstos respecto de los requisitos exigidos al concordato.</w:t>
      </w:r>
    </w:p>
  </w:footnote>
  <w:footnote w:id="19">
    <w:p w:rsidR="008C1A5C" w:rsidRPr="00CB7CC4" w:rsidRDefault="008C1A5C" w:rsidP="00B846BB">
      <w:pPr>
        <w:pStyle w:val="Textonotapie"/>
        <w:jc w:val="both"/>
        <w:rPr>
          <w:rFonts w:ascii="Times New Roman" w:hAnsi="Times New Roman" w:cs="Times New Roman"/>
        </w:rPr>
      </w:pPr>
      <w:r w:rsidRPr="00CB7CC4">
        <w:rPr>
          <w:rStyle w:val="Refdenotaalpie"/>
          <w:rFonts w:ascii="Times New Roman" w:hAnsi="Times New Roman" w:cs="Times New Roman"/>
        </w:rPr>
        <w:footnoteRef/>
      </w:r>
      <w:r w:rsidRPr="00CB7CC4">
        <w:rPr>
          <w:rFonts w:ascii="Times New Roman" w:hAnsi="Times New Roman" w:cs="Times New Roman"/>
        </w:rPr>
        <w:t xml:space="preserve"> En rigor, no existen trámites procesales de urgencia sino «actuaciones urgentes» para las que la ley dispone trámites procedimentales ágiles; o también, procedimientos o recursos a los que la ley otorga una tramitación preferente.</w:t>
      </w:r>
    </w:p>
  </w:footnote>
  <w:footnote w:id="20">
    <w:p w:rsidR="008C1A5C" w:rsidRDefault="008C1A5C" w:rsidP="00B846BB">
      <w:pPr>
        <w:pStyle w:val="Textonotapie"/>
        <w:jc w:val="both"/>
      </w:pPr>
      <w:r w:rsidRPr="00CB7CC4">
        <w:rPr>
          <w:rStyle w:val="Refdenotaalpie"/>
          <w:rFonts w:ascii="Times New Roman" w:hAnsi="Times New Roman" w:cs="Times New Roman"/>
        </w:rPr>
        <w:footnoteRef/>
      </w:r>
      <w:r w:rsidRPr="00CB7CC4">
        <w:rPr>
          <w:rFonts w:ascii="Times New Roman" w:hAnsi="Times New Roman" w:cs="Times New Roman"/>
        </w:rPr>
        <w:t xml:space="preserve"> El apartado 5 de la Disposición adicional 4ª dispone que «los efectos de la homologación del acuerdo de refinanciación se producen en todo caso, y sin posibilidad de suspensión desde el día siguiente en que se publique la sentencia en el "Boletín Oficial del Estad"». Aunque la ubicación de la norma pudiera dar la impresión de que se refiere a la sentencia resolutoria de la oposición a la homologación, compartimos la opinión de quienes consideran que se refiere a la resolución de aprobación de la homologación (LÓPEZ SÁNCHEZ, El proceso concursal , Thomson Reuters Aranzadi, Cizur Menor (Navarra), 2012, pp. 65 y 66.</w:t>
      </w:r>
    </w:p>
  </w:footnote>
  <w:footnote w:id="21">
    <w:p w:rsidR="008C1A5C" w:rsidRPr="00CB7CC4" w:rsidRDefault="008C1A5C" w:rsidP="00B846BB">
      <w:pPr>
        <w:pStyle w:val="Textonotapie"/>
        <w:jc w:val="both"/>
        <w:rPr>
          <w:rFonts w:ascii="Times New Roman" w:hAnsi="Times New Roman" w:cs="Times New Roman"/>
        </w:rPr>
      </w:pPr>
      <w:r w:rsidRPr="00CB7CC4">
        <w:rPr>
          <w:rStyle w:val="Refdenotaalpie"/>
          <w:rFonts w:ascii="Times New Roman" w:hAnsi="Times New Roman" w:cs="Times New Roman"/>
        </w:rPr>
        <w:footnoteRef/>
      </w:r>
      <w:r w:rsidRPr="00CB7CC4">
        <w:rPr>
          <w:rFonts w:ascii="Times New Roman" w:hAnsi="Times New Roman" w:cs="Times New Roman"/>
        </w:rPr>
        <w:t xml:space="preserve"> Para el caso de los acuerdos de grupo, la Ley dispone una norma específica sobre cómo efectuar el cómputo del porcentaje exigido (art. 71.6-1º LC).</w:t>
      </w:r>
    </w:p>
  </w:footnote>
  <w:footnote w:id="22">
    <w:p w:rsidR="008C1A5C" w:rsidRPr="00CB7CC4" w:rsidRDefault="008C1A5C" w:rsidP="00B846BB">
      <w:pPr>
        <w:pStyle w:val="Textonotapie"/>
        <w:jc w:val="both"/>
        <w:rPr>
          <w:rFonts w:ascii="Times New Roman" w:hAnsi="Times New Roman" w:cs="Times New Roman"/>
        </w:rPr>
      </w:pPr>
      <w:r w:rsidRPr="00CB7CC4">
        <w:rPr>
          <w:rStyle w:val="Refdenotaalpie"/>
          <w:rFonts w:ascii="Times New Roman" w:hAnsi="Times New Roman" w:cs="Times New Roman"/>
        </w:rPr>
        <w:footnoteRef/>
      </w:r>
      <w:r w:rsidRPr="00CB7CC4">
        <w:rPr>
          <w:rFonts w:ascii="Times New Roman" w:hAnsi="Times New Roman" w:cs="Times New Roman"/>
        </w:rPr>
        <w:t xml:space="preserve"> Esta suposición bien podría entenderse desvirtuada por la previsión legal de que si el informe contuviera reservas o limitaciones, su importancia deberá ser expresamente evaluada por los firmantes del acuerdo; lo que sirve para entender justo lo contrario, esto es: que primero se informa el plan de viabilidad y luego se firma el acuerdo.</w:t>
      </w:r>
    </w:p>
    <w:p w:rsidR="008C1A5C" w:rsidRDefault="008C1A5C" w:rsidP="00B846BB">
      <w:pPr>
        <w:pStyle w:val="Textonotapie"/>
        <w:jc w:val="both"/>
      </w:pPr>
      <w:r w:rsidRPr="00CB7CC4">
        <w:rPr>
          <w:rFonts w:ascii="Times New Roman" w:hAnsi="Times New Roman" w:cs="Times New Roman"/>
        </w:rPr>
        <w:t>A favor de que el informe pueda ser emitido válidamente con la sola propuesta de acuerdo, v. PULGAR EZQUERRA</w:t>
      </w:r>
      <w:r>
        <w:rPr>
          <w:rFonts w:ascii="Times New Roman" w:hAnsi="Times New Roman" w:cs="Times New Roman"/>
        </w:rPr>
        <w:t>, J</w:t>
      </w:r>
      <w:r w:rsidRPr="00CB7CC4">
        <w:rPr>
          <w:rFonts w:ascii="Times New Roman" w:hAnsi="Times New Roman" w:cs="Times New Roman"/>
        </w:rPr>
        <w:t xml:space="preserve"> («Preconcursalidad y acuerdos de refinanciación», en El concurso de acreedores (AAVV, Dir. Pulgar), La Ley, Madrid, 2012, p. 72); en contra, el AJPIeI de Ciudad Real (N.º 4), de 7.8.2012, da por sentado que la firma del acuerdo debe ser previa a la emisión del informe (Id </w:t>
      </w:r>
      <w:r w:rsidRPr="00CB7CC4">
        <w:rPr>
          <w:rFonts w:ascii="Times New Roman" w:hAnsi="Times New Roman" w:cs="Times New Roman"/>
        </w:rPr>
        <w:t>Cendoj: 13034410042012200001).</w:t>
      </w:r>
    </w:p>
  </w:footnote>
  <w:footnote w:id="23">
    <w:p w:rsidR="008C1A5C" w:rsidRPr="00CB7CC4" w:rsidRDefault="008C1A5C" w:rsidP="003641EC">
      <w:pPr>
        <w:pStyle w:val="Textonotapie"/>
        <w:jc w:val="both"/>
        <w:rPr>
          <w:rFonts w:ascii="Times New Roman" w:hAnsi="Times New Roman" w:cs="Times New Roman"/>
          <w:i/>
        </w:rPr>
      </w:pPr>
      <w:r w:rsidRPr="00CB7CC4">
        <w:rPr>
          <w:rStyle w:val="Refdenotaalpie"/>
          <w:rFonts w:ascii="Times New Roman" w:hAnsi="Times New Roman" w:cs="Times New Roman"/>
        </w:rPr>
        <w:footnoteRef/>
      </w:r>
      <w:r w:rsidRPr="00CB7CC4">
        <w:rPr>
          <w:rFonts w:ascii="Times New Roman" w:hAnsi="Times New Roman" w:cs="Times New Roman"/>
        </w:rPr>
        <w:t xml:space="preserve"> Artículo 10.3 de la LC: “</w:t>
      </w:r>
      <w:r w:rsidRPr="00CB7CC4">
        <w:rPr>
          <w:rFonts w:ascii="Times New Roman" w:hAnsi="Times New Roman" w:cs="Times New Roman"/>
          <w:i/>
        </w:rPr>
        <w:t>Si el centro de los intereses principales no se hallase en territorio español, pero el deudor tuviese en éste un establecimiento, será competente el juez de lo mercantil en cuyo territorio radique y, de existir varios, donde se encuentre cualquiera de ellos, a elección del solicitante.</w:t>
      </w:r>
    </w:p>
    <w:p w:rsidR="008C1A5C" w:rsidRPr="00CB7CC4" w:rsidRDefault="008C1A5C" w:rsidP="003641EC">
      <w:pPr>
        <w:pStyle w:val="Textonotapie"/>
        <w:jc w:val="both"/>
        <w:rPr>
          <w:rFonts w:ascii="Times New Roman" w:hAnsi="Times New Roman" w:cs="Times New Roman"/>
          <w:i/>
        </w:rPr>
      </w:pPr>
      <w:r w:rsidRPr="00CB7CC4">
        <w:rPr>
          <w:rFonts w:ascii="Times New Roman" w:hAnsi="Times New Roman" w:cs="Times New Roman"/>
          <w:i/>
        </w:rPr>
        <w:t>Por establecimiento se entenderá todo lugar de operaciones en el que el deudor ejerza de forma no transitoria una actividad económica con medios humanos y bienes.</w:t>
      </w:r>
    </w:p>
    <w:p w:rsidR="008C1A5C" w:rsidRPr="00CB7CC4" w:rsidRDefault="008C1A5C" w:rsidP="003641EC">
      <w:pPr>
        <w:pStyle w:val="Textonotapie"/>
        <w:jc w:val="both"/>
        <w:rPr>
          <w:rFonts w:ascii="Times New Roman" w:hAnsi="Times New Roman" w:cs="Times New Roman"/>
        </w:rPr>
      </w:pPr>
      <w:r w:rsidRPr="00CB7CC4">
        <w:rPr>
          <w:rFonts w:ascii="Times New Roman" w:hAnsi="Times New Roman" w:cs="Times New Roman"/>
          <w:i/>
        </w:rPr>
        <w:t>Los efectos de este concurso, que en el ámbito internacional se considerará «concurso territorial», se limitarán a los bienes del deudor, afectos o no a su actividad, que estén situados en España. En el caso de que en el Estado donde el deudor tiene el centro de sus intereses principales se abra un procedimiento de insolvencia, se tendrán en cuenta las reglas de coordinación previstas en el capítulo IV del título IX de esta ley.”</w:t>
      </w:r>
    </w:p>
  </w:footnote>
  <w:footnote w:id="24">
    <w:p w:rsidR="008C1A5C" w:rsidRDefault="008C1A5C" w:rsidP="003641EC">
      <w:pPr>
        <w:pStyle w:val="Textonotapie"/>
        <w:jc w:val="both"/>
      </w:pPr>
      <w:r w:rsidRPr="00CB7CC4">
        <w:rPr>
          <w:rStyle w:val="Refdenotaalpie"/>
          <w:rFonts w:ascii="Times New Roman" w:hAnsi="Times New Roman" w:cs="Times New Roman"/>
        </w:rPr>
        <w:footnoteRef/>
      </w:r>
      <w:r w:rsidRPr="00CB7CC4">
        <w:rPr>
          <w:rFonts w:ascii="Times New Roman" w:hAnsi="Times New Roman" w:cs="Times New Roman"/>
        </w:rPr>
        <w:t xml:space="preserve"> En cambio, si estimamos cuestionable la atribución competencial que se efectúa «por remisión» al concurso: a nivel conceptual, porque la homologación se nos presenta como la antítesis del concurso, esto es, como un instrumento para la viabilidad empresarial y la evitación de la declaración del concurso necesario («escudo protector») ; y a nivel práctico, porque más abonada nos parece la determinación de la competencia en función del expediente registral del nombramiento de experto y de depósito del acuerdo, que operan en función del domicilio del deudor. Y si bien es cierto que tratándose del deudor persona jurídica la Ley presume que el centro de los intereses principales es el lugar del domicilio social, en el caso del empresario persona física ambos criterios pueden no coincidir en el mismo lugar.</w:t>
      </w:r>
    </w:p>
  </w:footnote>
  <w:footnote w:id="25">
    <w:p w:rsidR="008C1A5C" w:rsidRPr="00CB7CC4" w:rsidRDefault="008C1A5C" w:rsidP="007A1F1F">
      <w:pPr>
        <w:pStyle w:val="Textonotapie"/>
        <w:jc w:val="both"/>
        <w:rPr>
          <w:rFonts w:ascii="Times New Roman" w:hAnsi="Times New Roman" w:cs="Times New Roman"/>
          <w:i/>
        </w:rPr>
      </w:pPr>
      <w:r w:rsidRPr="00CB7CC4">
        <w:rPr>
          <w:rStyle w:val="Refdenotaalpie"/>
          <w:rFonts w:ascii="Times New Roman" w:hAnsi="Times New Roman" w:cs="Times New Roman"/>
        </w:rPr>
        <w:footnoteRef/>
      </w:r>
      <w:r w:rsidRPr="00CB7CC4">
        <w:rPr>
          <w:rFonts w:ascii="Times New Roman" w:hAnsi="Times New Roman" w:cs="Times New Roman"/>
        </w:rPr>
        <w:t xml:space="preserve"> Artículo 1257 CC: “</w:t>
      </w:r>
      <w:r w:rsidRPr="00CB7CC4">
        <w:rPr>
          <w:rFonts w:ascii="Times New Roman" w:hAnsi="Times New Roman" w:cs="Times New Roman"/>
          <w:i/>
        </w:rPr>
        <w:t>Los contratos sólo producen efecto entre las partes que los otorgan y sus herederos; salvo, en cuanto a éstos, el caso en que los derechos y obligaciones que proceden del contrato no sean transmisibles, o por su naturaleza, o por pacto, o por disposición de la ley.</w:t>
      </w:r>
    </w:p>
    <w:p w:rsidR="008C1A5C" w:rsidRDefault="008C1A5C" w:rsidP="007A1F1F">
      <w:pPr>
        <w:pStyle w:val="Textonotapie"/>
        <w:jc w:val="both"/>
      </w:pPr>
      <w:r w:rsidRPr="00CB7CC4">
        <w:rPr>
          <w:rFonts w:ascii="Times New Roman" w:hAnsi="Times New Roman" w:cs="Times New Roman"/>
          <w:i/>
        </w:rPr>
        <w:t>Si el contrato contuviere alguna estipulación en favor de un tercero, éste podrá exigir su cumplimiento, siempre que hubiese hecho saber su aceptación al obligado antes de que haya sido aquélla revocada.”</w:t>
      </w:r>
    </w:p>
  </w:footnote>
  <w:footnote w:id="26">
    <w:p w:rsidR="008C1A5C" w:rsidRPr="00585E8F" w:rsidRDefault="008C1A5C" w:rsidP="0062685D">
      <w:pPr>
        <w:pStyle w:val="Textonotapie"/>
        <w:jc w:val="both"/>
        <w:rPr>
          <w:rFonts w:ascii="Times New Roman" w:hAnsi="Times New Roman" w:cs="Times New Roman"/>
        </w:rPr>
      </w:pPr>
      <w:r w:rsidRPr="00585E8F">
        <w:rPr>
          <w:rStyle w:val="Refdenotaalpie"/>
          <w:rFonts w:ascii="Times New Roman" w:hAnsi="Times New Roman" w:cs="Times New Roman"/>
        </w:rPr>
        <w:footnoteRef/>
      </w:r>
      <w:r w:rsidRPr="00585E8F">
        <w:rPr>
          <w:rFonts w:ascii="Times New Roman" w:hAnsi="Times New Roman" w:cs="Times New Roman"/>
        </w:rPr>
        <w:t xml:space="preserve"> Expresivo es al respecto, el AJM de Sevilla (N.º 2), de 21.5.2012: «El acuerdo se sanciona en la totalidad del mismo y por tanto con sujeción al cumplimiento de los presupuestos de condicionalidad que le son propios, en garantía y contrapartida de la tutela jurídica y preservación de eficacia que supone el blindaje legal de que se dota al mismo los efectos el art. 71 y ss. De modo que no cabe considerar aisladamente o de modo separado la viabilidad y mantenimiento del acuerdo de refinanciación bancaria, al margen del cumplimiento de las restantes condiciones señaladas y en particular de la plasmación final de aumento de capital y compromisos que se refieren de la entidad Grupo Gordales de Utrera SL y socios del mismo»    (AC 2012, 1498) .</w:t>
      </w:r>
    </w:p>
  </w:footnote>
  <w:footnote w:id="27">
    <w:p w:rsidR="008C1A5C" w:rsidRPr="00585E8F" w:rsidRDefault="008C1A5C" w:rsidP="0078730A">
      <w:pPr>
        <w:pStyle w:val="Textonotapie"/>
        <w:jc w:val="both"/>
        <w:rPr>
          <w:rFonts w:ascii="Times New Roman" w:hAnsi="Times New Roman" w:cs="Times New Roman"/>
        </w:rPr>
      </w:pPr>
      <w:r w:rsidRPr="00585E8F">
        <w:rPr>
          <w:rStyle w:val="Refdenotaalpie"/>
          <w:rFonts w:ascii="Times New Roman" w:hAnsi="Times New Roman" w:cs="Times New Roman"/>
        </w:rPr>
        <w:footnoteRef/>
      </w:r>
      <w:r w:rsidRPr="00585E8F">
        <w:rPr>
          <w:rFonts w:ascii="Times New Roman" w:hAnsi="Times New Roman" w:cs="Times New Roman"/>
        </w:rPr>
        <w:t xml:space="preserve"> La posibilidad de una homologación parcial -subjetiva- del acuerdo es aceptada por SANJUAN Y MUÑOZ, «El sacrificio "patrimonial" desproporcionado en la Ley Concursal», en Revista Digital Para la Difusión del Conocimiento Económico (Extoikos) , N.º 7, 2012, p</w:t>
      </w:r>
      <w:r>
        <w:rPr>
          <w:rFonts w:ascii="Times New Roman" w:hAnsi="Times New Roman" w:cs="Times New Roman"/>
        </w:rPr>
        <w:t>ag</w:t>
      </w:r>
      <w:r w:rsidRPr="00585E8F">
        <w:rPr>
          <w:rFonts w:ascii="Times New Roman" w:hAnsi="Times New Roman" w:cs="Times New Roman"/>
        </w:rPr>
        <w:t>. 64.</w:t>
      </w:r>
    </w:p>
  </w:footnote>
  <w:footnote w:id="28">
    <w:p w:rsidR="008C1A5C" w:rsidRPr="004610D0" w:rsidRDefault="008C1A5C" w:rsidP="00585E8F">
      <w:pPr>
        <w:pStyle w:val="Textonotapie"/>
        <w:jc w:val="both"/>
        <w:rPr>
          <w:rFonts w:ascii="Times New Roman" w:hAnsi="Times New Roman" w:cs="Times New Roman"/>
        </w:rPr>
      </w:pPr>
      <w:r w:rsidRPr="004610D0">
        <w:rPr>
          <w:rStyle w:val="Refdenotaalpie"/>
          <w:rFonts w:ascii="Times New Roman" w:hAnsi="Times New Roman" w:cs="Times New Roman"/>
        </w:rPr>
        <w:footnoteRef/>
      </w:r>
      <w:r w:rsidRPr="004610D0">
        <w:rPr>
          <w:rFonts w:ascii="Times New Roman" w:hAnsi="Times New Roman" w:cs="Times New Roman"/>
        </w:rPr>
        <w:t xml:space="preserve"> A título de ejemplo, el acuerdo homologado mediante AJPI (Mercantil) de León (N.º 8), de 31.5.2012, comprende, entre otros extremos, acuerdos de quita con acreedores comerciales; conversión en capital social del crédito que ostentan las empresas vinculadas al deudor; el aplazamiento de deudas tributarias y de seguridad social; aportaciones de los socios para el aumento del capital social, y aceptación por los trabajadores de la congelación salarial, además de los específicos con entidades financieras de cancelación de las operaciones vigentes y concertación de otras nuevas a mayor plazo, novación de crédito, ampliación de los contratos de leasing vigentes, aportación de efectivo mediante concesión de nuevos préstamos y mantenimiento de líneas de descuento (BOE Núm. 184, de 2.8.2012; Referencia 27231).</w:t>
      </w:r>
    </w:p>
  </w:footnote>
  <w:footnote w:id="29">
    <w:p w:rsidR="008C1A5C" w:rsidRPr="004610D0" w:rsidRDefault="008C1A5C">
      <w:pPr>
        <w:pStyle w:val="Textonotapie"/>
        <w:rPr>
          <w:rFonts w:ascii="Times New Roman" w:hAnsi="Times New Roman" w:cs="Times New Roman"/>
        </w:rPr>
      </w:pPr>
      <w:r w:rsidRPr="004610D0">
        <w:rPr>
          <w:rStyle w:val="Refdenotaalpie"/>
          <w:rFonts w:ascii="Times New Roman" w:hAnsi="Times New Roman" w:cs="Times New Roman"/>
        </w:rPr>
        <w:footnoteRef/>
      </w:r>
      <w:r w:rsidRPr="004610D0">
        <w:rPr>
          <w:rFonts w:ascii="Times New Roman" w:hAnsi="Times New Roman" w:cs="Times New Roman"/>
        </w:rPr>
        <w:t xml:space="preserve"> Auto N.º 186/2012  (JUR 2012, 277325) .</w:t>
      </w:r>
    </w:p>
  </w:footnote>
  <w:footnote w:id="30">
    <w:p w:rsidR="008C1A5C" w:rsidRPr="004610D0" w:rsidRDefault="008C1A5C">
      <w:pPr>
        <w:pStyle w:val="Textonotapie"/>
        <w:rPr>
          <w:rFonts w:ascii="Times New Roman" w:hAnsi="Times New Roman" w:cs="Times New Roman"/>
        </w:rPr>
      </w:pPr>
      <w:r w:rsidRPr="004610D0">
        <w:rPr>
          <w:rStyle w:val="Refdenotaalpie"/>
          <w:rFonts w:ascii="Times New Roman" w:hAnsi="Times New Roman" w:cs="Times New Roman"/>
        </w:rPr>
        <w:footnoteRef/>
      </w:r>
      <w:r w:rsidRPr="004610D0">
        <w:rPr>
          <w:rFonts w:ascii="Times New Roman" w:hAnsi="Times New Roman" w:cs="Times New Roman"/>
        </w:rPr>
        <w:t>BOE Núm. 302, de 11.12.2012 (Referencia 43506).</w:t>
      </w:r>
    </w:p>
  </w:footnote>
  <w:footnote w:id="31">
    <w:p w:rsidR="008C1A5C" w:rsidRPr="004610D0" w:rsidRDefault="008C1A5C">
      <w:pPr>
        <w:pStyle w:val="Textonotapie"/>
        <w:rPr>
          <w:rFonts w:ascii="Times New Roman" w:hAnsi="Times New Roman" w:cs="Times New Roman"/>
        </w:rPr>
      </w:pPr>
      <w:r w:rsidRPr="004610D0">
        <w:rPr>
          <w:rStyle w:val="Refdenotaalpie"/>
          <w:rFonts w:ascii="Times New Roman" w:hAnsi="Times New Roman" w:cs="Times New Roman"/>
        </w:rPr>
        <w:footnoteRef/>
      </w:r>
      <w:r w:rsidRPr="004610D0">
        <w:rPr>
          <w:rFonts w:ascii="Times New Roman" w:hAnsi="Times New Roman" w:cs="Times New Roman"/>
          <w:color w:val="000000"/>
        </w:rPr>
        <w:t>Auto N.º 153/2012, objeto de aclaración mediante Auto de 14.6.2012 (BOE Núm. 186, de 4 de agosto; Referencias 27480 y 27476, respectivamente).</w:t>
      </w:r>
    </w:p>
  </w:footnote>
  <w:footnote w:id="32">
    <w:p w:rsidR="008C1A5C" w:rsidRPr="00CB7CC4" w:rsidRDefault="008C1A5C" w:rsidP="00B17FD4">
      <w:pPr>
        <w:pStyle w:val="Textonotapie"/>
        <w:jc w:val="both"/>
        <w:rPr>
          <w:rFonts w:ascii="Times New Roman" w:hAnsi="Times New Roman" w:cs="Times New Roman"/>
        </w:rPr>
      </w:pPr>
      <w:r w:rsidRPr="004610D0">
        <w:rPr>
          <w:rStyle w:val="Refdenotaalpie"/>
          <w:rFonts w:ascii="Times New Roman" w:hAnsi="Times New Roman" w:cs="Times New Roman"/>
        </w:rPr>
        <w:footnoteRef/>
      </w:r>
      <w:r w:rsidRPr="004610D0">
        <w:rPr>
          <w:rFonts w:ascii="Times New Roman" w:hAnsi="Times New Roman" w:cs="Times New Roman"/>
        </w:rPr>
        <w:t xml:space="preserve"> Las citadas condiciones eran, la aprobación del acuerdo de aumento de capital con 20.000 nuevas acciones -con determinada prima de emisión-, a suscribir y desembolsar en su integridad por los socios de una de las empresas del grupo; la formalización en instrumento público del acuerdo, incluido el informe favorable del experto independiente, y que al tiempo de presentación de las escrituras de préstamo hipotecario acordadas no apareciera inscrita ni presentada sobre las fincas, cualesquiera otras cargas o gravámenes; condiciones todas ellas que deberían ser cumplidas en el plazo de tres meses desde la firma del acuerdo, bajo sanción de ineficacia del mismo.</w:t>
      </w:r>
    </w:p>
  </w:footnote>
  <w:footnote w:id="33">
    <w:p w:rsidR="008C1A5C" w:rsidRPr="004610D0" w:rsidRDefault="008C1A5C">
      <w:pPr>
        <w:pStyle w:val="Textonotapie"/>
        <w:rPr>
          <w:rFonts w:ascii="Times New Roman" w:hAnsi="Times New Roman" w:cs="Times New Roman"/>
        </w:rPr>
      </w:pPr>
      <w:r w:rsidRPr="004610D0">
        <w:rPr>
          <w:rStyle w:val="Refdenotaalpie"/>
          <w:rFonts w:ascii="Times New Roman" w:hAnsi="Times New Roman" w:cs="Times New Roman"/>
        </w:rPr>
        <w:footnoteRef/>
      </w:r>
      <w:r w:rsidRPr="004610D0">
        <w:rPr>
          <w:rFonts w:ascii="Times New Roman" w:hAnsi="Times New Roman" w:cs="Times New Roman"/>
        </w:rPr>
        <w:t xml:space="preserve"> La admisibilidad de un pacto de espera por tiempo superior a tres años viene confirmada por la práctica judicial; así, en Resolución del JMer de A Coruña (N.º 1), de 14.12.2012 se homologa un plazo de espera de siete años (BOE Núm. 311, de 27.12.2012; Referencia 44908), de diez años en el AJM de Sevilla (N.º 2), de 21.5.2012 (BOE N.º 132, de 2.6.2012; Referencia 18819) y de quince en el AJM de Badajoz (N.º 1), de 7.2.2012 (BOE Núm. 51, de 28.2.1013; Referencia 7868). No obstante, algún pronunciamiento judicial considera, obiter dictum , que el límite de tres años es aplicable también a la espera pactada en el acuerdo; cfr.  AJM de Gijón (N.º 3), de </w:t>
      </w:r>
      <w:r w:rsidRPr="004610D0">
        <w:rPr>
          <w:rFonts w:ascii="Times New Roman" w:hAnsi="Times New Roman" w:cs="Times New Roman"/>
        </w:rPr>
        <w:t>10.7.2012  (JUR 2012, 277325).</w:t>
      </w:r>
    </w:p>
  </w:footnote>
  <w:footnote w:id="34">
    <w:p w:rsidR="008C1A5C" w:rsidRPr="004610D0" w:rsidRDefault="008C1A5C" w:rsidP="000E5FC4">
      <w:pPr>
        <w:pStyle w:val="Textonotapie"/>
        <w:jc w:val="both"/>
        <w:rPr>
          <w:rFonts w:ascii="Times New Roman" w:hAnsi="Times New Roman" w:cs="Times New Roman"/>
        </w:rPr>
      </w:pPr>
      <w:r w:rsidRPr="004610D0">
        <w:rPr>
          <w:rStyle w:val="Refdenotaalpie"/>
          <w:rFonts w:ascii="Times New Roman" w:hAnsi="Times New Roman" w:cs="Times New Roman"/>
        </w:rPr>
        <w:footnoteRef/>
      </w:r>
      <w:r w:rsidRPr="004610D0">
        <w:rPr>
          <w:rFonts w:ascii="Times New Roman" w:hAnsi="Times New Roman" w:cs="Times New Roman"/>
        </w:rPr>
        <w:t xml:space="preserve">En sentido contrario, PULGAR EZQUERRA, </w:t>
      </w:r>
      <w:r w:rsidRPr="004610D0">
        <w:rPr>
          <w:rFonts w:ascii="Times New Roman" w:hAnsi="Times New Roman" w:cs="Times New Roman"/>
        </w:rPr>
        <w:t xml:space="preserve">J( </w:t>
      </w:r>
      <w:r w:rsidRPr="004610D0">
        <w:rPr>
          <w:rFonts w:ascii="Times New Roman" w:hAnsi="Times New Roman" w:cs="Times New Roman"/>
        </w:rPr>
        <w:t>Preconcursalidad y acuerdos de refinanciación , cit., p. 108) y DÍAZ MARTÍNEZ ( El proceso concursal , EURA, Madrid, 2012, p. 62). Por su parte, el AJM de Barcelona (N.º 6), de 5.6.2012 (BOE Núm. 186, de 4.8.2012; Referencia 27489) y el AJPI (Mercantil) de Lugo (N.º 1), de 1.2.2013 (BOE Núm. 68, de 20.3.2013; Referencia 10652) aprueban la homologación de sendos acuerdos de refinanciación y acuerdan la paralización de las ejecuciones sustanciadas contra el deudor por el plazo máximo de tres años.</w:t>
      </w:r>
    </w:p>
  </w:footnote>
  <w:footnote w:id="35">
    <w:p w:rsidR="008C1A5C" w:rsidRPr="00A569FB" w:rsidRDefault="008C1A5C" w:rsidP="00A569FB">
      <w:pPr>
        <w:pStyle w:val="Textonotapie"/>
        <w:jc w:val="both"/>
        <w:rPr>
          <w:rFonts w:ascii="Times New Roman" w:hAnsi="Times New Roman" w:cs="Times New Roman"/>
        </w:rPr>
      </w:pPr>
      <w:r w:rsidRPr="004610D0">
        <w:rPr>
          <w:rStyle w:val="Refdenotaalpie"/>
          <w:rFonts w:ascii="Times New Roman" w:hAnsi="Times New Roman" w:cs="Times New Roman"/>
        </w:rPr>
        <w:footnoteRef/>
      </w:r>
      <w:r w:rsidRPr="004610D0">
        <w:rPr>
          <w:rFonts w:ascii="Times New Roman" w:hAnsi="Times New Roman" w:cs="Times New Roman"/>
        </w:rPr>
        <w:t>Mediante anuncio del JMer de Madrid (N.º 3) de 26.2.2013 se publicita la admisión a trámite de solicitud de homologación de acuerdo de refinanciación y de la paralización de un procedimiento concreto de ejecución de título extrajudicial respecto de un concreto ejecutado y solicitante de la homologación (BOE Núm. 70, de 22.3.2013; Referencia 11054).</w:t>
      </w:r>
    </w:p>
  </w:footnote>
  <w:footnote w:id="36">
    <w:p w:rsidR="008C1A5C" w:rsidRDefault="008C1A5C" w:rsidP="00A569FB">
      <w:pPr>
        <w:pStyle w:val="Textonotapie"/>
        <w:jc w:val="both"/>
      </w:pPr>
      <w:r w:rsidRPr="00A569FB">
        <w:rPr>
          <w:rStyle w:val="Refdenotaalpie"/>
          <w:rFonts w:ascii="Times New Roman" w:hAnsi="Times New Roman" w:cs="Times New Roman"/>
        </w:rPr>
        <w:footnoteRef/>
      </w:r>
      <w:r w:rsidRPr="00A569FB">
        <w:rPr>
          <w:rFonts w:ascii="Times New Roman" w:hAnsi="Times New Roman" w:cs="Times New Roman"/>
        </w:rPr>
        <w:t xml:space="preserve"> La prohibición comprende el ejercicio de la acción de condena en la medida en que tiene como presupuesto la exigibilidad del crédito; más dudoso es que alcance también a la acción meramente declarativa, aunque esta modalidad de acciones requiere la justificación del interés que aboca a su ejercicio.</w:t>
      </w:r>
    </w:p>
  </w:footnote>
  <w:footnote w:id="37">
    <w:p w:rsidR="008C1A5C" w:rsidRPr="00DA7CC2" w:rsidRDefault="008C1A5C" w:rsidP="00AA2397">
      <w:pPr>
        <w:pStyle w:val="Textonotapie"/>
        <w:jc w:val="both"/>
        <w:rPr>
          <w:rFonts w:ascii="Times New Roman" w:hAnsi="Times New Roman" w:cs="Times New Roman"/>
        </w:rPr>
      </w:pPr>
      <w:r w:rsidRPr="00AA2397">
        <w:rPr>
          <w:rStyle w:val="Refdenotaalpie"/>
          <w:rFonts w:ascii="Times New Roman" w:hAnsi="Times New Roman" w:cs="Times New Roman"/>
        </w:rPr>
        <w:footnoteRef/>
      </w:r>
      <w:r w:rsidRPr="00AA2397">
        <w:rPr>
          <w:rFonts w:ascii="Times New Roman" w:hAnsi="Times New Roman" w:cs="Times New Roman"/>
        </w:rPr>
        <w:t xml:space="preserve"> Si el demandado no formulase alegaciones y peticiones en el trámite a que se refiere la regla primera del artículo anterior, se entenderá que renuncia a ser oído y se dictará nueva sentencia en los mismos términos que la rescindida.Contra esta sentencia no se dará recurso alguno.</w:t>
      </w:r>
    </w:p>
  </w:footnote>
  <w:footnote w:id="38">
    <w:p w:rsidR="008C1A5C" w:rsidRPr="004610D0" w:rsidRDefault="008C1A5C" w:rsidP="008B1764">
      <w:pPr>
        <w:pStyle w:val="Textonotapie"/>
        <w:jc w:val="both"/>
        <w:rPr>
          <w:rFonts w:ascii="Times New Roman" w:hAnsi="Times New Roman" w:cs="Times New Roman"/>
        </w:rPr>
      </w:pPr>
      <w:r w:rsidRPr="004610D0">
        <w:rPr>
          <w:rStyle w:val="Refdenotaalpie"/>
          <w:rFonts w:ascii="Times New Roman" w:hAnsi="Times New Roman" w:cs="Times New Roman"/>
        </w:rPr>
        <w:footnoteRef/>
      </w:r>
      <w:r w:rsidRPr="004610D0">
        <w:rPr>
          <w:rFonts w:ascii="Times New Roman" w:hAnsi="Times New Roman" w:cs="Times New Roman"/>
        </w:rPr>
        <w:t xml:space="preserve">Al respecto, v. Decreto dictado por el secretario del </w:t>
      </w:r>
      <w:r w:rsidRPr="004610D0">
        <w:rPr>
          <w:rFonts w:ascii="Times New Roman" w:hAnsi="Times New Roman" w:cs="Times New Roman"/>
        </w:rPr>
        <w:t>JMer de Santa Cruz de Tenerife (N.º 1) de 29.1.2013 (BOE Núm. 53, de 2.3.2013; Referencia 8198).</w:t>
      </w:r>
    </w:p>
  </w:footnote>
  <w:footnote w:id="39">
    <w:p w:rsidR="008C1A5C" w:rsidRPr="00611CF7" w:rsidRDefault="008C1A5C" w:rsidP="00611CF7">
      <w:pPr>
        <w:pStyle w:val="Textonotapie"/>
        <w:jc w:val="both"/>
        <w:rPr>
          <w:rFonts w:ascii="Times New Roman" w:hAnsi="Times New Roman" w:cs="Times New Roman"/>
        </w:rPr>
      </w:pPr>
      <w:r w:rsidRPr="00611CF7">
        <w:rPr>
          <w:rStyle w:val="Refdenotaalpie"/>
          <w:rFonts w:ascii="Times New Roman" w:hAnsi="Times New Roman" w:cs="Times New Roman"/>
        </w:rPr>
        <w:footnoteRef/>
      </w:r>
      <w:r w:rsidRPr="00611CF7">
        <w:rPr>
          <w:rFonts w:ascii="Times New Roman" w:hAnsi="Times New Roman" w:cs="Times New Roman"/>
        </w:rPr>
        <w:t xml:space="preserve"> v. Anuncio </w:t>
      </w:r>
      <w:r w:rsidRPr="00611CF7">
        <w:rPr>
          <w:rFonts w:ascii="Times New Roman" w:hAnsi="Times New Roman" w:cs="Times New Roman"/>
        </w:rPr>
        <w:t>JMer de Madrid (N.º 6), de 5.10.2012 (BOE Núm. 260, de 29.10.2012; Referencia 36630) y del JMer de Oviedo, de 28.1.2013 (BOE Núm. 36, de 11.2.2013; Referencia 5184).</w:t>
      </w:r>
    </w:p>
  </w:footnote>
  <w:footnote w:id="40">
    <w:p w:rsidR="008C1A5C" w:rsidRPr="00611CF7" w:rsidRDefault="008C1A5C" w:rsidP="00611CF7">
      <w:pPr>
        <w:pStyle w:val="Textonotapie"/>
        <w:jc w:val="both"/>
        <w:rPr>
          <w:rFonts w:ascii="Times New Roman" w:hAnsi="Times New Roman" w:cs="Times New Roman"/>
        </w:rPr>
      </w:pPr>
      <w:r w:rsidRPr="00611CF7">
        <w:rPr>
          <w:rStyle w:val="Refdenotaalpie"/>
          <w:rFonts w:ascii="Times New Roman" w:hAnsi="Times New Roman" w:cs="Times New Roman"/>
        </w:rPr>
        <w:footnoteRef/>
      </w:r>
      <w:r w:rsidRPr="00611CF7">
        <w:rPr>
          <w:rFonts w:ascii="Times New Roman" w:hAnsi="Times New Roman" w:cs="Times New Roman"/>
        </w:rPr>
        <w:t xml:space="preserve"> v. Edicto del </w:t>
      </w:r>
      <w:r w:rsidRPr="00611CF7">
        <w:rPr>
          <w:rFonts w:ascii="Times New Roman" w:hAnsi="Times New Roman" w:cs="Times New Roman"/>
        </w:rPr>
        <w:t>JMer de Madrid (N.º 12), de 10.1.2013 (BOE Núm. 20, de 23.1.2013; Referencia 2378) y del JPI (Mercantil) de Lugo (N.º 2), de 17.1.2013 (BOE Núm. 30, de 4.2.2013; Referencia 4105).</w:t>
      </w:r>
    </w:p>
  </w:footnote>
  <w:footnote w:id="41">
    <w:p w:rsidR="008C1A5C" w:rsidRPr="00611CF7" w:rsidRDefault="008C1A5C" w:rsidP="00611CF7">
      <w:pPr>
        <w:pStyle w:val="Textonotapie"/>
        <w:jc w:val="both"/>
        <w:rPr>
          <w:rFonts w:ascii="Times New Roman" w:hAnsi="Times New Roman" w:cs="Times New Roman"/>
        </w:rPr>
      </w:pPr>
      <w:r w:rsidRPr="00611CF7">
        <w:rPr>
          <w:rStyle w:val="Refdenotaalpie"/>
          <w:rFonts w:ascii="Times New Roman" w:hAnsi="Times New Roman" w:cs="Times New Roman"/>
        </w:rPr>
        <w:footnoteRef/>
      </w:r>
      <w:r w:rsidRPr="00611CF7">
        <w:rPr>
          <w:rFonts w:ascii="Times New Roman" w:hAnsi="Times New Roman" w:cs="Times New Roman"/>
        </w:rPr>
        <w:t xml:space="preserve"> En sentido contrario, la </w:t>
      </w:r>
      <w:r w:rsidRPr="00611CF7">
        <w:rPr>
          <w:rFonts w:ascii="Times New Roman" w:hAnsi="Times New Roman" w:cs="Times New Roman"/>
        </w:rPr>
        <w:t xml:space="preserve">SJMer de León (N.º 1), de 21.3.2012, instruye sobre la procedencia del recurso de apelación contra la resolución de homologación del acuerdo de refinanciación </w:t>
      </w:r>
      <w:r w:rsidRPr="00611CF7">
        <w:rPr>
          <w:rFonts w:ascii="Times New Roman" w:hAnsi="Times New Roman" w:cs="Times New Roman"/>
        </w:rPr>
        <w:t xml:space="preserve">   (AC 2012, 903) .</w:t>
      </w:r>
    </w:p>
  </w:footnote>
  <w:footnote w:id="42">
    <w:p w:rsidR="008C1A5C" w:rsidRDefault="008C1A5C" w:rsidP="00611CF7">
      <w:pPr>
        <w:pStyle w:val="Textonotapie"/>
        <w:jc w:val="both"/>
      </w:pPr>
      <w:r w:rsidRPr="00611CF7">
        <w:rPr>
          <w:rStyle w:val="Refdenotaalpie"/>
          <w:rFonts w:ascii="Times New Roman" w:hAnsi="Times New Roman" w:cs="Times New Roman"/>
        </w:rPr>
        <w:footnoteRef/>
      </w:r>
      <w:r w:rsidRPr="00611CF7">
        <w:rPr>
          <w:rFonts w:ascii="Times New Roman" w:hAnsi="Times New Roman" w:cs="Times New Roman"/>
        </w:rPr>
        <w:t xml:space="preserve"> En principio, no alcanzamos a vislumbrar ningún supuesto en el que la homologación pueda deparar perjuicio a sujetos distintos de las entidades financieras a las que se extiende la espera, pero si así llegara a suceder en algún caso (atendida la relación jurídica en la que participan tales entidades), y tales sujetos hubieran comparecido en el expediente como interesados, podrían recurrir la sentencia de homologación, dado que carecen de legitimación para instar el proceso de impugnación (v. arts. 1817 y 1820 LEC 1881)</w:t>
      </w:r>
    </w:p>
  </w:footnote>
  <w:footnote w:id="43">
    <w:p w:rsidR="008C1A5C" w:rsidRPr="004610D0" w:rsidRDefault="008C1A5C" w:rsidP="00084537">
      <w:pPr>
        <w:pStyle w:val="Textonotapie"/>
        <w:jc w:val="both"/>
        <w:rPr>
          <w:rFonts w:ascii="Times New Roman" w:hAnsi="Times New Roman" w:cs="Times New Roman"/>
        </w:rPr>
      </w:pPr>
      <w:r w:rsidRPr="00084537">
        <w:rPr>
          <w:rStyle w:val="Refdenotaalpie"/>
          <w:rFonts w:ascii="Times New Roman" w:hAnsi="Times New Roman" w:cs="Times New Roman"/>
        </w:rPr>
        <w:footnoteRef/>
      </w:r>
      <w:r w:rsidRPr="00084537">
        <w:rPr>
          <w:rFonts w:ascii="Times New Roman" w:hAnsi="Times New Roman" w:cs="Times New Roman"/>
        </w:rPr>
        <w:t xml:space="preserve"> Para SAN</w:t>
      </w:r>
      <w:r>
        <w:rPr>
          <w:rFonts w:ascii="Times New Roman" w:hAnsi="Times New Roman" w:cs="Times New Roman"/>
        </w:rPr>
        <w:t xml:space="preserve"> </w:t>
      </w:r>
      <w:r w:rsidRPr="00084537">
        <w:rPr>
          <w:rFonts w:ascii="Times New Roman" w:hAnsi="Times New Roman" w:cs="Times New Roman"/>
        </w:rPr>
        <w:t xml:space="preserve">JUAN Y MUÑOZ, en cambio, el análisis sobre la desproporción del sacrificio debe realizarse desde la perspectiva del acreedor -no del deudor-, y tanto desde «la afectación directa (reducciones, extensión de vencimientos, carencias, garantías, suspensiones) como indirecta, en este segundo caso, por la pérdida de garantías de recuperación de deuda a favor de otros afectados en función del contenido del citado acuerdo. Es por ello que dicho análisis introduce las comparativas de rentabilidad y riesgo como elementos de valoración de la financiación en comparación con la refinanciación. Y desde ellas el análisis </w:t>
      </w:r>
      <w:r w:rsidRPr="004610D0">
        <w:rPr>
          <w:rFonts w:ascii="Times New Roman" w:hAnsi="Times New Roman" w:cs="Times New Roman"/>
        </w:rPr>
        <w:t>de la proporción en comparació</w:t>
      </w:r>
      <w:r>
        <w:rPr>
          <w:rFonts w:ascii="Times New Roman" w:hAnsi="Times New Roman" w:cs="Times New Roman"/>
        </w:rPr>
        <w:t>n a los acreedores afectados» (</w:t>
      </w:r>
      <w:r w:rsidRPr="004610D0">
        <w:rPr>
          <w:rFonts w:ascii="Times New Roman" w:hAnsi="Times New Roman" w:cs="Times New Roman"/>
        </w:rPr>
        <w:t xml:space="preserve">El sacrificio «patrimonial» desproporcionado en la Ley </w:t>
      </w:r>
      <w:r w:rsidRPr="004610D0">
        <w:rPr>
          <w:rFonts w:ascii="Times New Roman" w:hAnsi="Times New Roman" w:cs="Times New Roman"/>
        </w:rPr>
        <w:t>Concursal , cit., p. 64).</w:t>
      </w:r>
    </w:p>
  </w:footnote>
  <w:footnote w:id="44">
    <w:p w:rsidR="008C1A5C" w:rsidRPr="004610D0" w:rsidRDefault="008C1A5C">
      <w:pPr>
        <w:pStyle w:val="Textonotapie"/>
        <w:rPr>
          <w:rFonts w:ascii="Times New Roman" w:hAnsi="Times New Roman" w:cs="Times New Roman"/>
        </w:rPr>
      </w:pPr>
      <w:r w:rsidRPr="004610D0">
        <w:rPr>
          <w:rStyle w:val="Refdenotaalpie"/>
          <w:rFonts w:ascii="Times New Roman" w:hAnsi="Times New Roman" w:cs="Times New Roman"/>
        </w:rPr>
        <w:footnoteRef/>
      </w:r>
      <w:r w:rsidRPr="004610D0">
        <w:rPr>
          <w:rFonts w:ascii="Times New Roman" w:hAnsi="Times New Roman" w:cs="Times New Roman"/>
        </w:rPr>
        <w:t xml:space="preserve"> BOE Núm. 310, de 26.12.2012 (Referencia 44803).</w:t>
      </w:r>
    </w:p>
  </w:footnote>
  <w:footnote w:id="45">
    <w:p w:rsidR="008C1A5C" w:rsidRPr="004610D0" w:rsidRDefault="008C1A5C">
      <w:pPr>
        <w:pStyle w:val="Textonotapie"/>
        <w:rPr>
          <w:rFonts w:ascii="Times New Roman" w:hAnsi="Times New Roman" w:cs="Times New Roman"/>
        </w:rPr>
      </w:pPr>
      <w:r w:rsidRPr="004610D0">
        <w:rPr>
          <w:rStyle w:val="Refdenotaalpie"/>
          <w:rFonts w:ascii="Times New Roman" w:hAnsi="Times New Roman" w:cs="Times New Roman"/>
        </w:rPr>
        <w:footnoteRef/>
      </w:r>
      <w:r w:rsidRPr="004610D0">
        <w:rPr>
          <w:rFonts w:ascii="Times New Roman" w:hAnsi="Times New Roman" w:cs="Times New Roman"/>
        </w:rPr>
        <w:t>BOE Núm. 186, de 4.8.2012 (Referencia 27480).</w:t>
      </w:r>
    </w:p>
  </w:footnote>
  <w:footnote w:id="46">
    <w:p w:rsidR="008C1A5C" w:rsidRPr="004610D0" w:rsidRDefault="008C1A5C" w:rsidP="00370F19">
      <w:pPr>
        <w:pStyle w:val="Textonotapie"/>
        <w:jc w:val="both"/>
        <w:rPr>
          <w:rFonts w:ascii="Times New Roman" w:hAnsi="Times New Roman" w:cs="Times New Roman"/>
        </w:rPr>
      </w:pPr>
      <w:r w:rsidRPr="004610D0">
        <w:rPr>
          <w:rStyle w:val="Refdenotaalpie"/>
          <w:rFonts w:ascii="Times New Roman" w:hAnsi="Times New Roman" w:cs="Times New Roman"/>
        </w:rPr>
        <w:footnoteRef/>
      </w:r>
      <w:r w:rsidRPr="004610D0">
        <w:rPr>
          <w:rFonts w:ascii="Times New Roman" w:hAnsi="Times New Roman" w:cs="Times New Roman"/>
        </w:rPr>
        <w:t xml:space="preserve"> Según el tenor de la resolución «...se debe analizar si existe sacrificio desproporcionado para las entidades financieras no suscribientes, y dado que en el presente caso se ha pactado una espera del abono de la deuda en dos tramos, siendo que siguen abonándose los intereses de toda deuda, se considera que no existe sacrificio desproporcionado para las entidades no firmantes, por lo que procede homologar el acuerdo de refinanciación suscrito y su aplicación a tales entidades.</w:t>
      </w:r>
    </w:p>
    <w:p w:rsidR="008C1A5C" w:rsidRDefault="008C1A5C" w:rsidP="00370F19">
      <w:pPr>
        <w:pStyle w:val="Textonotapie"/>
        <w:jc w:val="both"/>
      </w:pPr>
      <w:r w:rsidRPr="004610D0">
        <w:rPr>
          <w:rFonts w:ascii="Times New Roman" w:hAnsi="Times New Roman" w:cs="Times New Roman"/>
        </w:rPr>
        <w:t xml:space="preserve">Se debe recordar en este punto que tales entidades en su conjunto no suponen siquiera un 5% de la deuda del grupo, siendo su crédito de escasa entidad en referencia al montante total de la operación, por lo que procede necesariamente la extensión del acuerdo a las </w:t>
      </w:r>
      <w:r w:rsidRPr="004610D0">
        <w:rPr>
          <w:rFonts w:ascii="Times New Roman" w:hAnsi="Times New Roman" w:cs="Times New Roman"/>
        </w:rPr>
        <w:t>mismas»    (JUR 2012, 304839) .</w:t>
      </w:r>
    </w:p>
  </w:footnote>
  <w:footnote w:id="47">
    <w:p w:rsidR="008C1A5C" w:rsidRPr="0000087D" w:rsidRDefault="008C1A5C" w:rsidP="0000087D">
      <w:pPr>
        <w:pStyle w:val="Textonotapie"/>
        <w:jc w:val="both"/>
        <w:rPr>
          <w:rFonts w:ascii="Times New Roman" w:hAnsi="Times New Roman" w:cs="Times New Roman"/>
        </w:rPr>
      </w:pPr>
      <w:r w:rsidRPr="0000087D">
        <w:rPr>
          <w:rStyle w:val="Refdenotaalpie"/>
          <w:rFonts w:ascii="Times New Roman" w:hAnsi="Times New Roman" w:cs="Times New Roman"/>
        </w:rPr>
        <w:footnoteRef/>
      </w:r>
      <w:r w:rsidRPr="0000087D">
        <w:rPr>
          <w:rFonts w:ascii="Times New Roman" w:hAnsi="Times New Roman" w:cs="Times New Roman"/>
        </w:rPr>
        <w:t xml:space="preserve">  AJM de Gijón (N.º 3), de </w:t>
      </w:r>
      <w:r w:rsidRPr="0000087D">
        <w:rPr>
          <w:rFonts w:ascii="Times New Roman" w:hAnsi="Times New Roman" w:cs="Times New Roman"/>
        </w:rPr>
        <w:t>10.7.2012  (JUR 2012, 277325) .</w:t>
      </w:r>
    </w:p>
  </w:footnote>
  <w:footnote w:id="48">
    <w:p w:rsidR="008C1A5C" w:rsidRDefault="008C1A5C" w:rsidP="0000087D">
      <w:pPr>
        <w:pStyle w:val="Textonotapie"/>
        <w:jc w:val="both"/>
      </w:pPr>
      <w:r w:rsidRPr="0000087D">
        <w:rPr>
          <w:rStyle w:val="Refdenotaalpie"/>
          <w:rFonts w:ascii="Times New Roman" w:hAnsi="Times New Roman" w:cs="Times New Roman"/>
        </w:rPr>
        <w:footnoteRef/>
      </w:r>
      <w:r w:rsidRPr="0000087D">
        <w:rPr>
          <w:rFonts w:ascii="Times New Roman" w:hAnsi="Times New Roman" w:cs="Times New Roman"/>
        </w:rPr>
        <w:t xml:space="preserve"> El apartado 6 de la Disposición adicional 4ª proviene de una enmienda presentada en el Congreso por el Grupo Parlamentario Catalán (</w:t>
      </w:r>
      <w:r w:rsidRPr="0000087D">
        <w:rPr>
          <w:rFonts w:ascii="Times New Roman" w:hAnsi="Times New Roman" w:cs="Times New Roman"/>
        </w:rPr>
        <w:t xml:space="preserve">Convengència i Unió) con el propósito de favorecer el cumplimiento del convenio por el deudor </w:t>
      </w:r>
      <w:r w:rsidRPr="0000087D">
        <w:rPr>
          <w:rFonts w:ascii="Times New Roman" w:hAnsi="Times New Roman" w:cs="Times New Roman"/>
        </w:rPr>
        <w:t>( BOCG , Congreso, Serie A. Núm. 119-13, Enmienda Núm. 201).</w:t>
      </w:r>
    </w:p>
  </w:footnote>
  <w:footnote w:id="49">
    <w:p w:rsidR="008C1A5C" w:rsidRPr="004610D0" w:rsidRDefault="008C1A5C" w:rsidP="004610D0">
      <w:pPr>
        <w:pStyle w:val="Textonotapie"/>
        <w:jc w:val="both"/>
        <w:rPr>
          <w:rFonts w:ascii="Times New Roman" w:hAnsi="Times New Roman" w:cs="Times New Roman"/>
        </w:rPr>
      </w:pPr>
      <w:r w:rsidRPr="004610D0">
        <w:rPr>
          <w:rStyle w:val="Refdenotaalpie"/>
          <w:rFonts w:ascii="Times New Roman" w:hAnsi="Times New Roman" w:cs="Times New Roman"/>
        </w:rPr>
        <w:footnoteRef/>
      </w:r>
      <w:r w:rsidRPr="004610D0">
        <w:rPr>
          <w:rFonts w:ascii="Times New Roman" w:hAnsi="Times New Roman" w:cs="Times New Roman"/>
        </w:rPr>
        <w:t xml:space="preserve">Extraído de </w:t>
      </w:r>
      <w:r w:rsidRPr="004610D0">
        <w:rPr>
          <w:rFonts w:ascii="Times New Roman" w:hAnsi="Times New Roman" w:cs="Times New Roman"/>
        </w:rPr>
        <w:t>Sospedra Navas, F.J.  Proceso concursal. Comentarios, jurisprudencia, esquemas y formularios.Editorial: Thomson Reuters, Civitas. Edición 3ª,2014. Pag. 118 y ss.</w:t>
      </w:r>
    </w:p>
  </w:footnote>
  <w:footnote w:id="50">
    <w:p w:rsidR="008C1A5C" w:rsidRPr="004610D0" w:rsidRDefault="008C1A5C" w:rsidP="004610D0">
      <w:pPr>
        <w:pStyle w:val="Textonotapie"/>
        <w:jc w:val="both"/>
        <w:rPr>
          <w:rFonts w:ascii="Times New Roman" w:hAnsi="Times New Roman" w:cs="Times New Roman"/>
        </w:rPr>
      </w:pPr>
      <w:r w:rsidRPr="004610D0">
        <w:rPr>
          <w:rStyle w:val="Refdenotaalpie"/>
          <w:rFonts w:ascii="Times New Roman" w:hAnsi="Times New Roman" w:cs="Times New Roman"/>
        </w:rPr>
        <w:footnoteRef/>
      </w:r>
      <w:r w:rsidRPr="004610D0">
        <w:rPr>
          <w:rFonts w:ascii="Times New Roman" w:hAnsi="Times New Roman" w:cs="Times New Roman"/>
        </w:rPr>
        <w:t>Extraído de www.iureabogados.com</w:t>
      </w:r>
    </w:p>
  </w:footnote>
  <w:footnote w:id="51">
    <w:p w:rsidR="008C1A5C" w:rsidRDefault="008C1A5C" w:rsidP="004610D0">
      <w:pPr>
        <w:pStyle w:val="Textonotapie"/>
        <w:jc w:val="both"/>
      </w:pPr>
      <w:r>
        <w:rPr>
          <w:rStyle w:val="Refdenotaalpie"/>
        </w:rPr>
        <w:footnoteRef/>
      </w:r>
      <w:r w:rsidRPr="00EF0158">
        <w:rPr>
          <w:rFonts w:ascii="Times New Roman" w:hAnsi="Times New Roman" w:cs="Times New Roman"/>
        </w:rPr>
        <w:t xml:space="preserve">Extraído de </w:t>
      </w:r>
      <w:r w:rsidRPr="00EF0158">
        <w:rPr>
          <w:rFonts w:ascii="Times New Roman" w:hAnsi="Times New Roman" w:cs="Times New Roman"/>
        </w:rPr>
        <w:t>Sospedra Navas, F.J.  Proceso concursal. Comentarios, jurisprudencia, esquemas y formularios.Editorial: Thomson Reuters, Civitas. Edición 3ª,2014. Pag. 107 y ss.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1A5C" w:rsidRPr="003641EC" w:rsidRDefault="008C1A5C">
    <w:pPr>
      <w:pStyle w:val="Encabezado"/>
      <w:rPr>
        <w:rFonts w:ascii="Times New Roman" w:hAnsi="Times New Roman" w:cs="Times New Roman"/>
        <w:i/>
        <w:sz w:val="24"/>
      </w:rPr>
    </w:pPr>
    <w:r w:rsidRPr="003641EC">
      <w:rPr>
        <w:rFonts w:ascii="Times New Roman" w:hAnsi="Times New Roman" w:cs="Times New Roman"/>
        <w:i/>
        <w:noProof/>
        <w:sz w:val="24"/>
        <w:lang w:eastAsia="es-ES"/>
      </w:rPr>
      <w:drawing>
        <wp:anchor distT="0" distB="0" distL="114300" distR="114300" simplePos="0" relativeHeight="251659264" behindDoc="0" locked="0" layoutInCell="1" allowOverlap="1">
          <wp:simplePos x="0" y="0"/>
          <wp:positionH relativeFrom="margin">
            <wp:posOffset>5396865</wp:posOffset>
          </wp:positionH>
          <wp:positionV relativeFrom="paragraph">
            <wp:posOffset>-449580</wp:posOffset>
          </wp:positionV>
          <wp:extent cx="1022350" cy="1047750"/>
          <wp:effectExtent l="0" t="0" r="6350" b="0"/>
          <wp:wrapNone/>
          <wp:docPr id="1" name="Imagen 1" descr="C:\Users\UJA\Desktop\K84Tc4n2 (1).jpg"/>
          <wp:cNvGraphicFramePr/>
          <a:graphic xmlns:a="http://schemas.openxmlformats.org/drawingml/2006/main">
            <a:graphicData uri="http://schemas.openxmlformats.org/drawingml/2006/picture">
              <pic:pic xmlns:pic="http://schemas.openxmlformats.org/drawingml/2006/picture">
                <pic:nvPicPr>
                  <pic:cNvPr id="2" name="Imagen 2" descr="C:\Users\UJA\Desktop\K84Tc4n2 (1).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22350" cy="1047750"/>
                  </a:xfrm>
                  <a:prstGeom prst="rect">
                    <a:avLst/>
                  </a:prstGeom>
                  <a:noFill/>
                  <a:ln>
                    <a:noFill/>
                  </a:ln>
                </pic:spPr>
              </pic:pic>
            </a:graphicData>
          </a:graphic>
        </wp:anchor>
      </w:drawing>
    </w:r>
    <w:r w:rsidRPr="003641EC">
      <w:rPr>
        <w:rFonts w:ascii="Times New Roman" w:hAnsi="Times New Roman" w:cs="Times New Roman"/>
        <w:i/>
        <w:sz w:val="24"/>
      </w:rPr>
      <w:t>Acuerdos de Refinanciación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502F63"/>
    <w:multiLevelType w:val="hybridMultilevel"/>
    <w:tmpl w:val="AC60544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AB12399"/>
    <w:multiLevelType w:val="hybridMultilevel"/>
    <w:tmpl w:val="BCB85D20"/>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15:restartNumberingAfterBreak="0">
    <w:nsid w:val="1F634BF2"/>
    <w:multiLevelType w:val="hybridMultilevel"/>
    <w:tmpl w:val="996E850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15:restartNumberingAfterBreak="0">
    <w:nsid w:val="22BC306F"/>
    <w:multiLevelType w:val="hybridMultilevel"/>
    <w:tmpl w:val="B9325810"/>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4" w15:restartNumberingAfterBreak="0">
    <w:nsid w:val="36173E7F"/>
    <w:multiLevelType w:val="hybridMultilevel"/>
    <w:tmpl w:val="376E076E"/>
    <w:lvl w:ilvl="0" w:tplc="0C0A0001">
      <w:start w:val="1"/>
      <w:numFmt w:val="bullet"/>
      <w:lvlText w:val=""/>
      <w:lvlJc w:val="left"/>
      <w:pPr>
        <w:ind w:left="1069" w:hanging="360"/>
      </w:pPr>
      <w:rPr>
        <w:rFonts w:ascii="Symbol" w:hAnsi="Symbol"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5" w15:restartNumberingAfterBreak="0">
    <w:nsid w:val="56D97A31"/>
    <w:multiLevelType w:val="hybridMultilevel"/>
    <w:tmpl w:val="F3269E58"/>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6" w15:restartNumberingAfterBreak="0">
    <w:nsid w:val="570933A3"/>
    <w:multiLevelType w:val="hybridMultilevel"/>
    <w:tmpl w:val="F9980222"/>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 w15:restartNumberingAfterBreak="0">
    <w:nsid w:val="62BD367C"/>
    <w:multiLevelType w:val="hybridMultilevel"/>
    <w:tmpl w:val="DC7048BE"/>
    <w:lvl w:ilvl="0" w:tplc="0C0A0001">
      <w:start w:val="1"/>
      <w:numFmt w:val="bullet"/>
      <w:lvlText w:val=""/>
      <w:lvlJc w:val="left"/>
      <w:pPr>
        <w:ind w:left="1069" w:hanging="360"/>
      </w:pPr>
      <w:rPr>
        <w:rFonts w:ascii="Symbol" w:hAnsi="Symbol"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8" w15:restartNumberingAfterBreak="0">
    <w:nsid w:val="689F7670"/>
    <w:multiLevelType w:val="hybridMultilevel"/>
    <w:tmpl w:val="26B6843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 w15:restartNumberingAfterBreak="0">
    <w:nsid w:val="6DEF3BAC"/>
    <w:multiLevelType w:val="hybridMultilevel"/>
    <w:tmpl w:val="E2B49FBE"/>
    <w:lvl w:ilvl="0" w:tplc="0C0A0001">
      <w:start w:val="1"/>
      <w:numFmt w:val="bullet"/>
      <w:lvlText w:val=""/>
      <w:lvlJc w:val="left"/>
      <w:pPr>
        <w:ind w:left="1429" w:hanging="360"/>
      </w:pPr>
      <w:rPr>
        <w:rFonts w:ascii="Symbol" w:hAnsi="Symbol" w:hint="default"/>
      </w:rPr>
    </w:lvl>
    <w:lvl w:ilvl="1" w:tplc="0C0A0003" w:tentative="1">
      <w:start w:val="1"/>
      <w:numFmt w:val="bullet"/>
      <w:lvlText w:val="o"/>
      <w:lvlJc w:val="left"/>
      <w:pPr>
        <w:ind w:left="2149" w:hanging="360"/>
      </w:pPr>
      <w:rPr>
        <w:rFonts w:ascii="Courier New" w:hAnsi="Courier New" w:cs="Courier New" w:hint="default"/>
      </w:rPr>
    </w:lvl>
    <w:lvl w:ilvl="2" w:tplc="0C0A0005" w:tentative="1">
      <w:start w:val="1"/>
      <w:numFmt w:val="bullet"/>
      <w:lvlText w:val=""/>
      <w:lvlJc w:val="left"/>
      <w:pPr>
        <w:ind w:left="2869" w:hanging="360"/>
      </w:pPr>
      <w:rPr>
        <w:rFonts w:ascii="Wingdings" w:hAnsi="Wingdings" w:hint="default"/>
      </w:rPr>
    </w:lvl>
    <w:lvl w:ilvl="3" w:tplc="0C0A0001" w:tentative="1">
      <w:start w:val="1"/>
      <w:numFmt w:val="bullet"/>
      <w:lvlText w:val=""/>
      <w:lvlJc w:val="left"/>
      <w:pPr>
        <w:ind w:left="3589" w:hanging="360"/>
      </w:pPr>
      <w:rPr>
        <w:rFonts w:ascii="Symbol" w:hAnsi="Symbol" w:hint="default"/>
      </w:rPr>
    </w:lvl>
    <w:lvl w:ilvl="4" w:tplc="0C0A0003" w:tentative="1">
      <w:start w:val="1"/>
      <w:numFmt w:val="bullet"/>
      <w:lvlText w:val="o"/>
      <w:lvlJc w:val="left"/>
      <w:pPr>
        <w:ind w:left="4309" w:hanging="360"/>
      </w:pPr>
      <w:rPr>
        <w:rFonts w:ascii="Courier New" w:hAnsi="Courier New" w:cs="Courier New" w:hint="default"/>
      </w:rPr>
    </w:lvl>
    <w:lvl w:ilvl="5" w:tplc="0C0A0005" w:tentative="1">
      <w:start w:val="1"/>
      <w:numFmt w:val="bullet"/>
      <w:lvlText w:val=""/>
      <w:lvlJc w:val="left"/>
      <w:pPr>
        <w:ind w:left="5029" w:hanging="360"/>
      </w:pPr>
      <w:rPr>
        <w:rFonts w:ascii="Wingdings" w:hAnsi="Wingdings" w:hint="default"/>
      </w:rPr>
    </w:lvl>
    <w:lvl w:ilvl="6" w:tplc="0C0A0001" w:tentative="1">
      <w:start w:val="1"/>
      <w:numFmt w:val="bullet"/>
      <w:lvlText w:val=""/>
      <w:lvlJc w:val="left"/>
      <w:pPr>
        <w:ind w:left="5749" w:hanging="360"/>
      </w:pPr>
      <w:rPr>
        <w:rFonts w:ascii="Symbol" w:hAnsi="Symbol" w:hint="default"/>
      </w:rPr>
    </w:lvl>
    <w:lvl w:ilvl="7" w:tplc="0C0A0003" w:tentative="1">
      <w:start w:val="1"/>
      <w:numFmt w:val="bullet"/>
      <w:lvlText w:val="o"/>
      <w:lvlJc w:val="left"/>
      <w:pPr>
        <w:ind w:left="6469" w:hanging="360"/>
      </w:pPr>
      <w:rPr>
        <w:rFonts w:ascii="Courier New" w:hAnsi="Courier New" w:cs="Courier New" w:hint="default"/>
      </w:rPr>
    </w:lvl>
    <w:lvl w:ilvl="8" w:tplc="0C0A0005" w:tentative="1">
      <w:start w:val="1"/>
      <w:numFmt w:val="bullet"/>
      <w:lvlText w:val=""/>
      <w:lvlJc w:val="left"/>
      <w:pPr>
        <w:ind w:left="7189" w:hanging="360"/>
      </w:pPr>
      <w:rPr>
        <w:rFonts w:ascii="Wingdings" w:hAnsi="Wingdings" w:hint="default"/>
      </w:rPr>
    </w:lvl>
  </w:abstractNum>
  <w:abstractNum w:abstractNumId="10" w15:restartNumberingAfterBreak="0">
    <w:nsid w:val="715A4C11"/>
    <w:multiLevelType w:val="hybridMultilevel"/>
    <w:tmpl w:val="BA2CD95A"/>
    <w:lvl w:ilvl="0" w:tplc="0C0A0001">
      <w:start w:val="1"/>
      <w:numFmt w:val="bullet"/>
      <w:lvlText w:val=""/>
      <w:lvlJc w:val="left"/>
      <w:pPr>
        <w:ind w:left="1069" w:hanging="360"/>
      </w:pPr>
      <w:rPr>
        <w:rFonts w:ascii="Symbol" w:hAnsi="Symbol" w:hint="default"/>
      </w:rPr>
    </w:lvl>
    <w:lvl w:ilvl="1" w:tplc="0C0A0003" w:tentative="1">
      <w:start w:val="1"/>
      <w:numFmt w:val="bullet"/>
      <w:lvlText w:val="o"/>
      <w:lvlJc w:val="left"/>
      <w:pPr>
        <w:ind w:left="1789" w:hanging="360"/>
      </w:pPr>
      <w:rPr>
        <w:rFonts w:ascii="Courier New" w:hAnsi="Courier New" w:cs="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cs="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cs="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11" w15:restartNumberingAfterBreak="0">
    <w:nsid w:val="772D437D"/>
    <w:multiLevelType w:val="hybridMultilevel"/>
    <w:tmpl w:val="B824DE02"/>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1"/>
  </w:num>
  <w:num w:numId="2">
    <w:abstractNumId w:val="0"/>
  </w:num>
  <w:num w:numId="3">
    <w:abstractNumId w:val="7"/>
  </w:num>
  <w:num w:numId="4">
    <w:abstractNumId w:val="4"/>
  </w:num>
  <w:num w:numId="5">
    <w:abstractNumId w:val="5"/>
  </w:num>
  <w:num w:numId="6">
    <w:abstractNumId w:val="3"/>
  </w:num>
  <w:num w:numId="7">
    <w:abstractNumId w:val="9"/>
  </w:num>
  <w:num w:numId="8">
    <w:abstractNumId w:val="10"/>
  </w:num>
  <w:num w:numId="9">
    <w:abstractNumId w:val="6"/>
  </w:num>
  <w:num w:numId="10">
    <w:abstractNumId w:val="8"/>
  </w:num>
  <w:num w:numId="11">
    <w:abstractNumId w:val="1"/>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B17E4"/>
    <w:rsid w:val="00000084"/>
    <w:rsid w:val="0000087D"/>
    <w:rsid w:val="00000EF7"/>
    <w:rsid w:val="000149DC"/>
    <w:rsid w:val="00031EB7"/>
    <w:rsid w:val="000375DE"/>
    <w:rsid w:val="000376F7"/>
    <w:rsid w:val="0004209F"/>
    <w:rsid w:val="00045A6E"/>
    <w:rsid w:val="00057EDC"/>
    <w:rsid w:val="00072923"/>
    <w:rsid w:val="00084537"/>
    <w:rsid w:val="000C1AC0"/>
    <w:rsid w:val="000E40CA"/>
    <w:rsid w:val="000E5FC4"/>
    <w:rsid w:val="001037E8"/>
    <w:rsid w:val="001113BF"/>
    <w:rsid w:val="00111A17"/>
    <w:rsid w:val="00115C0C"/>
    <w:rsid w:val="0012048B"/>
    <w:rsid w:val="001213A5"/>
    <w:rsid w:val="00127656"/>
    <w:rsid w:val="00153B6E"/>
    <w:rsid w:val="001559A5"/>
    <w:rsid w:val="0017546A"/>
    <w:rsid w:val="00185111"/>
    <w:rsid w:val="001947DC"/>
    <w:rsid w:val="0019515A"/>
    <w:rsid w:val="00196A46"/>
    <w:rsid w:val="001A2BFA"/>
    <w:rsid w:val="001A6A90"/>
    <w:rsid w:val="001B3FDF"/>
    <w:rsid w:val="001C352A"/>
    <w:rsid w:val="001D001B"/>
    <w:rsid w:val="001F3991"/>
    <w:rsid w:val="0020106D"/>
    <w:rsid w:val="00204CF2"/>
    <w:rsid w:val="0021399C"/>
    <w:rsid w:val="0021490F"/>
    <w:rsid w:val="00216BBC"/>
    <w:rsid w:val="002227C0"/>
    <w:rsid w:val="00235904"/>
    <w:rsid w:val="00253772"/>
    <w:rsid w:val="00262F94"/>
    <w:rsid w:val="0027306C"/>
    <w:rsid w:val="00282676"/>
    <w:rsid w:val="002A2B2D"/>
    <w:rsid w:val="002A3843"/>
    <w:rsid w:val="002B5649"/>
    <w:rsid w:val="002D41AA"/>
    <w:rsid w:val="002E704D"/>
    <w:rsid w:val="002F35C1"/>
    <w:rsid w:val="002F7661"/>
    <w:rsid w:val="0030100C"/>
    <w:rsid w:val="003047B7"/>
    <w:rsid w:val="003049BD"/>
    <w:rsid w:val="00320A78"/>
    <w:rsid w:val="00322171"/>
    <w:rsid w:val="003341B1"/>
    <w:rsid w:val="00335D20"/>
    <w:rsid w:val="00356002"/>
    <w:rsid w:val="00361958"/>
    <w:rsid w:val="003641EC"/>
    <w:rsid w:val="0036724A"/>
    <w:rsid w:val="00370406"/>
    <w:rsid w:val="00370F19"/>
    <w:rsid w:val="00373E00"/>
    <w:rsid w:val="00375737"/>
    <w:rsid w:val="00383325"/>
    <w:rsid w:val="00392435"/>
    <w:rsid w:val="00393757"/>
    <w:rsid w:val="00394160"/>
    <w:rsid w:val="003A01D5"/>
    <w:rsid w:val="003A6039"/>
    <w:rsid w:val="003B67D0"/>
    <w:rsid w:val="003B75B2"/>
    <w:rsid w:val="003C06E0"/>
    <w:rsid w:val="003D38AB"/>
    <w:rsid w:val="003D7A90"/>
    <w:rsid w:val="003E336B"/>
    <w:rsid w:val="00410BEB"/>
    <w:rsid w:val="00417232"/>
    <w:rsid w:val="00423376"/>
    <w:rsid w:val="00450A47"/>
    <w:rsid w:val="004610D0"/>
    <w:rsid w:val="0047064F"/>
    <w:rsid w:val="00472B1F"/>
    <w:rsid w:val="00490443"/>
    <w:rsid w:val="00492AAD"/>
    <w:rsid w:val="004930DA"/>
    <w:rsid w:val="0049405D"/>
    <w:rsid w:val="0049445E"/>
    <w:rsid w:val="004945BE"/>
    <w:rsid w:val="004B0F1A"/>
    <w:rsid w:val="004B7992"/>
    <w:rsid w:val="004C5471"/>
    <w:rsid w:val="004D3F20"/>
    <w:rsid w:val="004F1EBC"/>
    <w:rsid w:val="004F250A"/>
    <w:rsid w:val="00514865"/>
    <w:rsid w:val="005357AD"/>
    <w:rsid w:val="00571724"/>
    <w:rsid w:val="0057218C"/>
    <w:rsid w:val="005814B2"/>
    <w:rsid w:val="00582A3F"/>
    <w:rsid w:val="00585E8F"/>
    <w:rsid w:val="00591626"/>
    <w:rsid w:val="00591D98"/>
    <w:rsid w:val="005954B7"/>
    <w:rsid w:val="005A0692"/>
    <w:rsid w:val="005B0BAE"/>
    <w:rsid w:val="005C4B85"/>
    <w:rsid w:val="005D0468"/>
    <w:rsid w:val="005D1BC8"/>
    <w:rsid w:val="005E18F4"/>
    <w:rsid w:val="005F5BE5"/>
    <w:rsid w:val="005F6E40"/>
    <w:rsid w:val="0060208A"/>
    <w:rsid w:val="00611CF7"/>
    <w:rsid w:val="0061314C"/>
    <w:rsid w:val="006245E4"/>
    <w:rsid w:val="0062685D"/>
    <w:rsid w:val="00643474"/>
    <w:rsid w:val="006471A1"/>
    <w:rsid w:val="00653CA4"/>
    <w:rsid w:val="006602B5"/>
    <w:rsid w:val="00662168"/>
    <w:rsid w:val="00672CBB"/>
    <w:rsid w:val="0067523F"/>
    <w:rsid w:val="00681079"/>
    <w:rsid w:val="00683425"/>
    <w:rsid w:val="0068720C"/>
    <w:rsid w:val="006C49EE"/>
    <w:rsid w:val="006D269D"/>
    <w:rsid w:val="006F15B0"/>
    <w:rsid w:val="006F165D"/>
    <w:rsid w:val="00734AC6"/>
    <w:rsid w:val="0074421F"/>
    <w:rsid w:val="007507BD"/>
    <w:rsid w:val="0075293E"/>
    <w:rsid w:val="00755055"/>
    <w:rsid w:val="00764B86"/>
    <w:rsid w:val="007728AE"/>
    <w:rsid w:val="007817C3"/>
    <w:rsid w:val="0078730A"/>
    <w:rsid w:val="007911CB"/>
    <w:rsid w:val="007971C0"/>
    <w:rsid w:val="007A1F1F"/>
    <w:rsid w:val="007B141C"/>
    <w:rsid w:val="007C7E3C"/>
    <w:rsid w:val="007E6787"/>
    <w:rsid w:val="007E6881"/>
    <w:rsid w:val="007F6DC2"/>
    <w:rsid w:val="00803902"/>
    <w:rsid w:val="00812B54"/>
    <w:rsid w:val="00813D4D"/>
    <w:rsid w:val="00814F72"/>
    <w:rsid w:val="00815550"/>
    <w:rsid w:val="00817D4C"/>
    <w:rsid w:val="008375A6"/>
    <w:rsid w:val="00862D92"/>
    <w:rsid w:val="0086415F"/>
    <w:rsid w:val="00896FE7"/>
    <w:rsid w:val="008A092E"/>
    <w:rsid w:val="008B1764"/>
    <w:rsid w:val="008B17E4"/>
    <w:rsid w:val="008B4CA3"/>
    <w:rsid w:val="008C1A5C"/>
    <w:rsid w:val="008C490B"/>
    <w:rsid w:val="008C6B77"/>
    <w:rsid w:val="008C6B8D"/>
    <w:rsid w:val="008D69BA"/>
    <w:rsid w:val="008D7A4A"/>
    <w:rsid w:val="00911245"/>
    <w:rsid w:val="009304D3"/>
    <w:rsid w:val="0094313C"/>
    <w:rsid w:val="00945E4D"/>
    <w:rsid w:val="00952EFE"/>
    <w:rsid w:val="00973AB3"/>
    <w:rsid w:val="00974608"/>
    <w:rsid w:val="0098167B"/>
    <w:rsid w:val="009948EC"/>
    <w:rsid w:val="009A4529"/>
    <w:rsid w:val="009A4A6D"/>
    <w:rsid w:val="009F18A0"/>
    <w:rsid w:val="009F31A7"/>
    <w:rsid w:val="009F68A8"/>
    <w:rsid w:val="00A01CC0"/>
    <w:rsid w:val="00A1346A"/>
    <w:rsid w:val="00A23293"/>
    <w:rsid w:val="00A4327E"/>
    <w:rsid w:val="00A513B1"/>
    <w:rsid w:val="00A52A2E"/>
    <w:rsid w:val="00A569FB"/>
    <w:rsid w:val="00A57B1B"/>
    <w:rsid w:val="00A62E76"/>
    <w:rsid w:val="00A62F15"/>
    <w:rsid w:val="00A67D0B"/>
    <w:rsid w:val="00A71FF5"/>
    <w:rsid w:val="00AA2397"/>
    <w:rsid w:val="00AA5E79"/>
    <w:rsid w:val="00AB73F4"/>
    <w:rsid w:val="00AD19D4"/>
    <w:rsid w:val="00AE0C5B"/>
    <w:rsid w:val="00AF0FFA"/>
    <w:rsid w:val="00B070C5"/>
    <w:rsid w:val="00B13122"/>
    <w:rsid w:val="00B132C6"/>
    <w:rsid w:val="00B16A9C"/>
    <w:rsid w:val="00B17FD4"/>
    <w:rsid w:val="00B22B4D"/>
    <w:rsid w:val="00B24AD5"/>
    <w:rsid w:val="00B42452"/>
    <w:rsid w:val="00B65223"/>
    <w:rsid w:val="00B72BAB"/>
    <w:rsid w:val="00B74F82"/>
    <w:rsid w:val="00B751E8"/>
    <w:rsid w:val="00B7795D"/>
    <w:rsid w:val="00B81F73"/>
    <w:rsid w:val="00B83D7E"/>
    <w:rsid w:val="00B846BB"/>
    <w:rsid w:val="00B96AF6"/>
    <w:rsid w:val="00BA7DC4"/>
    <w:rsid w:val="00BB019B"/>
    <w:rsid w:val="00BB4AEB"/>
    <w:rsid w:val="00BB4B11"/>
    <w:rsid w:val="00BC7E25"/>
    <w:rsid w:val="00BD039F"/>
    <w:rsid w:val="00BD167F"/>
    <w:rsid w:val="00BD2D4B"/>
    <w:rsid w:val="00BE2637"/>
    <w:rsid w:val="00BF2B14"/>
    <w:rsid w:val="00C0186A"/>
    <w:rsid w:val="00C031D7"/>
    <w:rsid w:val="00C15DA3"/>
    <w:rsid w:val="00C25DFF"/>
    <w:rsid w:val="00C32E68"/>
    <w:rsid w:val="00C56B20"/>
    <w:rsid w:val="00C62883"/>
    <w:rsid w:val="00C66CBC"/>
    <w:rsid w:val="00C95424"/>
    <w:rsid w:val="00C95C2B"/>
    <w:rsid w:val="00CB194C"/>
    <w:rsid w:val="00CB2737"/>
    <w:rsid w:val="00CB5E6D"/>
    <w:rsid w:val="00CB7CC4"/>
    <w:rsid w:val="00CC2CFF"/>
    <w:rsid w:val="00CC6AD0"/>
    <w:rsid w:val="00CC757F"/>
    <w:rsid w:val="00CD62C3"/>
    <w:rsid w:val="00CD6BEC"/>
    <w:rsid w:val="00CF0076"/>
    <w:rsid w:val="00CF5D2C"/>
    <w:rsid w:val="00D32E48"/>
    <w:rsid w:val="00D3640F"/>
    <w:rsid w:val="00D465DC"/>
    <w:rsid w:val="00D7695D"/>
    <w:rsid w:val="00D76D87"/>
    <w:rsid w:val="00D86425"/>
    <w:rsid w:val="00D87E7C"/>
    <w:rsid w:val="00DA1DB6"/>
    <w:rsid w:val="00DA7CC2"/>
    <w:rsid w:val="00DB01D0"/>
    <w:rsid w:val="00DC3F00"/>
    <w:rsid w:val="00DC4C7E"/>
    <w:rsid w:val="00DC740A"/>
    <w:rsid w:val="00DF1104"/>
    <w:rsid w:val="00DF5F84"/>
    <w:rsid w:val="00E05ED3"/>
    <w:rsid w:val="00E22CFF"/>
    <w:rsid w:val="00E2428B"/>
    <w:rsid w:val="00E268EE"/>
    <w:rsid w:val="00E361C2"/>
    <w:rsid w:val="00E61310"/>
    <w:rsid w:val="00E678C2"/>
    <w:rsid w:val="00E81C80"/>
    <w:rsid w:val="00E9746D"/>
    <w:rsid w:val="00EA2F9F"/>
    <w:rsid w:val="00EC5AF0"/>
    <w:rsid w:val="00ED5255"/>
    <w:rsid w:val="00EE3174"/>
    <w:rsid w:val="00EE4F8C"/>
    <w:rsid w:val="00EF0158"/>
    <w:rsid w:val="00F045A4"/>
    <w:rsid w:val="00F11E22"/>
    <w:rsid w:val="00F13260"/>
    <w:rsid w:val="00F162BD"/>
    <w:rsid w:val="00F2373E"/>
    <w:rsid w:val="00F24B78"/>
    <w:rsid w:val="00F34ED2"/>
    <w:rsid w:val="00F402C5"/>
    <w:rsid w:val="00F50933"/>
    <w:rsid w:val="00F53A5F"/>
    <w:rsid w:val="00F60F9D"/>
    <w:rsid w:val="00F64849"/>
    <w:rsid w:val="00F70EE1"/>
    <w:rsid w:val="00F93E66"/>
    <w:rsid w:val="00FA13DE"/>
    <w:rsid w:val="00FA24FF"/>
    <w:rsid w:val="00FD1531"/>
    <w:rsid w:val="00FD6022"/>
    <w:rsid w:val="00FD7BD8"/>
    <w:rsid w:val="00FF0983"/>
    <w:rsid w:val="00FF4C7E"/>
    <w:rsid w:val="00FF65A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5DD6881"/>
  <w15:docId w15:val="{A910A973-BFD7-48A1-9264-4251261689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92AAD"/>
  </w:style>
  <w:style w:type="paragraph" w:styleId="Ttulo1">
    <w:name w:val="heading 1"/>
    <w:basedOn w:val="Normal"/>
    <w:next w:val="Normal"/>
    <w:link w:val="Ttulo1Car"/>
    <w:qFormat/>
    <w:rsid w:val="005954B7"/>
    <w:pPr>
      <w:keepNext/>
      <w:spacing w:after="0" w:line="240" w:lineRule="auto"/>
      <w:outlineLvl w:val="0"/>
    </w:pPr>
    <w:rPr>
      <w:rFonts w:ascii="Arial" w:eastAsia="Times New Roman" w:hAnsi="Arial" w:cs="Times New Roman"/>
      <w:outline/>
      <w:color w:val="000000"/>
      <w:sz w:val="96"/>
      <w:szCs w:val="20"/>
      <w:lang w:eastAsia="es-ES"/>
    </w:rPr>
  </w:style>
  <w:style w:type="paragraph" w:styleId="Ttulo2">
    <w:name w:val="heading 2"/>
    <w:basedOn w:val="Normal"/>
    <w:next w:val="Normal"/>
    <w:link w:val="Ttulo2Car"/>
    <w:qFormat/>
    <w:rsid w:val="005954B7"/>
    <w:pPr>
      <w:keepNext/>
      <w:spacing w:after="0" w:line="240" w:lineRule="auto"/>
      <w:outlineLvl w:val="1"/>
    </w:pPr>
    <w:rPr>
      <w:rFonts w:ascii="Arial" w:eastAsia="Times New Roman" w:hAnsi="Arial" w:cs="Times New Roman"/>
      <w:color w:val="C0C0C0"/>
      <w:sz w:val="56"/>
      <w:szCs w:val="20"/>
      <w:lang w:eastAsia="es-ES"/>
    </w:rPr>
  </w:style>
  <w:style w:type="paragraph" w:styleId="Ttulo3">
    <w:name w:val="heading 3"/>
    <w:basedOn w:val="Normal"/>
    <w:next w:val="Normal"/>
    <w:link w:val="Ttulo3Car"/>
    <w:uiPriority w:val="9"/>
    <w:semiHidden/>
    <w:unhideWhenUsed/>
    <w:qFormat/>
    <w:rsid w:val="00896FE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nhideWhenUsed/>
    <w:qFormat/>
    <w:rsid w:val="006C49EE"/>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Ttulo5">
    <w:name w:val="heading 5"/>
    <w:basedOn w:val="Normal"/>
    <w:next w:val="Normal"/>
    <w:link w:val="Ttulo5Car"/>
    <w:unhideWhenUsed/>
    <w:qFormat/>
    <w:rsid w:val="006C49EE"/>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rubrica">
    <w:name w:val="rubrica"/>
    <w:basedOn w:val="Fuentedeprrafopredeter"/>
    <w:rsid w:val="00000EF7"/>
  </w:style>
  <w:style w:type="character" w:customStyle="1" w:styleId="Ttulo1Car">
    <w:name w:val="Título 1 Car"/>
    <w:basedOn w:val="Fuentedeprrafopredeter"/>
    <w:link w:val="Ttulo1"/>
    <w:rsid w:val="005954B7"/>
    <w:rPr>
      <w:rFonts w:ascii="Arial" w:eastAsia="Times New Roman" w:hAnsi="Arial" w:cs="Times New Roman"/>
      <w:outline/>
      <w:color w:val="000000"/>
      <w:sz w:val="96"/>
      <w:szCs w:val="20"/>
      <w:lang w:eastAsia="es-ES"/>
    </w:rPr>
  </w:style>
  <w:style w:type="character" w:customStyle="1" w:styleId="Ttulo2Car">
    <w:name w:val="Título 2 Car"/>
    <w:basedOn w:val="Fuentedeprrafopredeter"/>
    <w:link w:val="Ttulo2"/>
    <w:rsid w:val="005954B7"/>
    <w:rPr>
      <w:rFonts w:ascii="Arial" w:eastAsia="Times New Roman" w:hAnsi="Arial" w:cs="Times New Roman"/>
      <w:color w:val="C0C0C0"/>
      <w:sz w:val="56"/>
      <w:szCs w:val="20"/>
      <w:lang w:eastAsia="es-ES"/>
    </w:rPr>
  </w:style>
  <w:style w:type="character" w:customStyle="1" w:styleId="Ttulo4Car">
    <w:name w:val="Título 4 Car"/>
    <w:basedOn w:val="Fuentedeprrafopredeter"/>
    <w:link w:val="Ttulo4"/>
    <w:rsid w:val="006C49EE"/>
    <w:rPr>
      <w:rFonts w:asciiTheme="majorHAnsi" w:eastAsiaTheme="majorEastAsia" w:hAnsiTheme="majorHAnsi" w:cstheme="majorBidi"/>
      <w:i/>
      <w:iCs/>
      <w:color w:val="2F5496" w:themeColor="accent1" w:themeShade="BF"/>
    </w:rPr>
  </w:style>
  <w:style w:type="character" w:customStyle="1" w:styleId="Ttulo5Car">
    <w:name w:val="Título 5 Car"/>
    <w:basedOn w:val="Fuentedeprrafopredeter"/>
    <w:link w:val="Ttulo5"/>
    <w:rsid w:val="006C49EE"/>
    <w:rPr>
      <w:rFonts w:asciiTheme="majorHAnsi" w:eastAsiaTheme="majorEastAsia" w:hAnsiTheme="majorHAnsi" w:cstheme="majorBidi"/>
      <w:color w:val="2F5496" w:themeColor="accent1" w:themeShade="BF"/>
    </w:rPr>
  </w:style>
  <w:style w:type="paragraph" w:styleId="Textoindependiente">
    <w:name w:val="Body Text"/>
    <w:basedOn w:val="Normal"/>
    <w:link w:val="TextoindependienteCar"/>
    <w:rsid w:val="006C49EE"/>
    <w:pPr>
      <w:spacing w:after="0" w:line="240" w:lineRule="auto"/>
      <w:jc w:val="center"/>
    </w:pPr>
    <w:rPr>
      <w:rFonts w:ascii="Times New Roman" w:eastAsia="Times New Roman" w:hAnsi="Times New Roman" w:cs="Times New Roman"/>
      <w:sz w:val="48"/>
      <w:szCs w:val="20"/>
      <w:lang w:eastAsia="es-ES"/>
    </w:rPr>
  </w:style>
  <w:style w:type="character" w:customStyle="1" w:styleId="TextoindependienteCar">
    <w:name w:val="Texto independiente Car"/>
    <w:basedOn w:val="Fuentedeprrafopredeter"/>
    <w:link w:val="Textoindependiente"/>
    <w:rsid w:val="006C49EE"/>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6C49EE"/>
    <w:pPr>
      <w:spacing w:after="0" w:line="240" w:lineRule="auto"/>
      <w:jc w:val="center"/>
    </w:pPr>
    <w:rPr>
      <w:rFonts w:ascii="Arial" w:eastAsia="Times New Roman" w:hAnsi="Arial" w:cs="Times New Roman"/>
      <w:smallCaps/>
      <w:sz w:val="52"/>
      <w:szCs w:val="20"/>
      <w:lang w:eastAsia="es-ES"/>
    </w:rPr>
  </w:style>
  <w:style w:type="character" w:customStyle="1" w:styleId="Textoindependiente2Car">
    <w:name w:val="Texto independiente 2 Car"/>
    <w:basedOn w:val="Fuentedeprrafopredeter"/>
    <w:link w:val="Textoindependiente2"/>
    <w:rsid w:val="006C49EE"/>
    <w:rPr>
      <w:rFonts w:ascii="Arial" w:eastAsia="Times New Roman" w:hAnsi="Arial" w:cs="Times New Roman"/>
      <w:smallCaps/>
      <w:sz w:val="52"/>
      <w:szCs w:val="20"/>
      <w:lang w:eastAsia="es-ES"/>
    </w:rPr>
  </w:style>
  <w:style w:type="paragraph" w:styleId="Textonotapie">
    <w:name w:val="footnote text"/>
    <w:basedOn w:val="Normal"/>
    <w:link w:val="TextonotapieCar"/>
    <w:uiPriority w:val="99"/>
    <w:unhideWhenUsed/>
    <w:rsid w:val="00F402C5"/>
    <w:pPr>
      <w:spacing w:after="0" w:line="240" w:lineRule="auto"/>
    </w:pPr>
    <w:rPr>
      <w:sz w:val="20"/>
      <w:szCs w:val="20"/>
    </w:rPr>
  </w:style>
  <w:style w:type="character" w:customStyle="1" w:styleId="TextonotapieCar">
    <w:name w:val="Texto nota pie Car"/>
    <w:basedOn w:val="Fuentedeprrafopredeter"/>
    <w:link w:val="Textonotapie"/>
    <w:uiPriority w:val="99"/>
    <w:rsid w:val="00F402C5"/>
    <w:rPr>
      <w:sz w:val="20"/>
      <w:szCs w:val="20"/>
    </w:rPr>
  </w:style>
  <w:style w:type="character" w:styleId="Refdenotaalpie">
    <w:name w:val="footnote reference"/>
    <w:basedOn w:val="Fuentedeprrafopredeter"/>
    <w:uiPriority w:val="99"/>
    <w:semiHidden/>
    <w:unhideWhenUsed/>
    <w:rsid w:val="00F402C5"/>
    <w:rPr>
      <w:vertAlign w:val="superscript"/>
    </w:rPr>
  </w:style>
  <w:style w:type="paragraph" w:styleId="Prrafodelista">
    <w:name w:val="List Paragraph"/>
    <w:basedOn w:val="Normal"/>
    <w:uiPriority w:val="34"/>
    <w:qFormat/>
    <w:rsid w:val="009A4529"/>
    <w:pPr>
      <w:ind w:left="720"/>
      <w:contextualSpacing/>
    </w:pPr>
  </w:style>
  <w:style w:type="paragraph" w:styleId="Encabezado">
    <w:name w:val="header"/>
    <w:basedOn w:val="Normal"/>
    <w:link w:val="EncabezadoCar"/>
    <w:uiPriority w:val="99"/>
    <w:unhideWhenUsed/>
    <w:rsid w:val="000C1AC0"/>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C1AC0"/>
  </w:style>
  <w:style w:type="paragraph" w:styleId="Piedepgina">
    <w:name w:val="footer"/>
    <w:basedOn w:val="Normal"/>
    <w:link w:val="PiedepginaCar"/>
    <w:uiPriority w:val="99"/>
    <w:unhideWhenUsed/>
    <w:rsid w:val="000C1AC0"/>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C1AC0"/>
  </w:style>
  <w:style w:type="paragraph" w:styleId="Sinespaciado">
    <w:name w:val="No Spacing"/>
    <w:link w:val="SinespaciadoCar"/>
    <w:uiPriority w:val="1"/>
    <w:qFormat/>
    <w:rsid w:val="00F11E22"/>
    <w:pPr>
      <w:spacing w:after="0" w:line="240" w:lineRule="auto"/>
    </w:pPr>
    <w:rPr>
      <w:rFonts w:eastAsiaTheme="minorEastAsia"/>
      <w:lang w:eastAsia="es-ES"/>
    </w:rPr>
  </w:style>
  <w:style w:type="character" w:customStyle="1" w:styleId="SinespaciadoCar">
    <w:name w:val="Sin espaciado Car"/>
    <w:basedOn w:val="Fuentedeprrafopredeter"/>
    <w:link w:val="Sinespaciado"/>
    <w:uiPriority w:val="1"/>
    <w:rsid w:val="00F11E22"/>
    <w:rPr>
      <w:rFonts w:eastAsiaTheme="minorEastAsia"/>
      <w:lang w:eastAsia="es-ES"/>
    </w:rPr>
  </w:style>
  <w:style w:type="character" w:customStyle="1" w:styleId="Ttulo3Car">
    <w:name w:val="Título 3 Car"/>
    <w:basedOn w:val="Fuentedeprrafopredeter"/>
    <w:link w:val="Ttulo3"/>
    <w:uiPriority w:val="9"/>
    <w:semiHidden/>
    <w:rsid w:val="00896FE7"/>
    <w:rPr>
      <w:rFonts w:asciiTheme="majorHAnsi" w:eastAsiaTheme="majorEastAsia" w:hAnsiTheme="majorHAnsi" w:cstheme="majorBidi"/>
      <w:color w:val="1F3763" w:themeColor="accent1" w:themeShade="7F"/>
      <w:sz w:val="24"/>
      <w:szCs w:val="24"/>
    </w:rPr>
  </w:style>
  <w:style w:type="paragraph" w:styleId="TtuloTDC">
    <w:name w:val="TOC Heading"/>
    <w:basedOn w:val="Ttulo1"/>
    <w:next w:val="Normal"/>
    <w:uiPriority w:val="39"/>
    <w:unhideWhenUsed/>
    <w:qFormat/>
    <w:rsid w:val="00B13122"/>
    <w:pPr>
      <w:keepLines/>
      <w:spacing w:before="240" w:line="259" w:lineRule="auto"/>
      <w:outlineLvl w:val="9"/>
    </w:pPr>
    <w:rPr>
      <w:rFonts w:asciiTheme="majorHAnsi" w:eastAsiaTheme="majorEastAsia" w:hAnsiTheme="majorHAnsi" w:cstheme="majorBidi"/>
      <w:outline w:val="0"/>
      <w:color w:val="2F5496" w:themeColor="accent1" w:themeShade="BF"/>
      <w:sz w:val="32"/>
      <w:szCs w:val="32"/>
    </w:rPr>
  </w:style>
  <w:style w:type="paragraph" w:styleId="TDC2">
    <w:name w:val="toc 2"/>
    <w:basedOn w:val="Normal"/>
    <w:next w:val="Normal"/>
    <w:autoRedefine/>
    <w:uiPriority w:val="39"/>
    <w:unhideWhenUsed/>
    <w:rsid w:val="00B13122"/>
    <w:pPr>
      <w:spacing w:after="100"/>
      <w:ind w:left="220"/>
    </w:pPr>
  </w:style>
  <w:style w:type="paragraph" w:styleId="TDC1">
    <w:name w:val="toc 1"/>
    <w:basedOn w:val="Normal"/>
    <w:next w:val="Normal"/>
    <w:autoRedefine/>
    <w:uiPriority w:val="39"/>
    <w:unhideWhenUsed/>
    <w:rsid w:val="00B13122"/>
    <w:pPr>
      <w:spacing w:after="100"/>
    </w:pPr>
  </w:style>
  <w:style w:type="character" w:styleId="Hipervnculo">
    <w:name w:val="Hyperlink"/>
    <w:basedOn w:val="Fuentedeprrafopredeter"/>
    <w:uiPriority w:val="99"/>
    <w:unhideWhenUsed/>
    <w:rsid w:val="00B13122"/>
    <w:rPr>
      <w:color w:val="0563C1" w:themeColor="hyperlink"/>
      <w:u w:val="single"/>
    </w:rPr>
  </w:style>
  <w:style w:type="character" w:customStyle="1" w:styleId="searchterm">
    <w:name w:val="searchterm"/>
    <w:basedOn w:val="Fuentedeprrafopredeter"/>
    <w:rsid w:val="0021399C"/>
  </w:style>
  <w:style w:type="character" w:customStyle="1" w:styleId="Mencinsinresolver1">
    <w:name w:val="Mención sin resolver1"/>
    <w:basedOn w:val="Fuentedeprrafopredeter"/>
    <w:uiPriority w:val="99"/>
    <w:semiHidden/>
    <w:unhideWhenUsed/>
    <w:rsid w:val="00C954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9326200">
      <w:bodyDiv w:val="1"/>
      <w:marLeft w:val="0"/>
      <w:marRight w:val="0"/>
      <w:marTop w:val="0"/>
      <w:marBottom w:val="0"/>
      <w:divBdr>
        <w:top w:val="none" w:sz="0" w:space="0" w:color="auto"/>
        <w:left w:val="none" w:sz="0" w:space="0" w:color="auto"/>
        <w:bottom w:val="none" w:sz="0" w:space="0" w:color="auto"/>
        <w:right w:val="none" w:sz="0" w:space="0" w:color="auto"/>
      </w:divBdr>
    </w:div>
    <w:div w:id="185533020">
      <w:bodyDiv w:val="1"/>
      <w:marLeft w:val="0"/>
      <w:marRight w:val="0"/>
      <w:marTop w:val="0"/>
      <w:marBottom w:val="0"/>
      <w:divBdr>
        <w:top w:val="none" w:sz="0" w:space="0" w:color="auto"/>
        <w:left w:val="none" w:sz="0" w:space="0" w:color="auto"/>
        <w:bottom w:val="none" w:sz="0" w:space="0" w:color="auto"/>
        <w:right w:val="none" w:sz="0" w:space="0" w:color="auto"/>
      </w:divBdr>
    </w:div>
    <w:div w:id="586353566">
      <w:bodyDiv w:val="1"/>
      <w:marLeft w:val="0"/>
      <w:marRight w:val="0"/>
      <w:marTop w:val="0"/>
      <w:marBottom w:val="0"/>
      <w:divBdr>
        <w:top w:val="none" w:sz="0" w:space="0" w:color="auto"/>
        <w:left w:val="none" w:sz="0" w:space="0" w:color="auto"/>
        <w:bottom w:val="none" w:sz="0" w:space="0" w:color="auto"/>
        <w:right w:val="none" w:sz="0" w:space="0" w:color="auto"/>
      </w:divBdr>
    </w:div>
    <w:div w:id="640499318">
      <w:bodyDiv w:val="1"/>
      <w:marLeft w:val="0"/>
      <w:marRight w:val="0"/>
      <w:marTop w:val="0"/>
      <w:marBottom w:val="0"/>
      <w:divBdr>
        <w:top w:val="none" w:sz="0" w:space="0" w:color="auto"/>
        <w:left w:val="none" w:sz="0" w:space="0" w:color="auto"/>
        <w:bottom w:val="none" w:sz="0" w:space="0" w:color="auto"/>
        <w:right w:val="none" w:sz="0" w:space="0" w:color="auto"/>
      </w:divBdr>
    </w:div>
    <w:div w:id="962662279">
      <w:bodyDiv w:val="1"/>
      <w:marLeft w:val="0"/>
      <w:marRight w:val="0"/>
      <w:marTop w:val="0"/>
      <w:marBottom w:val="0"/>
      <w:divBdr>
        <w:top w:val="none" w:sz="0" w:space="0" w:color="auto"/>
        <w:left w:val="none" w:sz="0" w:space="0" w:color="auto"/>
        <w:bottom w:val="none" w:sz="0" w:space="0" w:color="auto"/>
        <w:right w:val="none" w:sz="0" w:space="0" w:color="auto"/>
      </w:divBdr>
    </w:div>
    <w:div w:id="972171494">
      <w:bodyDiv w:val="1"/>
      <w:marLeft w:val="0"/>
      <w:marRight w:val="0"/>
      <w:marTop w:val="0"/>
      <w:marBottom w:val="0"/>
      <w:divBdr>
        <w:top w:val="none" w:sz="0" w:space="0" w:color="auto"/>
        <w:left w:val="none" w:sz="0" w:space="0" w:color="auto"/>
        <w:bottom w:val="none" w:sz="0" w:space="0" w:color="auto"/>
        <w:right w:val="none" w:sz="0" w:space="0" w:color="auto"/>
      </w:divBdr>
    </w:div>
    <w:div w:id="1039282344">
      <w:bodyDiv w:val="1"/>
      <w:marLeft w:val="0"/>
      <w:marRight w:val="0"/>
      <w:marTop w:val="0"/>
      <w:marBottom w:val="0"/>
      <w:divBdr>
        <w:top w:val="none" w:sz="0" w:space="0" w:color="auto"/>
        <w:left w:val="none" w:sz="0" w:space="0" w:color="auto"/>
        <w:bottom w:val="none" w:sz="0" w:space="0" w:color="auto"/>
        <w:right w:val="none" w:sz="0" w:space="0" w:color="auto"/>
      </w:divBdr>
    </w:div>
    <w:div w:id="1043401664">
      <w:bodyDiv w:val="1"/>
      <w:marLeft w:val="0"/>
      <w:marRight w:val="0"/>
      <w:marTop w:val="0"/>
      <w:marBottom w:val="0"/>
      <w:divBdr>
        <w:top w:val="none" w:sz="0" w:space="0" w:color="auto"/>
        <w:left w:val="none" w:sz="0" w:space="0" w:color="auto"/>
        <w:bottom w:val="none" w:sz="0" w:space="0" w:color="auto"/>
        <w:right w:val="none" w:sz="0" w:space="0" w:color="auto"/>
      </w:divBdr>
    </w:div>
    <w:div w:id="1106847553">
      <w:bodyDiv w:val="1"/>
      <w:marLeft w:val="0"/>
      <w:marRight w:val="0"/>
      <w:marTop w:val="0"/>
      <w:marBottom w:val="0"/>
      <w:divBdr>
        <w:top w:val="none" w:sz="0" w:space="0" w:color="auto"/>
        <w:left w:val="none" w:sz="0" w:space="0" w:color="auto"/>
        <w:bottom w:val="none" w:sz="0" w:space="0" w:color="auto"/>
        <w:right w:val="none" w:sz="0" w:space="0" w:color="auto"/>
      </w:divBdr>
    </w:div>
    <w:div w:id="1574389933">
      <w:bodyDiv w:val="1"/>
      <w:marLeft w:val="0"/>
      <w:marRight w:val="0"/>
      <w:marTop w:val="0"/>
      <w:marBottom w:val="0"/>
      <w:divBdr>
        <w:top w:val="none" w:sz="0" w:space="0" w:color="auto"/>
        <w:left w:val="none" w:sz="0" w:space="0" w:color="auto"/>
        <w:bottom w:val="none" w:sz="0" w:space="0" w:color="auto"/>
        <w:right w:val="none" w:sz="0" w:space="0" w:color="auto"/>
      </w:divBdr>
    </w:div>
    <w:div w:id="1909993364">
      <w:bodyDiv w:val="1"/>
      <w:marLeft w:val="0"/>
      <w:marRight w:val="0"/>
      <w:marTop w:val="0"/>
      <w:marBottom w:val="0"/>
      <w:divBdr>
        <w:top w:val="none" w:sz="0" w:space="0" w:color="auto"/>
        <w:left w:val="none" w:sz="0" w:space="0" w:color="auto"/>
        <w:bottom w:val="none" w:sz="0" w:space="0" w:color="auto"/>
        <w:right w:val="none" w:sz="0" w:space="0" w:color="auto"/>
      </w:divBdr>
    </w:div>
    <w:div w:id="1924531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0-aranzadi.aranzadidigital.es"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uatrecasas.com"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uatrecasas.com" TargetMode="External"/><Relationship Id="rId5" Type="http://schemas.openxmlformats.org/officeDocument/2006/relationships/webSettings" Target="webSettings.xml"/><Relationship Id="rId15" Type="http://schemas.openxmlformats.org/officeDocument/2006/relationships/hyperlink" Target="http://www.0-aranzadi.aranzadidigital.es" TargetMode="External"/><Relationship Id="rId10" Type="http://schemas.openxmlformats.org/officeDocument/2006/relationships/hyperlink" Target="http://www.0-aranzadi.aranzadidigital.e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0-aranzadi.aranzadidigital.es" TargetMode="External"/><Relationship Id="rId14" Type="http://schemas.openxmlformats.org/officeDocument/2006/relationships/hyperlink" Target="http://www.0-aranzadi.aranzadidigital.es)"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javascript:maf.doc.linkToDocument('BIB+2010+198',%20'.',%20'BIB+2010+198',%20'i0ad6adc5000001643b3525af6609c512',%20'sp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F1C9EC-E14B-4A49-A8D2-64624B836E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4136</TotalTime>
  <Pages>44</Pages>
  <Words>10710</Words>
  <Characters>58909</Characters>
  <Application>Microsoft Office Word</Application>
  <DocSecurity>0</DocSecurity>
  <Lines>490</Lines>
  <Paragraphs>138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Abraham</dc:creator>
  <cp:keywords/>
  <dc:description/>
  <cp:lastModifiedBy>Abraham</cp:lastModifiedBy>
  <cp:revision>101</cp:revision>
  <dcterms:created xsi:type="dcterms:W3CDTF">2018-04-09T16:50:00Z</dcterms:created>
  <dcterms:modified xsi:type="dcterms:W3CDTF">2018-07-09T10:43:00Z</dcterms:modified>
</cp:coreProperties>
</file>