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406A5" w:rsidRDefault="000D6212" w:rsidP="000D6212">
      <w:r>
        <w:rPr>
          <w:noProof/>
        </w:rPr>
        <mc:AlternateContent>
          <mc:Choice Requires="wps">
            <w:drawing>
              <wp:anchor distT="0" distB="0" distL="114300" distR="114300" simplePos="0" relativeHeight="251646976" behindDoc="0" locked="0" layoutInCell="0" allowOverlap="1" wp14:anchorId="19A3D59E" wp14:editId="3D46C938">
                <wp:simplePos x="0" y="0"/>
                <wp:positionH relativeFrom="column">
                  <wp:posOffset>-1080135</wp:posOffset>
                </wp:positionH>
                <wp:positionV relativeFrom="paragraph">
                  <wp:posOffset>-909320</wp:posOffset>
                </wp:positionV>
                <wp:extent cx="2286000" cy="10715625"/>
                <wp:effectExtent l="0" t="0" r="0" b="9525"/>
                <wp:wrapNone/>
                <wp:docPr id="1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0" cy="10715625"/>
                        </a:xfrm>
                        <a:prstGeom prst="rect">
                          <a:avLst/>
                        </a:prstGeom>
                        <a:solidFill>
                          <a:srgbClr val="EA0000"/>
                        </a:solidFill>
                        <a:ln>
                          <a:noFill/>
                        </a:ln>
                        <a:extLst/>
                      </wps:spPr>
                      <wps:txbx>
                        <w:txbxContent>
                          <w:p w:rsidR="004D60B2" w:rsidRPr="00B9129F" w:rsidRDefault="004D60B2" w:rsidP="00D406A5">
                            <w:pPr>
                              <w:pStyle w:val="Ttulo2"/>
                              <w:jc w:val="center"/>
                              <w:rPr>
                                <w:color w:val="F79646" w:themeColor="accent6"/>
                                <w:sz w:val="72"/>
                              </w:rPr>
                            </w:pPr>
                            <w:r w:rsidRPr="00B9129F">
                              <w:rPr>
                                <w:color w:val="F79646" w:themeColor="accent6"/>
                                <w:sz w:val="72"/>
                              </w:rPr>
                              <w:t>Facultad de Ciencias Sociales y Jurídicas</w:t>
                            </w:r>
                          </w:p>
                          <w:p w:rsidR="004D60B2" w:rsidRPr="00D406A5" w:rsidRDefault="004D60B2" w:rsidP="00D406A5">
                            <w:pPr>
                              <w:pStyle w:val="Ttulo1"/>
                              <w:jc w:val="center"/>
                              <w:rPr>
                                <w:rFonts w:ascii="Arial Narrow" w:hAnsi="Arial Narrow"/>
                                <w14:textOutline w14:w="9525" w14:cap="flat" w14:cmpd="sng" w14:algn="ctr">
                                  <w14:solidFill>
                                    <w14:srgbClr w14:val="FFFFFF"/>
                                  </w14:solidFill>
                                  <w14:prstDash w14:val="solid"/>
                                  <w14:round/>
                                </w14:textOutline>
                                <w14:textFill>
                                  <w14:solidFill>
                                    <w14:srgbClr w14:val="000000"/>
                                  </w14:solidFill>
                                </w14:textFill>
                              </w:rPr>
                            </w:pPr>
                            <w:r w:rsidRPr="00D406A5">
                              <w:rPr>
                                <w:rFonts w:ascii="Arial Narrow" w:hAnsi="Arial Narrow"/>
                                <w14:textFill>
                                  <w14:solidFill>
                                    <w14:srgbClr w14:val="000000"/>
                                  </w14:solidFill>
                                </w14:textFill>
                              </w:rPr>
                              <w:t>Grado en Derecho</w:t>
                            </w:r>
                          </w:p>
                          <w:p w:rsidR="004D60B2" w:rsidRDefault="004D60B2"/>
                        </w:txbxContent>
                      </wps:txbx>
                      <wps:bodyPr rot="0" vert="vert270"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85.05pt;margin-top:-71.6pt;width:180pt;height:843.75pt;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" o:allowincell="f" fillcolor="#ea0000" stroked="f">
                <v:textbox style="layout-flow:vertical;mso-layout-flow-alt:bottom-to-top">
                  <w:txbxContent>
                    <w:p w:rsidR="004D60B2" w:rsidRPr="00B9129F" w:rsidRDefault="004D60B2" w:rsidP="00D406A5">
                      <w:pPr>
                        <w:pStyle w:val="Ttulo2"/>
                        <w:jc w:val="center"/>
                        <w:rPr>
                          <w:color w:val="F79646" w:themeColor="accent6"/>
                          <w:sz w:val="72"/>
                        </w:rPr>
                      </w:pPr>
                      <w:r w:rsidRPr="00B9129F">
                        <w:rPr>
                          <w:color w:val="F79646" w:themeColor="accent6"/>
                          <w:sz w:val="72"/>
                        </w:rPr>
                        <w:t>Facultad de Ciencias Sociales y Jurídicas</w:t>
                      </w:r>
                    </w:p>
                    <w:p w:rsidR="004D60B2" w:rsidRPr="00D406A5" w:rsidRDefault="004D60B2" w:rsidP="00D406A5">
                      <w:pPr>
                        <w:pStyle w:val="Ttulo1"/>
                        <w:jc w:val="center"/>
                        <w:rPr>
                          <w:rFonts w:ascii="Arial Narrow" w:hAnsi="Arial Narrow"/>
                          <w14:textOutline w14:w="9525" w14:cap="flat" w14:cmpd="sng" w14:algn="ctr">
                            <w14:solidFill>
                              <w14:srgbClr w14:val="FFFFFF"/>
                            </w14:solidFill>
                            <w14:prstDash w14:val="solid"/>
                            <w14:round/>
                          </w14:textOutline>
                          <w14:textFill>
                            <w14:solidFill>
                              <w14:srgbClr w14:val="000000"/>
                            </w14:solidFill>
                          </w14:textFill>
                        </w:rPr>
                      </w:pPr>
                      <w:r w:rsidRPr="00D406A5">
                        <w:rPr>
                          <w:rFonts w:ascii="Arial Narrow" w:hAnsi="Arial Narrow"/>
                          <w14:textFill>
                            <w14:solidFill>
                              <w14:srgbClr w14:val="000000"/>
                            </w14:solidFill>
                          </w14:textFill>
                        </w:rPr>
                        <w:t>Grado en Derecho</w:t>
                      </w:r>
                    </w:p>
                    <w:p w:rsidR="004D60B2" w:rsidRDefault="004D60B2"/>
                  </w:txbxContent>
                </v:textbox>
              </v:shape>
            </w:pict>
          </mc:Fallback>
        </mc:AlternateContent>
      </w:r>
    </w:p>
    <w:p w:rsidR="00D406A5" w:rsidRDefault="00D406A5" w:rsidP="00D406A5"/>
    <w:p w:rsidR="00D406A5" w:rsidRPr="00B9129F" w:rsidRDefault="00D406A5" w:rsidP="00D406A5"/>
    <w:p w:rsidR="00D406A5" w:rsidRPr="00B9129F" w:rsidRDefault="00D406A5" w:rsidP="00D406A5"/>
    <w:p w:rsidR="00D406A5" w:rsidRPr="00B9129F" w:rsidRDefault="00D406A5" w:rsidP="00D406A5">
      <w:r>
        <w:rPr>
          <w:noProof/>
        </w:rPr>
        <w:drawing>
          <wp:anchor distT="0" distB="0" distL="114300" distR="114300" simplePos="0" relativeHeight="251662848" behindDoc="0" locked="0" layoutInCell="0" allowOverlap="1" wp14:anchorId="247DAE96" wp14:editId="049F791A">
            <wp:simplePos x="0" y="0"/>
            <wp:positionH relativeFrom="column">
              <wp:posOffset>3324225</wp:posOffset>
            </wp:positionH>
            <wp:positionV relativeFrom="paragraph">
              <wp:posOffset>186055</wp:posOffset>
            </wp:positionV>
            <wp:extent cx="942975" cy="1028700"/>
            <wp:effectExtent l="0" t="0" r="9525" b="0"/>
            <wp:wrapTopAndBottom/>
            <wp:docPr id="15" name="Imagen 15" descr="escu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scudo"/>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42975" cy="1028700"/>
                    </a:xfrm>
                    <a:prstGeom prst="rect">
                      <a:avLst/>
                    </a:prstGeom>
                    <a:noFill/>
                  </pic:spPr>
                </pic:pic>
              </a:graphicData>
            </a:graphic>
            <wp14:sizeRelH relativeFrom="page">
              <wp14:pctWidth>0</wp14:pctWidth>
            </wp14:sizeRelH>
            <wp14:sizeRelV relativeFrom="page">
              <wp14:pctHeight>0</wp14:pctHeight>
            </wp14:sizeRelV>
          </wp:anchor>
        </w:drawing>
      </w:r>
    </w:p>
    <w:p w:rsidR="00D406A5" w:rsidRPr="00B9129F" w:rsidRDefault="00963723" w:rsidP="00D406A5">
      <w:r>
        <w:rPr>
          <w:noProof/>
        </w:rPr>
        <mc:AlternateContent>
          <mc:Choice Requires="wps">
            <w:drawing>
              <wp:anchor distT="0" distB="0" distL="114300" distR="114300" simplePos="0" relativeHeight="251663872" behindDoc="0" locked="0" layoutInCell="0" allowOverlap="1" wp14:anchorId="67BB9D25" wp14:editId="23889026">
                <wp:simplePos x="0" y="0"/>
                <wp:positionH relativeFrom="column">
                  <wp:posOffset>1215390</wp:posOffset>
                </wp:positionH>
                <wp:positionV relativeFrom="paragraph">
                  <wp:posOffset>1141730</wp:posOffset>
                </wp:positionV>
                <wp:extent cx="5257800" cy="1645920"/>
                <wp:effectExtent l="0" t="0" r="0" b="0"/>
                <wp:wrapNone/>
                <wp:docPr id="12"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57800" cy="16459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D60B2" w:rsidRDefault="004D60B2" w:rsidP="00D406A5">
                            <w:pPr>
                              <w:pStyle w:val="Ttulo6"/>
                              <w:rPr>
                                <w:b/>
                              </w:rPr>
                            </w:pPr>
                            <w:r>
                              <w:rPr>
                                <w:b/>
                              </w:rPr>
                              <w:t>Universidad de Jaén</w:t>
                            </w:r>
                          </w:p>
                          <w:p w:rsidR="004D60B2" w:rsidRDefault="004D60B2" w:rsidP="00D406A5">
                            <w:pPr>
                              <w:pStyle w:val="Ttulo3"/>
                            </w:pPr>
                            <w:r>
                              <w:t>Facultad de Ciencias Sociales y Jurídicas</w:t>
                            </w:r>
                          </w:p>
                          <w:p w:rsidR="004D60B2" w:rsidRDefault="004D60B2" w:rsidP="00D406A5"/>
                          <w:p w:rsidR="004D60B2" w:rsidRDefault="004D60B2" w:rsidP="00D406A5"/>
                          <w:p w:rsidR="004D60B2" w:rsidRDefault="004D60B2" w:rsidP="00D406A5"/>
                          <w:p w:rsidR="004D60B2" w:rsidRDefault="004D60B2" w:rsidP="00D406A5"/>
                          <w:p w:rsidR="004D60B2" w:rsidRDefault="004D60B2" w:rsidP="00D406A5"/>
                          <w:p w:rsidR="004D60B2" w:rsidRDefault="004D60B2" w:rsidP="00D406A5">
                            <w:pPr>
                              <w:pStyle w:val="Textoindependiente"/>
                              <w:rPr>
                                <w:rFonts w:ascii="Arial" w:hAnsi="Arial"/>
                                <w:sz w:val="44"/>
                                <w:u w:val="single"/>
                              </w:rPr>
                            </w:pPr>
                            <w:r>
                              <w:rPr>
                                <w:rFonts w:ascii="Arial" w:hAnsi="Arial"/>
                                <w:sz w:val="44"/>
                                <w:u w:val="single"/>
                              </w:rPr>
                              <w:t>Trabajo Fin de Grado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 o:spid="_x0000_s1027" type="#_x0000_t202" style="position:absolute;margin-left:95.7pt;margin-top:89.9pt;width:414pt;height:129.6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" o:allowincell="f" stroked="f">
                <v:textbox>
                  <w:txbxContent>
                    <w:p w:rsidR="004D60B2" w:rsidRDefault="004D60B2" w:rsidP="00D406A5">
                      <w:pPr>
                        <w:pStyle w:val="Ttulo6"/>
                        <w:rPr>
                          <w:b/>
                        </w:rPr>
                      </w:pPr>
                      <w:r>
                        <w:rPr>
                          <w:b/>
                        </w:rPr>
                        <w:t>Universidad de Jaén</w:t>
                      </w:r>
                    </w:p>
                    <w:p w:rsidR="004D60B2" w:rsidRDefault="004D60B2" w:rsidP="00D406A5">
                      <w:pPr>
                        <w:pStyle w:val="Ttulo3"/>
                      </w:pPr>
                      <w:r>
                        <w:t>Facultad de Ciencias Sociales y Jurídicas</w:t>
                      </w:r>
                    </w:p>
                    <w:p w:rsidR="004D60B2" w:rsidRDefault="004D60B2" w:rsidP="00D406A5"/>
                    <w:p w:rsidR="004D60B2" w:rsidRDefault="004D60B2" w:rsidP="00D406A5"/>
                    <w:p w:rsidR="004D60B2" w:rsidRDefault="004D60B2" w:rsidP="00D406A5"/>
                    <w:p w:rsidR="004D60B2" w:rsidRDefault="004D60B2" w:rsidP="00D406A5"/>
                    <w:p w:rsidR="004D60B2" w:rsidRDefault="004D60B2" w:rsidP="00D406A5"/>
                    <w:p w:rsidR="004D60B2" w:rsidRDefault="004D60B2" w:rsidP="00D406A5">
                      <w:pPr>
                        <w:pStyle w:val="Textoindependiente"/>
                        <w:rPr>
                          <w:rFonts w:ascii="Arial" w:hAnsi="Arial"/>
                          <w:sz w:val="44"/>
                          <w:u w:val="single"/>
                        </w:rPr>
                      </w:pPr>
                      <w:r>
                        <w:rPr>
                          <w:rFonts w:ascii="Arial" w:hAnsi="Arial"/>
                          <w:sz w:val="44"/>
                          <w:u w:val="single"/>
                        </w:rPr>
                        <w:t>Trabajo Fin de Grado</w:t>
                      </w:r>
                    </w:p>
                  </w:txbxContent>
                </v:textbox>
              </v:shape>
            </w:pict>
          </mc:Fallback>
        </mc:AlternateContent>
      </w:r>
    </w:p>
    <w:p w:rsidR="00D406A5" w:rsidRPr="00B9129F" w:rsidRDefault="00D406A5" w:rsidP="00D406A5"/>
    <w:p w:rsidR="00D406A5" w:rsidRPr="00B9129F" w:rsidRDefault="00D406A5" w:rsidP="00D406A5"/>
    <w:p w:rsidR="00D406A5" w:rsidRPr="00B9129F" w:rsidRDefault="00D406A5" w:rsidP="00D406A5"/>
    <w:p w:rsidR="00D406A5" w:rsidRPr="00B9129F" w:rsidRDefault="00D406A5" w:rsidP="00D406A5"/>
    <w:p w:rsidR="00D406A5" w:rsidRPr="00B9129F" w:rsidRDefault="00D406A5" w:rsidP="00D406A5"/>
    <w:p w:rsidR="00D406A5" w:rsidRPr="00B9129F" w:rsidRDefault="00D406A5" w:rsidP="00D406A5"/>
    <w:p w:rsidR="00D406A5" w:rsidRPr="00B9129F" w:rsidRDefault="00D406A5" w:rsidP="00D406A5"/>
    <w:p w:rsidR="00D406A5" w:rsidRDefault="00D406A5" w:rsidP="00D406A5"/>
    <w:p w:rsidR="00D406A5" w:rsidRDefault="00D406A5" w:rsidP="00D406A5"/>
    <w:p w:rsidR="00D406A5" w:rsidRPr="00B9129F" w:rsidRDefault="00D406A5" w:rsidP="00D406A5">
      <w:pPr>
        <w:tabs>
          <w:tab w:val="left" w:pos="7215"/>
        </w:tabs>
      </w:pPr>
      <w:r>
        <w:tab/>
      </w:r>
    </w:p>
    <w:p w:rsidR="00D406A5" w:rsidRDefault="00D406A5" w:rsidP="00D406A5">
      <w:pPr>
        <w:jc w:val="right"/>
      </w:pPr>
    </w:p>
    <w:p w:rsidR="00D406A5" w:rsidRDefault="00D406A5" w:rsidP="00D406A5">
      <w:pPr>
        <w:jc w:val="right"/>
      </w:pPr>
    </w:p>
    <w:p w:rsidR="002206B8" w:rsidRDefault="002206B8" w:rsidP="00D406A5">
      <w:pPr>
        <w:jc w:val="right"/>
      </w:pPr>
    </w:p>
    <w:p w:rsidR="00D406A5" w:rsidRDefault="002206B8" w:rsidP="00D406A5">
      <w:pPr>
        <w:jc w:val="right"/>
      </w:pPr>
      <w:r>
        <w:rPr>
          <w:noProof/>
        </w:rPr>
        <mc:AlternateContent>
          <mc:Choice Requires="wps">
            <w:drawing>
              <wp:anchor distT="0" distB="0" distL="114300" distR="114300" simplePos="0" relativeHeight="251664896" behindDoc="0" locked="0" layoutInCell="0" allowOverlap="1" wp14:anchorId="5A506A9B" wp14:editId="5A16A26F">
                <wp:simplePos x="0" y="0"/>
                <wp:positionH relativeFrom="column">
                  <wp:posOffset>1482090</wp:posOffset>
                </wp:positionH>
                <wp:positionV relativeFrom="paragraph">
                  <wp:posOffset>133350</wp:posOffset>
                </wp:positionV>
                <wp:extent cx="4724400" cy="2457450"/>
                <wp:effectExtent l="0" t="0" r="0" b="0"/>
                <wp:wrapNone/>
                <wp:docPr id="13"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24400" cy="24574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D60B2" w:rsidRPr="00963723" w:rsidRDefault="004D60B2" w:rsidP="00D406A5">
                            <w:pPr>
                              <w:pStyle w:val="Textoindependiente2"/>
                              <w:rPr>
                                <w:b/>
                                <w:sz w:val="60"/>
                                <w:szCs w:val="60"/>
                                <w:lang w:val="es-ES_tradnl"/>
                              </w:rPr>
                            </w:pPr>
                            <w:r w:rsidRPr="00963723">
                              <w:rPr>
                                <w:b/>
                                <w:sz w:val="60"/>
                                <w:szCs w:val="60"/>
                                <w:lang w:val="es-ES_tradnl"/>
                              </w:rPr>
                              <w:t>LA IMPRUDENCIA EN LA REFORMA DEL CÓDIGO PENAL</w:t>
                            </w:r>
                            <w:r>
                              <w:rPr>
                                <w:b/>
                                <w:sz w:val="60"/>
                                <w:szCs w:val="60"/>
                                <w:lang w:val="es-ES_tradnl"/>
                              </w:rPr>
                              <w:t xml:space="preserve"> </w:t>
                            </w:r>
                            <w:r w:rsidRPr="00963723">
                              <w:rPr>
                                <w:b/>
                                <w:sz w:val="60"/>
                                <w:szCs w:val="60"/>
                                <w:lang w:val="es-ES_tradnl"/>
                              </w:rPr>
                              <w:t xml:space="preserve">DE 2015. </w:t>
                            </w:r>
                          </w:p>
                          <w:p w:rsidR="004D60B2" w:rsidRPr="00963723" w:rsidRDefault="004D60B2" w:rsidP="00D406A5">
                            <w:pPr>
                              <w:pStyle w:val="Textoindependiente2"/>
                              <w:rPr>
                                <w:b/>
                                <w:sz w:val="40"/>
                                <w:szCs w:val="40"/>
                                <w:lang w:val="es-ES_tradnl"/>
                              </w:rPr>
                            </w:pPr>
                            <w:r w:rsidRPr="00963723">
                              <w:rPr>
                                <w:b/>
                                <w:sz w:val="40"/>
                                <w:szCs w:val="40"/>
                                <w:lang w:val="es-ES_tradnl"/>
                              </w:rPr>
                              <w:t>ESPECIAL REFERENCIA A LOS DELITOS DE HOMICIDO Y LESIONES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 o:spid="_x0000_s1028" type="#_x0000_t202" style="position:absolute;left:0;text-align:left;margin-left:116.7pt;margin-top:10.5pt;width:372pt;height:193.5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" o:allowincell="f" stroked="f">
                <v:textbox>
                  <w:txbxContent>
                    <w:p w:rsidR="004D60B2" w:rsidRPr="00963723" w:rsidRDefault="004D60B2" w:rsidP="00D406A5">
                      <w:pPr>
                        <w:pStyle w:val="Textoindependiente2"/>
                        <w:rPr>
                          <w:b/>
                          <w:sz w:val="60"/>
                          <w:szCs w:val="60"/>
                          <w:lang w:val="es-ES_tradnl"/>
                        </w:rPr>
                      </w:pPr>
                      <w:r w:rsidRPr="00963723">
                        <w:rPr>
                          <w:b/>
                          <w:sz w:val="60"/>
                          <w:szCs w:val="60"/>
                          <w:lang w:val="es-ES_tradnl"/>
                        </w:rPr>
                        <w:t>LA IMPRUDENCIA EN LA REFORMA DEL CÓDIGO PENAL</w:t>
                      </w:r>
                      <w:r>
                        <w:rPr>
                          <w:b/>
                          <w:sz w:val="60"/>
                          <w:szCs w:val="60"/>
                          <w:lang w:val="es-ES_tradnl"/>
                        </w:rPr>
                        <w:t xml:space="preserve"> </w:t>
                      </w:r>
                      <w:r w:rsidRPr="00963723">
                        <w:rPr>
                          <w:b/>
                          <w:sz w:val="60"/>
                          <w:szCs w:val="60"/>
                          <w:lang w:val="es-ES_tradnl"/>
                        </w:rPr>
                        <w:t xml:space="preserve">DE 2015. </w:t>
                      </w:r>
                    </w:p>
                    <w:p w:rsidR="004D60B2" w:rsidRPr="00963723" w:rsidRDefault="004D60B2" w:rsidP="00D406A5">
                      <w:pPr>
                        <w:pStyle w:val="Textoindependiente2"/>
                        <w:rPr>
                          <w:b/>
                          <w:sz w:val="40"/>
                          <w:szCs w:val="40"/>
                          <w:lang w:val="es-ES_tradnl"/>
                        </w:rPr>
                      </w:pPr>
                      <w:r w:rsidRPr="00963723">
                        <w:rPr>
                          <w:b/>
                          <w:sz w:val="40"/>
                          <w:szCs w:val="40"/>
                          <w:lang w:val="es-ES_tradnl"/>
                        </w:rPr>
                        <w:t>ESPECIAL REFERENCIA A LOS DELITOS DE HOMICIDO Y LESIONES</w:t>
                      </w:r>
                    </w:p>
                  </w:txbxContent>
                </v:textbox>
              </v:shape>
            </w:pict>
          </mc:Fallback>
        </mc:AlternateContent>
      </w: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526C0A" w:rsidP="00D406A5">
      <w:pPr>
        <w:jc w:val="right"/>
      </w:pPr>
      <w:r>
        <w:rPr>
          <w:noProof/>
        </w:rPr>
        <mc:AlternateContent>
          <mc:Choice Requires="wps">
            <w:drawing>
              <wp:anchor distT="0" distB="0" distL="114300" distR="114300" simplePos="0" relativeHeight="251665920" behindDoc="0" locked="0" layoutInCell="0" allowOverlap="1" wp14:anchorId="6EE7B531" wp14:editId="4A1F1807">
                <wp:simplePos x="0" y="0"/>
                <wp:positionH relativeFrom="column">
                  <wp:posOffset>1215391</wp:posOffset>
                </wp:positionH>
                <wp:positionV relativeFrom="paragraph">
                  <wp:posOffset>3810</wp:posOffset>
                </wp:positionV>
                <wp:extent cx="5257800" cy="2882265"/>
                <wp:effectExtent l="0" t="0" r="0" b="0"/>
                <wp:wrapNone/>
                <wp:docPr id="1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57800" cy="28822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D60B2" w:rsidRDefault="004D60B2" w:rsidP="00D406A5">
                            <w:pPr>
                              <w:pStyle w:val="Ttulo5"/>
                              <w:jc w:val="center"/>
                              <w:rPr>
                                <w:u w:val="none"/>
                              </w:rPr>
                            </w:pPr>
                            <w:r>
                              <w:rPr>
                                <w:u w:val="none"/>
                              </w:rPr>
                              <w:t>José Manuel Ortega Gómez</w:t>
                            </w:r>
                          </w:p>
                          <w:p w:rsidR="004D60B2" w:rsidRDefault="004D60B2" w:rsidP="00D406A5">
                            <w:pPr>
                              <w:jc w:val="center"/>
                              <w:rPr>
                                <w:rFonts w:ascii="Arial" w:hAnsi="Arial"/>
                                <w:sz w:val="32"/>
                              </w:rPr>
                            </w:pPr>
                          </w:p>
                          <w:p w:rsidR="004D60B2" w:rsidRDefault="004D60B2" w:rsidP="00D406A5">
                            <w:pPr>
                              <w:jc w:val="center"/>
                              <w:rPr>
                                <w:rFonts w:ascii="Arial" w:hAnsi="Arial"/>
                                <w:sz w:val="32"/>
                              </w:rPr>
                            </w:pPr>
                          </w:p>
                          <w:p w:rsidR="004D60B2" w:rsidRDefault="004D60B2" w:rsidP="00D406A5">
                            <w:pPr>
                              <w:jc w:val="center"/>
                              <w:rPr>
                                <w:rFonts w:ascii="Arial" w:hAnsi="Arial"/>
                                <w:sz w:val="32"/>
                              </w:rPr>
                            </w:pPr>
                          </w:p>
                          <w:p w:rsidR="004D60B2" w:rsidRDefault="004D60B2" w:rsidP="00D406A5">
                            <w:pPr>
                              <w:jc w:val="center"/>
                              <w:rPr>
                                <w:rFonts w:ascii="Arial" w:hAnsi="Arial"/>
                                <w:sz w:val="32"/>
                              </w:rPr>
                            </w:pPr>
                          </w:p>
                          <w:p w:rsidR="004D60B2" w:rsidRDefault="004D60B2" w:rsidP="00D406A5">
                            <w:pPr>
                              <w:jc w:val="center"/>
                              <w:rPr>
                                <w:rFonts w:ascii="Arial" w:hAnsi="Arial"/>
                                <w:sz w:val="32"/>
                              </w:rPr>
                            </w:pPr>
                          </w:p>
                          <w:p w:rsidR="004D60B2" w:rsidRDefault="004D60B2" w:rsidP="00D406A5">
                            <w:pPr>
                              <w:jc w:val="center"/>
                              <w:rPr>
                                <w:rFonts w:ascii="Arial" w:hAnsi="Arial"/>
                                <w:sz w:val="32"/>
                              </w:rPr>
                            </w:pPr>
                          </w:p>
                          <w:p w:rsidR="004D60B2" w:rsidRDefault="004D60B2" w:rsidP="00D406A5">
                            <w:pPr>
                              <w:pStyle w:val="Ttulo4"/>
                              <w:rPr>
                                <w:b/>
                                <w:sz w:val="36"/>
                              </w:rPr>
                            </w:pPr>
                            <w:r>
                              <w:rPr>
                                <w:b/>
                                <w:sz w:val="36"/>
                              </w:rPr>
                              <w:t>Octubre, 2016</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 o:spid="_x0000_s1029" type="#_x0000_t202" style="position:absolute;left:0;text-align:left;margin-left:95.7pt;margin-top:.3pt;width:414pt;height:226.95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" o:allowincell="f" stroked="f">
                <v:textbox>
                  <w:txbxContent>
                    <w:p w:rsidR="004D60B2" w:rsidRDefault="004D60B2" w:rsidP="00D406A5">
                      <w:pPr>
                        <w:pStyle w:val="Ttulo5"/>
                        <w:jc w:val="center"/>
                        <w:rPr>
                          <w:u w:val="none"/>
                        </w:rPr>
                      </w:pPr>
                      <w:r>
                        <w:rPr>
                          <w:u w:val="none"/>
                        </w:rPr>
                        <w:t>José Manuel Ortega Gómez</w:t>
                      </w:r>
                    </w:p>
                    <w:p w:rsidR="004D60B2" w:rsidRDefault="004D60B2" w:rsidP="00D406A5">
                      <w:pPr>
                        <w:jc w:val="center"/>
                        <w:rPr>
                          <w:rFonts w:ascii="Arial" w:hAnsi="Arial"/>
                          <w:sz w:val="32"/>
                        </w:rPr>
                      </w:pPr>
                    </w:p>
                    <w:p w:rsidR="004D60B2" w:rsidRDefault="004D60B2" w:rsidP="00D406A5">
                      <w:pPr>
                        <w:jc w:val="center"/>
                        <w:rPr>
                          <w:rFonts w:ascii="Arial" w:hAnsi="Arial"/>
                          <w:sz w:val="32"/>
                        </w:rPr>
                      </w:pPr>
                    </w:p>
                    <w:p w:rsidR="004D60B2" w:rsidRDefault="004D60B2" w:rsidP="00D406A5">
                      <w:pPr>
                        <w:jc w:val="center"/>
                        <w:rPr>
                          <w:rFonts w:ascii="Arial" w:hAnsi="Arial"/>
                          <w:sz w:val="32"/>
                        </w:rPr>
                      </w:pPr>
                    </w:p>
                    <w:p w:rsidR="004D60B2" w:rsidRDefault="004D60B2" w:rsidP="00D406A5">
                      <w:pPr>
                        <w:jc w:val="center"/>
                        <w:rPr>
                          <w:rFonts w:ascii="Arial" w:hAnsi="Arial"/>
                          <w:sz w:val="32"/>
                        </w:rPr>
                      </w:pPr>
                    </w:p>
                    <w:p w:rsidR="004D60B2" w:rsidRDefault="004D60B2" w:rsidP="00D406A5">
                      <w:pPr>
                        <w:jc w:val="center"/>
                        <w:rPr>
                          <w:rFonts w:ascii="Arial" w:hAnsi="Arial"/>
                          <w:sz w:val="32"/>
                        </w:rPr>
                      </w:pPr>
                    </w:p>
                    <w:p w:rsidR="004D60B2" w:rsidRDefault="004D60B2" w:rsidP="00D406A5">
                      <w:pPr>
                        <w:jc w:val="center"/>
                        <w:rPr>
                          <w:rFonts w:ascii="Arial" w:hAnsi="Arial"/>
                          <w:sz w:val="32"/>
                        </w:rPr>
                      </w:pPr>
                    </w:p>
                    <w:p w:rsidR="004D60B2" w:rsidRDefault="004D60B2" w:rsidP="00D406A5">
                      <w:pPr>
                        <w:pStyle w:val="Ttulo4"/>
                        <w:rPr>
                          <w:b/>
                          <w:sz w:val="36"/>
                        </w:rPr>
                      </w:pPr>
                      <w:r>
                        <w:rPr>
                          <w:b/>
                          <w:sz w:val="36"/>
                        </w:rPr>
                        <w:t>Octubre, 2016</w:t>
                      </w:r>
                    </w:p>
                  </w:txbxContent>
                </v:textbox>
              </v:shape>
            </w:pict>
          </mc:Fallback>
        </mc:AlternateContent>
      </w: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1A7AE3" w:rsidRPr="001A7AE3" w:rsidRDefault="001A7AE3" w:rsidP="00EA0579">
      <w:pPr>
        <w:spacing w:after="200" w:line="360" w:lineRule="auto"/>
        <w:jc w:val="center"/>
        <w:rPr>
          <w:rFonts w:eastAsia="Calibri"/>
          <w:b/>
          <w:bCs/>
          <w:sz w:val="24"/>
          <w:szCs w:val="24"/>
        </w:rPr>
      </w:pPr>
      <w:r w:rsidRPr="001A7AE3">
        <w:rPr>
          <w:rFonts w:eastAsia="Calibri"/>
          <w:b/>
          <w:bCs/>
          <w:sz w:val="24"/>
          <w:szCs w:val="24"/>
        </w:rPr>
        <w:lastRenderedPageBreak/>
        <w:t>ÍNDICE</w:t>
      </w:r>
    </w:p>
    <w:p w:rsidR="001A7AE3" w:rsidRPr="001A7AE3" w:rsidRDefault="001A7AE3" w:rsidP="00EA0579">
      <w:pPr>
        <w:spacing w:after="200" w:line="360" w:lineRule="auto"/>
        <w:jc w:val="center"/>
        <w:rPr>
          <w:rFonts w:eastAsia="Calibri"/>
          <w:b/>
          <w:bCs/>
          <w:sz w:val="24"/>
          <w:szCs w:val="24"/>
        </w:rPr>
      </w:pPr>
    </w:p>
    <w:p w:rsidR="001A7AE3" w:rsidRPr="001A7AE3" w:rsidRDefault="001A7AE3" w:rsidP="00631193">
      <w:pPr>
        <w:spacing w:after="200" w:line="360" w:lineRule="auto"/>
        <w:jc w:val="both"/>
        <w:rPr>
          <w:rFonts w:eastAsia="Calibri"/>
          <w:b/>
          <w:bCs/>
          <w:sz w:val="24"/>
          <w:szCs w:val="24"/>
        </w:rPr>
      </w:pPr>
      <w:r w:rsidRPr="001A7AE3">
        <w:rPr>
          <w:rFonts w:eastAsia="Calibri"/>
          <w:b/>
          <w:bCs/>
          <w:sz w:val="24"/>
          <w:szCs w:val="24"/>
        </w:rPr>
        <w:t>1. RELACIÓN D</w:t>
      </w:r>
      <w:r w:rsidR="00BA2310">
        <w:rPr>
          <w:rFonts w:eastAsia="Calibri"/>
          <w:b/>
          <w:bCs/>
          <w:sz w:val="24"/>
          <w:szCs w:val="24"/>
        </w:rPr>
        <w:t>E ABREVIATURAS……………………………….………….</w:t>
      </w:r>
      <w:r w:rsidRPr="001A7AE3">
        <w:rPr>
          <w:rFonts w:eastAsia="Calibri"/>
          <w:b/>
          <w:bCs/>
          <w:sz w:val="24"/>
          <w:szCs w:val="24"/>
        </w:rPr>
        <w:t>Pág. 3</w:t>
      </w:r>
    </w:p>
    <w:p w:rsidR="001A7AE3" w:rsidRPr="001A7AE3" w:rsidRDefault="001A7AE3" w:rsidP="00631193">
      <w:pPr>
        <w:spacing w:after="200" w:line="360" w:lineRule="auto"/>
        <w:jc w:val="both"/>
        <w:rPr>
          <w:rFonts w:eastAsia="Calibri"/>
          <w:b/>
          <w:bCs/>
          <w:sz w:val="24"/>
          <w:szCs w:val="24"/>
        </w:rPr>
      </w:pPr>
      <w:r w:rsidRPr="001A7AE3">
        <w:rPr>
          <w:rFonts w:eastAsia="Calibri"/>
          <w:b/>
          <w:bCs/>
          <w:sz w:val="24"/>
          <w:szCs w:val="24"/>
        </w:rPr>
        <w:t>2. RES</w:t>
      </w:r>
      <w:r w:rsidR="00BA2310">
        <w:rPr>
          <w:rFonts w:eastAsia="Calibri"/>
          <w:b/>
          <w:bCs/>
          <w:sz w:val="24"/>
          <w:szCs w:val="24"/>
        </w:rPr>
        <w:t>UMEN……………………………………………………………………...</w:t>
      </w:r>
      <w:r w:rsidRPr="001A7AE3">
        <w:rPr>
          <w:rFonts w:eastAsia="Calibri"/>
          <w:b/>
          <w:bCs/>
          <w:sz w:val="24"/>
          <w:szCs w:val="24"/>
        </w:rPr>
        <w:t>Pág. 4</w:t>
      </w:r>
    </w:p>
    <w:p w:rsidR="001A7AE3" w:rsidRPr="001A7AE3" w:rsidRDefault="001A7AE3" w:rsidP="00631193">
      <w:pPr>
        <w:spacing w:after="200" w:line="360" w:lineRule="auto"/>
        <w:jc w:val="both"/>
        <w:rPr>
          <w:rFonts w:eastAsia="Calibri"/>
          <w:b/>
          <w:bCs/>
          <w:sz w:val="24"/>
          <w:szCs w:val="24"/>
        </w:rPr>
      </w:pPr>
      <w:r w:rsidRPr="001A7AE3">
        <w:rPr>
          <w:rFonts w:eastAsia="Calibri"/>
          <w:b/>
          <w:bCs/>
          <w:sz w:val="24"/>
          <w:szCs w:val="24"/>
        </w:rPr>
        <w:t>3. CONSIDERAC</w:t>
      </w:r>
      <w:r w:rsidR="00BA2310">
        <w:rPr>
          <w:rFonts w:eastAsia="Calibri"/>
          <w:b/>
          <w:bCs/>
          <w:sz w:val="24"/>
          <w:szCs w:val="24"/>
        </w:rPr>
        <w:t>IONES PREVIAS……………………………………….…....</w:t>
      </w:r>
      <w:r w:rsidRPr="001A7AE3">
        <w:rPr>
          <w:rFonts w:eastAsia="Calibri"/>
          <w:b/>
          <w:bCs/>
          <w:sz w:val="24"/>
          <w:szCs w:val="24"/>
        </w:rPr>
        <w:t>Pág. 6</w:t>
      </w:r>
    </w:p>
    <w:p w:rsidR="001A7AE3" w:rsidRPr="001A7AE3" w:rsidRDefault="001A7AE3" w:rsidP="00631193">
      <w:pPr>
        <w:spacing w:after="200" w:line="360" w:lineRule="auto"/>
        <w:jc w:val="both"/>
        <w:rPr>
          <w:rFonts w:eastAsia="Calibri"/>
          <w:b/>
          <w:bCs/>
          <w:sz w:val="24"/>
          <w:szCs w:val="24"/>
        </w:rPr>
      </w:pPr>
      <w:r w:rsidRPr="001A7AE3">
        <w:rPr>
          <w:rFonts w:eastAsia="Calibri"/>
          <w:b/>
          <w:bCs/>
          <w:sz w:val="24"/>
          <w:szCs w:val="24"/>
        </w:rPr>
        <w:t>4. INTRODUCCIÓN……………………………………………………….</w:t>
      </w:r>
      <w:r w:rsidR="00BA2310">
        <w:rPr>
          <w:rFonts w:eastAsia="Calibri"/>
          <w:b/>
          <w:bCs/>
          <w:sz w:val="24"/>
          <w:szCs w:val="24"/>
        </w:rPr>
        <w:t>..........</w:t>
      </w:r>
      <w:r w:rsidRPr="001A7AE3">
        <w:rPr>
          <w:rFonts w:eastAsia="Calibri"/>
          <w:b/>
          <w:bCs/>
          <w:sz w:val="24"/>
          <w:szCs w:val="24"/>
        </w:rPr>
        <w:t>Pág. 7</w:t>
      </w:r>
    </w:p>
    <w:p w:rsidR="001A7AE3" w:rsidRPr="001A7AE3" w:rsidRDefault="001A7AE3" w:rsidP="00631193">
      <w:pPr>
        <w:spacing w:after="200" w:line="360" w:lineRule="auto"/>
        <w:jc w:val="both"/>
        <w:rPr>
          <w:rFonts w:eastAsia="Calibri"/>
          <w:b/>
          <w:bCs/>
          <w:sz w:val="24"/>
          <w:szCs w:val="24"/>
        </w:rPr>
      </w:pPr>
      <w:r w:rsidRPr="001A7AE3">
        <w:rPr>
          <w:rFonts w:eastAsia="Calibri"/>
          <w:b/>
          <w:bCs/>
          <w:sz w:val="24"/>
          <w:szCs w:val="24"/>
        </w:rPr>
        <w:t>5. LA IMPRUD</w:t>
      </w:r>
      <w:r w:rsidR="00BA2310">
        <w:rPr>
          <w:rFonts w:eastAsia="Calibri"/>
          <w:b/>
          <w:bCs/>
          <w:sz w:val="24"/>
          <w:szCs w:val="24"/>
        </w:rPr>
        <w:t>ENCIA PUNIBLE…………………………….</w:t>
      </w:r>
      <w:r w:rsidR="00D03871">
        <w:rPr>
          <w:rFonts w:eastAsia="Calibri"/>
          <w:b/>
          <w:bCs/>
          <w:sz w:val="24"/>
          <w:szCs w:val="24"/>
        </w:rPr>
        <w:t>..……………</w:t>
      </w:r>
      <w:r w:rsidR="00BA2310">
        <w:rPr>
          <w:rFonts w:eastAsia="Calibri"/>
          <w:b/>
          <w:bCs/>
          <w:sz w:val="24"/>
          <w:szCs w:val="24"/>
        </w:rPr>
        <w:t>...</w:t>
      </w:r>
      <w:r w:rsidRPr="001A7AE3">
        <w:rPr>
          <w:rFonts w:eastAsia="Calibri"/>
          <w:b/>
          <w:bCs/>
          <w:sz w:val="24"/>
          <w:szCs w:val="24"/>
        </w:rPr>
        <w:t>Pág. 11</w:t>
      </w:r>
    </w:p>
    <w:p w:rsidR="001A7AE3" w:rsidRPr="001A7AE3" w:rsidRDefault="00631193" w:rsidP="00631193">
      <w:pPr>
        <w:tabs>
          <w:tab w:val="center" w:pos="4535"/>
        </w:tabs>
        <w:spacing w:after="200" w:line="360" w:lineRule="auto"/>
        <w:ind w:left="567"/>
        <w:jc w:val="both"/>
        <w:rPr>
          <w:rFonts w:eastAsia="Calibri"/>
          <w:b/>
          <w:bCs/>
          <w:sz w:val="24"/>
          <w:szCs w:val="24"/>
        </w:rPr>
      </w:pPr>
      <w:r>
        <w:rPr>
          <w:rFonts w:eastAsia="Calibri"/>
          <w:b/>
          <w:bCs/>
          <w:sz w:val="24"/>
          <w:szCs w:val="24"/>
        </w:rPr>
        <w:t xml:space="preserve">5.1. </w:t>
      </w:r>
      <w:r w:rsidR="00C76EF2">
        <w:rPr>
          <w:rFonts w:eastAsia="Calibri"/>
          <w:b/>
          <w:bCs/>
          <w:sz w:val="24"/>
          <w:szCs w:val="24"/>
        </w:rPr>
        <w:t>Sistema de incriminación</w:t>
      </w:r>
      <w:r w:rsidR="00D03871">
        <w:rPr>
          <w:rFonts w:eastAsia="Calibri"/>
          <w:b/>
          <w:bCs/>
          <w:sz w:val="24"/>
          <w:szCs w:val="24"/>
        </w:rPr>
        <w:t>..</w:t>
      </w:r>
      <w:r w:rsidR="00BA2310">
        <w:rPr>
          <w:rFonts w:eastAsia="Calibri"/>
          <w:b/>
          <w:bCs/>
          <w:sz w:val="24"/>
          <w:szCs w:val="24"/>
        </w:rPr>
        <w:t>..………………………………………….</w:t>
      </w:r>
      <w:r>
        <w:rPr>
          <w:rFonts w:eastAsia="Calibri"/>
          <w:b/>
          <w:bCs/>
          <w:sz w:val="24"/>
          <w:szCs w:val="24"/>
        </w:rPr>
        <w:t>Pág. 11</w:t>
      </w:r>
    </w:p>
    <w:p w:rsidR="001A7AE3" w:rsidRPr="001A7AE3" w:rsidRDefault="001A7AE3" w:rsidP="00631193">
      <w:pPr>
        <w:spacing w:after="200" w:line="360" w:lineRule="auto"/>
        <w:ind w:left="567"/>
        <w:jc w:val="both"/>
        <w:rPr>
          <w:rFonts w:eastAsia="Calibri"/>
          <w:b/>
          <w:bCs/>
          <w:sz w:val="24"/>
          <w:szCs w:val="24"/>
        </w:rPr>
      </w:pPr>
      <w:r w:rsidRPr="001A7AE3">
        <w:rPr>
          <w:rFonts w:eastAsia="Calibri"/>
          <w:b/>
          <w:bCs/>
          <w:sz w:val="24"/>
          <w:szCs w:val="24"/>
        </w:rPr>
        <w:t xml:space="preserve">5.2. </w:t>
      </w:r>
      <w:r w:rsidRPr="001A7AE3">
        <w:rPr>
          <w:rFonts w:eastAsia="Calibri"/>
          <w:b/>
          <w:bCs/>
          <w:color w:val="000000"/>
          <w:sz w:val="24"/>
          <w:szCs w:val="24"/>
        </w:rPr>
        <w:t>Concepto doctrinal de “previsibilidad y evitabilidad” como criterios determinantes de la infracción del deber de cuidado</w:t>
      </w:r>
      <w:r w:rsidR="00C76EF2">
        <w:rPr>
          <w:rFonts w:eastAsia="Calibri"/>
          <w:b/>
          <w:bCs/>
          <w:color w:val="000000"/>
          <w:sz w:val="24"/>
          <w:szCs w:val="24"/>
        </w:rPr>
        <w:t>……</w:t>
      </w:r>
      <w:r w:rsidR="00631193">
        <w:rPr>
          <w:rFonts w:eastAsia="Calibri"/>
          <w:b/>
          <w:bCs/>
          <w:color w:val="000000"/>
          <w:sz w:val="24"/>
          <w:szCs w:val="24"/>
        </w:rPr>
        <w:t>...</w:t>
      </w:r>
      <w:r w:rsidR="00C76EF2">
        <w:rPr>
          <w:rFonts w:eastAsia="Calibri"/>
          <w:b/>
          <w:bCs/>
          <w:color w:val="000000"/>
          <w:sz w:val="24"/>
          <w:szCs w:val="24"/>
        </w:rPr>
        <w:t>……………</w:t>
      </w:r>
      <w:r w:rsidR="00631193">
        <w:rPr>
          <w:rFonts w:eastAsia="Calibri"/>
          <w:b/>
          <w:bCs/>
          <w:color w:val="000000"/>
          <w:sz w:val="24"/>
          <w:szCs w:val="24"/>
        </w:rPr>
        <w:t>Pág. 14</w:t>
      </w:r>
    </w:p>
    <w:p w:rsidR="001A7AE3" w:rsidRPr="001A7AE3" w:rsidRDefault="001A7AE3" w:rsidP="00631193">
      <w:pPr>
        <w:spacing w:after="200" w:line="360" w:lineRule="auto"/>
        <w:jc w:val="both"/>
        <w:rPr>
          <w:rFonts w:eastAsia="Calibri"/>
          <w:b/>
          <w:bCs/>
          <w:sz w:val="24"/>
          <w:szCs w:val="24"/>
        </w:rPr>
      </w:pPr>
      <w:r w:rsidRPr="001A7AE3">
        <w:rPr>
          <w:rFonts w:eastAsia="Calibri"/>
          <w:b/>
          <w:bCs/>
          <w:sz w:val="24"/>
          <w:szCs w:val="24"/>
        </w:rPr>
        <w:t>6. CLASES DE IMP</w:t>
      </w:r>
      <w:r w:rsidR="00631193">
        <w:rPr>
          <w:rFonts w:eastAsia="Calibri"/>
          <w:b/>
          <w:bCs/>
          <w:sz w:val="24"/>
          <w:szCs w:val="24"/>
        </w:rPr>
        <w:t>RUDENCIA PUNIBLE..…………..……</w:t>
      </w:r>
      <w:r w:rsidR="00BA2310">
        <w:rPr>
          <w:rFonts w:eastAsia="Calibri"/>
          <w:b/>
          <w:bCs/>
          <w:sz w:val="24"/>
          <w:szCs w:val="24"/>
        </w:rPr>
        <w:t>..</w:t>
      </w:r>
      <w:r w:rsidR="00D03871">
        <w:rPr>
          <w:rFonts w:eastAsia="Calibri"/>
          <w:b/>
          <w:bCs/>
          <w:sz w:val="24"/>
          <w:szCs w:val="24"/>
        </w:rPr>
        <w:t>……..</w:t>
      </w:r>
      <w:r w:rsidR="00BA2310">
        <w:rPr>
          <w:rFonts w:eastAsia="Calibri"/>
          <w:b/>
          <w:bCs/>
          <w:sz w:val="24"/>
          <w:szCs w:val="24"/>
        </w:rPr>
        <w:t>……..</w:t>
      </w:r>
      <w:r w:rsidRPr="001A7AE3">
        <w:rPr>
          <w:rFonts w:eastAsia="Calibri"/>
          <w:b/>
          <w:bCs/>
          <w:sz w:val="24"/>
          <w:szCs w:val="24"/>
        </w:rPr>
        <w:t>..Pág. 23</w:t>
      </w:r>
    </w:p>
    <w:p w:rsidR="001A7AE3" w:rsidRPr="001A7AE3" w:rsidRDefault="001A7AE3" w:rsidP="00631193">
      <w:pPr>
        <w:tabs>
          <w:tab w:val="left" w:pos="567"/>
        </w:tabs>
        <w:spacing w:after="200" w:line="360" w:lineRule="auto"/>
        <w:ind w:left="567"/>
        <w:jc w:val="both"/>
        <w:rPr>
          <w:rFonts w:eastAsia="Calibri"/>
          <w:b/>
          <w:bCs/>
          <w:sz w:val="24"/>
          <w:szCs w:val="24"/>
        </w:rPr>
      </w:pPr>
      <w:r w:rsidRPr="001A7AE3">
        <w:rPr>
          <w:rFonts w:eastAsia="Calibri"/>
          <w:b/>
          <w:bCs/>
          <w:sz w:val="24"/>
          <w:szCs w:val="24"/>
        </w:rPr>
        <w:t>6.1. Regulación anterior a la Reforma</w:t>
      </w:r>
      <w:r w:rsidR="00C76EF2">
        <w:rPr>
          <w:rFonts w:eastAsia="Calibri"/>
          <w:b/>
          <w:bCs/>
          <w:sz w:val="24"/>
          <w:szCs w:val="24"/>
        </w:rPr>
        <w:t>………</w:t>
      </w:r>
      <w:r w:rsidR="00631193">
        <w:rPr>
          <w:rFonts w:eastAsia="Calibri"/>
          <w:b/>
          <w:bCs/>
          <w:sz w:val="24"/>
          <w:szCs w:val="24"/>
        </w:rPr>
        <w:t>.......</w:t>
      </w:r>
      <w:r w:rsidR="00C76EF2">
        <w:rPr>
          <w:rFonts w:eastAsia="Calibri"/>
          <w:b/>
          <w:bCs/>
          <w:sz w:val="24"/>
          <w:szCs w:val="24"/>
        </w:rPr>
        <w:t>………………………</w:t>
      </w:r>
      <w:r w:rsidR="00631193">
        <w:rPr>
          <w:rFonts w:eastAsia="Calibri"/>
          <w:b/>
          <w:bCs/>
          <w:sz w:val="24"/>
          <w:szCs w:val="24"/>
        </w:rPr>
        <w:t>Pág. 23</w:t>
      </w:r>
    </w:p>
    <w:p w:rsidR="001A7AE3" w:rsidRPr="001A7AE3" w:rsidRDefault="00631193" w:rsidP="00631193">
      <w:pPr>
        <w:spacing w:after="200" w:line="360" w:lineRule="auto"/>
        <w:ind w:left="1134"/>
        <w:jc w:val="both"/>
        <w:rPr>
          <w:rFonts w:eastAsia="Calibri"/>
          <w:b/>
          <w:bCs/>
          <w:sz w:val="24"/>
          <w:szCs w:val="24"/>
        </w:rPr>
      </w:pPr>
      <w:r>
        <w:rPr>
          <w:rFonts w:eastAsia="Calibri"/>
          <w:b/>
          <w:bCs/>
          <w:sz w:val="24"/>
          <w:szCs w:val="24"/>
        </w:rPr>
        <w:t>6</w:t>
      </w:r>
      <w:r w:rsidR="001A7AE3" w:rsidRPr="001A7AE3">
        <w:rPr>
          <w:rFonts w:eastAsia="Calibri"/>
          <w:b/>
          <w:bCs/>
          <w:sz w:val="24"/>
          <w:szCs w:val="24"/>
        </w:rPr>
        <w:t>.1.1. La imprudencia grave</w:t>
      </w:r>
      <w:r w:rsidR="00C76EF2">
        <w:rPr>
          <w:rFonts w:eastAsia="Calibri"/>
          <w:b/>
          <w:bCs/>
          <w:sz w:val="24"/>
          <w:szCs w:val="24"/>
        </w:rPr>
        <w:t>………………………………………..</w:t>
      </w:r>
      <w:r>
        <w:rPr>
          <w:rFonts w:eastAsia="Calibri"/>
          <w:b/>
          <w:bCs/>
          <w:sz w:val="24"/>
          <w:szCs w:val="24"/>
        </w:rPr>
        <w:t>Pág. 24</w:t>
      </w:r>
    </w:p>
    <w:p w:rsidR="001A7AE3" w:rsidRPr="001A7AE3" w:rsidRDefault="00631193" w:rsidP="00631193">
      <w:pPr>
        <w:spacing w:after="200" w:line="360" w:lineRule="auto"/>
        <w:ind w:left="1134"/>
        <w:jc w:val="both"/>
        <w:rPr>
          <w:rFonts w:eastAsia="Calibri"/>
          <w:b/>
          <w:bCs/>
          <w:sz w:val="24"/>
          <w:szCs w:val="24"/>
        </w:rPr>
      </w:pPr>
      <w:r>
        <w:rPr>
          <w:rFonts w:eastAsia="Calibri"/>
          <w:b/>
          <w:bCs/>
          <w:sz w:val="24"/>
          <w:szCs w:val="24"/>
        </w:rPr>
        <w:t>6</w:t>
      </w:r>
      <w:r w:rsidR="001A7AE3" w:rsidRPr="001A7AE3">
        <w:rPr>
          <w:rFonts w:eastAsia="Calibri"/>
          <w:b/>
          <w:bCs/>
          <w:sz w:val="24"/>
          <w:szCs w:val="24"/>
        </w:rPr>
        <w:t>.1.2. La imprudencia leve</w:t>
      </w:r>
      <w:r>
        <w:rPr>
          <w:rFonts w:eastAsia="Calibri"/>
          <w:b/>
          <w:bCs/>
          <w:sz w:val="24"/>
          <w:szCs w:val="24"/>
        </w:rPr>
        <w:t>…………...……………………………..Pág. 30</w:t>
      </w:r>
    </w:p>
    <w:p w:rsidR="001A7AE3" w:rsidRPr="001A7AE3" w:rsidRDefault="001A7AE3" w:rsidP="00631193">
      <w:pPr>
        <w:tabs>
          <w:tab w:val="left" w:pos="567"/>
        </w:tabs>
        <w:spacing w:after="200" w:line="360" w:lineRule="auto"/>
        <w:ind w:left="567"/>
        <w:jc w:val="both"/>
        <w:rPr>
          <w:rFonts w:eastAsia="Calibri"/>
          <w:b/>
          <w:bCs/>
          <w:sz w:val="24"/>
          <w:szCs w:val="24"/>
        </w:rPr>
      </w:pPr>
      <w:r w:rsidRPr="001A7AE3">
        <w:rPr>
          <w:rFonts w:eastAsia="Calibri"/>
          <w:b/>
          <w:bCs/>
          <w:sz w:val="24"/>
          <w:szCs w:val="24"/>
        </w:rPr>
        <w:t>6.2. Regulación actual</w:t>
      </w:r>
      <w:r w:rsidR="00631193">
        <w:rPr>
          <w:rFonts w:eastAsia="Calibri"/>
          <w:b/>
          <w:bCs/>
          <w:sz w:val="24"/>
          <w:szCs w:val="24"/>
        </w:rPr>
        <w:t>………………………..……………………………Pág. 32</w:t>
      </w:r>
    </w:p>
    <w:p w:rsidR="001A7AE3" w:rsidRPr="001A7AE3" w:rsidRDefault="001A7AE3" w:rsidP="00631193">
      <w:pPr>
        <w:spacing w:after="200" w:line="360" w:lineRule="auto"/>
        <w:ind w:left="1134"/>
        <w:jc w:val="both"/>
        <w:rPr>
          <w:rFonts w:eastAsia="Calibri"/>
          <w:b/>
          <w:bCs/>
          <w:sz w:val="24"/>
          <w:szCs w:val="24"/>
        </w:rPr>
      </w:pPr>
      <w:r w:rsidRPr="001A7AE3">
        <w:rPr>
          <w:rFonts w:eastAsia="Calibri"/>
          <w:b/>
          <w:bCs/>
          <w:sz w:val="24"/>
          <w:szCs w:val="24"/>
        </w:rPr>
        <w:t>6.2.1. La imprudencia grave</w:t>
      </w:r>
      <w:r w:rsidR="00631193">
        <w:rPr>
          <w:rFonts w:eastAsia="Calibri"/>
          <w:b/>
          <w:bCs/>
          <w:sz w:val="24"/>
          <w:szCs w:val="24"/>
        </w:rPr>
        <w:t>……………………..…………………Pág. 37</w:t>
      </w:r>
    </w:p>
    <w:p w:rsidR="001A7AE3" w:rsidRPr="001A7AE3" w:rsidRDefault="001A7AE3" w:rsidP="00631193">
      <w:pPr>
        <w:spacing w:after="200" w:line="360" w:lineRule="auto"/>
        <w:ind w:left="1134"/>
        <w:jc w:val="both"/>
        <w:rPr>
          <w:rFonts w:eastAsia="Calibri"/>
          <w:b/>
          <w:bCs/>
          <w:color w:val="000000"/>
          <w:sz w:val="24"/>
          <w:szCs w:val="24"/>
        </w:rPr>
      </w:pPr>
      <w:r w:rsidRPr="001A7AE3">
        <w:rPr>
          <w:rFonts w:eastAsia="Calibri"/>
          <w:b/>
          <w:bCs/>
          <w:color w:val="000000"/>
          <w:sz w:val="24"/>
          <w:szCs w:val="24"/>
        </w:rPr>
        <w:t>6.2.2. La imprudencia menos grave</w:t>
      </w:r>
      <w:r w:rsidR="00631193">
        <w:rPr>
          <w:rFonts w:eastAsia="Calibri"/>
          <w:b/>
          <w:bCs/>
          <w:color w:val="000000"/>
          <w:sz w:val="24"/>
          <w:szCs w:val="24"/>
        </w:rPr>
        <w:t>……….……………………….Pág. 41</w:t>
      </w:r>
    </w:p>
    <w:p w:rsidR="001A7AE3" w:rsidRPr="001A7AE3" w:rsidRDefault="001A7AE3" w:rsidP="00631193">
      <w:pPr>
        <w:spacing w:after="200" w:line="360" w:lineRule="auto"/>
        <w:ind w:left="1134"/>
        <w:jc w:val="both"/>
        <w:rPr>
          <w:rFonts w:eastAsia="Calibri"/>
          <w:b/>
          <w:bCs/>
          <w:color w:val="000000"/>
          <w:sz w:val="24"/>
          <w:szCs w:val="24"/>
        </w:rPr>
      </w:pPr>
      <w:r w:rsidRPr="001A7AE3">
        <w:rPr>
          <w:rFonts w:eastAsia="Calibri"/>
          <w:b/>
          <w:bCs/>
          <w:color w:val="000000"/>
          <w:sz w:val="24"/>
          <w:szCs w:val="24"/>
        </w:rPr>
        <w:t>6.2.3. La supresión del Libro III, relativo a “las faltas y sus penas”. Consecuencias de la Reforma de 2015</w:t>
      </w:r>
      <w:r w:rsidR="00631193">
        <w:rPr>
          <w:rFonts w:eastAsia="Calibri"/>
          <w:b/>
          <w:bCs/>
          <w:color w:val="000000"/>
          <w:sz w:val="24"/>
          <w:szCs w:val="24"/>
        </w:rPr>
        <w:t>……………………..………Pág. 46</w:t>
      </w:r>
    </w:p>
    <w:p w:rsidR="001A7AE3" w:rsidRPr="001A7AE3" w:rsidRDefault="001A7AE3" w:rsidP="00631193">
      <w:pPr>
        <w:spacing w:after="200" w:line="360" w:lineRule="auto"/>
        <w:jc w:val="both"/>
        <w:rPr>
          <w:rFonts w:eastAsia="Calibri"/>
          <w:b/>
          <w:bCs/>
          <w:sz w:val="24"/>
          <w:szCs w:val="24"/>
        </w:rPr>
      </w:pPr>
      <w:r w:rsidRPr="001A7AE3">
        <w:rPr>
          <w:rFonts w:eastAsia="Calibri"/>
          <w:b/>
          <w:bCs/>
          <w:sz w:val="24"/>
          <w:szCs w:val="24"/>
        </w:rPr>
        <w:t>7. CONCLUSIONES……………………………………………………….....…Pág. 5</w:t>
      </w:r>
      <w:r w:rsidR="00825193">
        <w:rPr>
          <w:rFonts w:eastAsia="Calibri"/>
          <w:b/>
          <w:bCs/>
          <w:sz w:val="24"/>
          <w:szCs w:val="24"/>
        </w:rPr>
        <w:t>2</w:t>
      </w:r>
    </w:p>
    <w:p w:rsidR="001A7AE3" w:rsidRPr="001A7AE3" w:rsidRDefault="001A7AE3" w:rsidP="00631193">
      <w:pPr>
        <w:spacing w:after="200" w:line="360" w:lineRule="auto"/>
        <w:jc w:val="both"/>
        <w:rPr>
          <w:rFonts w:eastAsia="Calibri"/>
          <w:b/>
          <w:bCs/>
          <w:sz w:val="24"/>
          <w:szCs w:val="24"/>
        </w:rPr>
      </w:pPr>
      <w:r w:rsidRPr="001A7AE3">
        <w:rPr>
          <w:rFonts w:eastAsia="Calibri"/>
          <w:b/>
          <w:bCs/>
          <w:sz w:val="24"/>
          <w:szCs w:val="24"/>
        </w:rPr>
        <w:t>8. BIBLIOGRAFÍA</w:t>
      </w:r>
      <w:bookmarkStart w:id="0" w:name="_GoBack"/>
      <w:r w:rsidRPr="001A7AE3">
        <w:rPr>
          <w:rFonts w:eastAsia="Calibri"/>
          <w:b/>
          <w:bCs/>
          <w:sz w:val="24"/>
          <w:szCs w:val="24"/>
        </w:rPr>
        <w:t>………………………………..………………………….…Pág. 5</w:t>
      </w:r>
      <w:r w:rsidR="00631193">
        <w:rPr>
          <w:rFonts w:eastAsia="Calibri"/>
          <w:b/>
          <w:bCs/>
          <w:sz w:val="24"/>
          <w:szCs w:val="24"/>
        </w:rPr>
        <w:t>4</w:t>
      </w:r>
    </w:p>
    <w:p w:rsidR="001A7AE3" w:rsidRPr="001A7AE3" w:rsidRDefault="001A7AE3" w:rsidP="00631193">
      <w:pPr>
        <w:spacing w:after="200" w:line="360" w:lineRule="auto"/>
        <w:jc w:val="both"/>
        <w:rPr>
          <w:rFonts w:eastAsia="Calibri"/>
          <w:b/>
          <w:bCs/>
          <w:sz w:val="24"/>
          <w:szCs w:val="24"/>
        </w:rPr>
      </w:pPr>
      <w:r w:rsidRPr="001A7AE3">
        <w:rPr>
          <w:rFonts w:eastAsia="Calibri"/>
          <w:b/>
          <w:bCs/>
          <w:sz w:val="24"/>
          <w:szCs w:val="24"/>
        </w:rPr>
        <w:t xml:space="preserve">9. REFERENCIAS LEGALES………......…………………………………..…Pág. </w:t>
      </w:r>
      <w:r w:rsidR="00825193">
        <w:rPr>
          <w:rFonts w:eastAsia="Calibri"/>
          <w:b/>
          <w:bCs/>
          <w:sz w:val="24"/>
          <w:szCs w:val="24"/>
        </w:rPr>
        <w:t>60</w:t>
      </w:r>
    </w:p>
    <w:p w:rsidR="001A7AE3" w:rsidRPr="001A7AE3" w:rsidRDefault="001A7AE3" w:rsidP="00631193">
      <w:pPr>
        <w:spacing w:after="200" w:line="360" w:lineRule="auto"/>
        <w:jc w:val="both"/>
        <w:rPr>
          <w:rFonts w:eastAsia="Calibri"/>
          <w:b/>
          <w:bCs/>
          <w:sz w:val="24"/>
          <w:szCs w:val="24"/>
        </w:rPr>
        <w:sectPr w:rsidR="001A7AE3" w:rsidRPr="001A7AE3" w:rsidSect="001A7AE3">
          <w:footerReference w:type="default" r:id="rId10"/>
          <w:pgSz w:w="11906" w:h="16838" w:code="9"/>
          <w:pgMar w:top="1417" w:right="1701" w:bottom="1417" w:left="1701" w:header="709" w:footer="709" w:gutter="0"/>
          <w:cols w:space="708"/>
          <w:docGrid w:linePitch="360"/>
        </w:sectPr>
      </w:pPr>
      <w:r w:rsidRPr="001A7AE3">
        <w:rPr>
          <w:rFonts w:eastAsia="Calibri"/>
          <w:b/>
          <w:bCs/>
          <w:sz w:val="24"/>
          <w:szCs w:val="24"/>
        </w:rPr>
        <w:t xml:space="preserve">10. RELACIÓN DE SENTENCIAS……………….….………………………..Pág. </w:t>
      </w:r>
      <w:r w:rsidR="00825193">
        <w:rPr>
          <w:rFonts w:eastAsia="Calibri"/>
          <w:b/>
          <w:bCs/>
          <w:sz w:val="24"/>
          <w:szCs w:val="24"/>
        </w:rPr>
        <w:t>60</w:t>
      </w:r>
    </w:p>
    <w:p w:rsidR="001A7AE3" w:rsidRPr="001A7AE3" w:rsidRDefault="001A7AE3" w:rsidP="00EA0579">
      <w:pPr>
        <w:spacing w:after="200" w:line="360" w:lineRule="auto"/>
        <w:jc w:val="both"/>
        <w:rPr>
          <w:rFonts w:eastAsia="Calibri"/>
          <w:b/>
          <w:bCs/>
          <w:sz w:val="24"/>
          <w:szCs w:val="24"/>
        </w:rPr>
      </w:pPr>
      <w:r w:rsidRPr="001A7AE3">
        <w:rPr>
          <w:rFonts w:eastAsia="Calibri"/>
          <w:b/>
          <w:bCs/>
          <w:sz w:val="24"/>
          <w:szCs w:val="24"/>
        </w:rPr>
        <w:lastRenderedPageBreak/>
        <w:t>1. RELACIÓN DE ABREBIATURAS</w:t>
      </w:r>
    </w:p>
    <w:p w:rsidR="001A7AE3" w:rsidRPr="001A7AE3" w:rsidRDefault="001A7AE3" w:rsidP="00EA0579">
      <w:pPr>
        <w:spacing w:after="200" w:line="360" w:lineRule="auto"/>
        <w:jc w:val="both"/>
        <w:rPr>
          <w:rFonts w:eastAsia="Calibri"/>
          <w:sz w:val="24"/>
          <w:szCs w:val="24"/>
        </w:rPr>
      </w:pPr>
      <w:r w:rsidRPr="001A7AE3">
        <w:rPr>
          <w:rFonts w:eastAsia="Calibri"/>
          <w:sz w:val="24"/>
          <w:szCs w:val="24"/>
        </w:rPr>
        <w:t>Artículo (art.)</w:t>
      </w:r>
    </w:p>
    <w:p w:rsidR="001A7AE3" w:rsidRPr="001A7AE3" w:rsidRDefault="001A7AE3" w:rsidP="00EA0579">
      <w:pPr>
        <w:spacing w:after="200" w:line="360" w:lineRule="auto"/>
        <w:jc w:val="both"/>
        <w:rPr>
          <w:rFonts w:eastAsia="Calibri"/>
          <w:sz w:val="24"/>
          <w:szCs w:val="24"/>
        </w:rPr>
      </w:pPr>
      <w:r w:rsidRPr="001A7AE3">
        <w:rPr>
          <w:rFonts w:eastAsia="Calibri"/>
          <w:sz w:val="24"/>
          <w:szCs w:val="24"/>
        </w:rPr>
        <w:t>Boletín Oficial de las Cortes Generales (BOCG)</w:t>
      </w:r>
    </w:p>
    <w:p w:rsidR="001A7AE3" w:rsidRPr="001A7AE3" w:rsidRDefault="001A7AE3" w:rsidP="00EA0579">
      <w:pPr>
        <w:spacing w:after="200" w:line="360" w:lineRule="auto"/>
        <w:jc w:val="both"/>
        <w:rPr>
          <w:rFonts w:eastAsia="Calibri"/>
          <w:sz w:val="24"/>
          <w:szCs w:val="24"/>
        </w:rPr>
      </w:pPr>
      <w:r w:rsidRPr="001A7AE3">
        <w:rPr>
          <w:rFonts w:eastAsia="Calibri"/>
          <w:sz w:val="24"/>
          <w:szCs w:val="24"/>
        </w:rPr>
        <w:t>Boletín Oficial del Estado (BOE)</w:t>
      </w:r>
    </w:p>
    <w:p w:rsidR="001A7AE3" w:rsidRPr="001A7AE3" w:rsidRDefault="001A7AE3" w:rsidP="00EA0579">
      <w:pPr>
        <w:spacing w:after="200" w:line="360" w:lineRule="auto"/>
        <w:jc w:val="both"/>
        <w:rPr>
          <w:rFonts w:eastAsia="Calibri"/>
          <w:sz w:val="24"/>
          <w:szCs w:val="24"/>
        </w:rPr>
      </w:pPr>
      <w:r w:rsidRPr="001A7AE3">
        <w:rPr>
          <w:rFonts w:eastAsia="Calibri"/>
          <w:sz w:val="24"/>
          <w:szCs w:val="24"/>
        </w:rPr>
        <w:t>Código Civil (CC)</w:t>
      </w:r>
    </w:p>
    <w:p w:rsidR="001A7AE3" w:rsidRPr="001A7AE3" w:rsidRDefault="001A7AE3" w:rsidP="00EA0579">
      <w:pPr>
        <w:spacing w:after="200" w:line="360" w:lineRule="auto"/>
        <w:jc w:val="both"/>
        <w:rPr>
          <w:rFonts w:eastAsia="Calibri"/>
          <w:sz w:val="24"/>
          <w:szCs w:val="24"/>
        </w:rPr>
      </w:pPr>
      <w:r w:rsidRPr="001A7AE3">
        <w:rPr>
          <w:rFonts w:eastAsia="Calibri"/>
          <w:sz w:val="24"/>
          <w:szCs w:val="24"/>
        </w:rPr>
        <w:t>Código Penal anterior (ACP)</w:t>
      </w:r>
    </w:p>
    <w:p w:rsidR="001A7AE3" w:rsidRPr="001A7AE3" w:rsidRDefault="001A7AE3" w:rsidP="00EA0579">
      <w:pPr>
        <w:spacing w:after="200" w:line="360" w:lineRule="auto"/>
        <w:jc w:val="both"/>
        <w:rPr>
          <w:rFonts w:eastAsia="Calibri"/>
          <w:sz w:val="24"/>
          <w:szCs w:val="24"/>
        </w:rPr>
      </w:pPr>
      <w:r w:rsidRPr="001A7AE3">
        <w:rPr>
          <w:rFonts w:eastAsia="Calibri"/>
          <w:sz w:val="24"/>
          <w:szCs w:val="24"/>
        </w:rPr>
        <w:t>Código Penal (CP)</w:t>
      </w:r>
    </w:p>
    <w:p w:rsidR="001A7AE3" w:rsidRPr="001A7AE3" w:rsidRDefault="001A7AE3" w:rsidP="00EA0579">
      <w:pPr>
        <w:spacing w:after="200" w:line="360" w:lineRule="auto"/>
        <w:jc w:val="both"/>
        <w:rPr>
          <w:rFonts w:eastAsia="Calibri"/>
          <w:sz w:val="24"/>
          <w:szCs w:val="24"/>
        </w:rPr>
      </w:pPr>
      <w:r w:rsidRPr="001A7AE3">
        <w:rPr>
          <w:rFonts w:eastAsia="Calibri"/>
          <w:sz w:val="24"/>
          <w:szCs w:val="24"/>
        </w:rPr>
        <w:t>Coordinador (Coord.)</w:t>
      </w:r>
    </w:p>
    <w:p w:rsidR="001A7AE3" w:rsidRPr="001A7AE3" w:rsidRDefault="001A7AE3" w:rsidP="00EA0579">
      <w:pPr>
        <w:spacing w:after="200" w:line="360" w:lineRule="auto"/>
        <w:jc w:val="both"/>
        <w:rPr>
          <w:rFonts w:eastAsia="Calibri"/>
          <w:sz w:val="24"/>
          <w:szCs w:val="24"/>
        </w:rPr>
      </w:pPr>
      <w:r w:rsidRPr="001A7AE3">
        <w:rPr>
          <w:rFonts w:eastAsia="Calibri"/>
          <w:sz w:val="24"/>
          <w:szCs w:val="24"/>
        </w:rPr>
        <w:t>Director (Dir.)</w:t>
      </w:r>
    </w:p>
    <w:p w:rsidR="001A7AE3" w:rsidRPr="001A7AE3" w:rsidRDefault="001A7AE3" w:rsidP="00EA0579">
      <w:pPr>
        <w:spacing w:after="200" w:line="360" w:lineRule="auto"/>
        <w:jc w:val="both"/>
        <w:rPr>
          <w:rFonts w:eastAsia="Calibri"/>
          <w:sz w:val="24"/>
          <w:szCs w:val="24"/>
        </w:rPr>
      </w:pPr>
      <w:r w:rsidRPr="001A7AE3">
        <w:rPr>
          <w:rFonts w:eastAsia="Calibri"/>
          <w:sz w:val="24"/>
          <w:szCs w:val="24"/>
        </w:rPr>
        <w:t>Edición (Ed.)</w:t>
      </w:r>
    </w:p>
    <w:p w:rsidR="001A7AE3" w:rsidRPr="001A7AE3" w:rsidRDefault="001A7AE3" w:rsidP="00EA0579">
      <w:pPr>
        <w:spacing w:after="200" w:line="360" w:lineRule="auto"/>
        <w:jc w:val="both"/>
        <w:rPr>
          <w:rFonts w:eastAsia="Calibri"/>
          <w:sz w:val="24"/>
          <w:szCs w:val="24"/>
        </w:rPr>
      </w:pPr>
      <w:r w:rsidRPr="001A7AE3">
        <w:rPr>
          <w:rFonts w:eastAsia="Calibri"/>
          <w:sz w:val="24"/>
          <w:szCs w:val="24"/>
        </w:rPr>
        <w:t>Fundamento (FD)</w:t>
      </w:r>
    </w:p>
    <w:p w:rsidR="001A7AE3" w:rsidRPr="001A7AE3" w:rsidRDefault="001A7AE3" w:rsidP="00EA0579">
      <w:pPr>
        <w:spacing w:after="200" w:line="360" w:lineRule="auto"/>
        <w:jc w:val="both"/>
        <w:rPr>
          <w:rFonts w:eastAsia="Calibri"/>
          <w:sz w:val="24"/>
          <w:szCs w:val="24"/>
        </w:rPr>
      </w:pPr>
      <w:r w:rsidRPr="001A7AE3">
        <w:rPr>
          <w:rFonts w:eastAsia="Calibri"/>
          <w:sz w:val="24"/>
          <w:szCs w:val="24"/>
        </w:rPr>
        <w:t>Ley Enjuiciamiento Civil (LECiv)</w:t>
      </w:r>
    </w:p>
    <w:p w:rsidR="001A7AE3" w:rsidRPr="001A7AE3" w:rsidRDefault="001A7AE3" w:rsidP="00EA0579">
      <w:pPr>
        <w:spacing w:after="200" w:line="360" w:lineRule="auto"/>
        <w:jc w:val="both"/>
        <w:rPr>
          <w:rFonts w:eastAsia="Calibri"/>
          <w:sz w:val="24"/>
          <w:szCs w:val="24"/>
        </w:rPr>
      </w:pPr>
      <w:r w:rsidRPr="001A7AE3">
        <w:rPr>
          <w:rFonts w:eastAsia="Calibri"/>
          <w:sz w:val="24"/>
          <w:szCs w:val="24"/>
        </w:rPr>
        <w:t>Ley Enjuiciamiento Criminal (LECrim)</w:t>
      </w:r>
    </w:p>
    <w:p w:rsidR="001A7AE3" w:rsidRPr="001A7AE3" w:rsidRDefault="001A7AE3" w:rsidP="00EA0579">
      <w:pPr>
        <w:spacing w:after="200" w:line="360" w:lineRule="auto"/>
        <w:jc w:val="both"/>
        <w:rPr>
          <w:rFonts w:eastAsia="Calibri"/>
          <w:sz w:val="24"/>
          <w:szCs w:val="24"/>
        </w:rPr>
      </w:pPr>
      <w:r w:rsidRPr="001A7AE3">
        <w:rPr>
          <w:rFonts w:eastAsia="Calibri"/>
          <w:sz w:val="24"/>
          <w:szCs w:val="24"/>
        </w:rPr>
        <w:t>Número (núm.)</w:t>
      </w:r>
    </w:p>
    <w:p w:rsidR="001A7AE3" w:rsidRPr="001A7AE3" w:rsidRDefault="001A7AE3" w:rsidP="00EA0579">
      <w:pPr>
        <w:spacing w:after="200" w:line="360" w:lineRule="auto"/>
        <w:jc w:val="both"/>
        <w:rPr>
          <w:rFonts w:eastAsia="Calibri"/>
          <w:sz w:val="24"/>
          <w:szCs w:val="24"/>
        </w:rPr>
      </w:pPr>
      <w:r w:rsidRPr="001A7AE3">
        <w:rPr>
          <w:rFonts w:eastAsia="Calibri"/>
          <w:sz w:val="24"/>
          <w:szCs w:val="24"/>
        </w:rPr>
        <w:t>Página (Pág.)</w:t>
      </w:r>
    </w:p>
    <w:p w:rsidR="001A7AE3" w:rsidRPr="001A7AE3" w:rsidRDefault="001A7AE3" w:rsidP="00EA0579">
      <w:pPr>
        <w:spacing w:after="200" w:line="360" w:lineRule="auto"/>
        <w:jc w:val="both"/>
        <w:rPr>
          <w:rFonts w:eastAsia="Calibri"/>
          <w:sz w:val="24"/>
          <w:szCs w:val="24"/>
        </w:rPr>
      </w:pPr>
      <w:r w:rsidRPr="001A7AE3">
        <w:rPr>
          <w:rFonts w:eastAsia="Calibri"/>
          <w:sz w:val="24"/>
          <w:szCs w:val="24"/>
        </w:rPr>
        <w:t>Página (p.)</w:t>
      </w:r>
    </w:p>
    <w:p w:rsidR="001A7AE3" w:rsidRPr="001A7AE3" w:rsidRDefault="001A7AE3" w:rsidP="00EA0579">
      <w:pPr>
        <w:spacing w:after="200" w:line="360" w:lineRule="auto"/>
        <w:jc w:val="both"/>
        <w:rPr>
          <w:rFonts w:eastAsia="Calibri"/>
          <w:sz w:val="24"/>
          <w:szCs w:val="24"/>
        </w:rPr>
      </w:pPr>
      <w:r w:rsidRPr="001A7AE3">
        <w:rPr>
          <w:rFonts w:eastAsia="Calibri"/>
          <w:sz w:val="24"/>
          <w:szCs w:val="24"/>
        </w:rPr>
        <w:t>Páginas (pp.)</w:t>
      </w:r>
    </w:p>
    <w:p w:rsidR="001A7AE3" w:rsidRPr="001A7AE3" w:rsidRDefault="001A7AE3" w:rsidP="00EA0579">
      <w:pPr>
        <w:spacing w:after="200" w:line="360" w:lineRule="auto"/>
        <w:jc w:val="both"/>
        <w:rPr>
          <w:rFonts w:eastAsia="Calibri"/>
          <w:sz w:val="24"/>
          <w:szCs w:val="24"/>
        </w:rPr>
      </w:pPr>
      <w:r w:rsidRPr="001A7AE3">
        <w:rPr>
          <w:rFonts w:eastAsia="Calibri"/>
          <w:sz w:val="24"/>
          <w:szCs w:val="24"/>
        </w:rPr>
        <w:t>Por ejemplo (p.e.)</w:t>
      </w:r>
    </w:p>
    <w:p w:rsidR="001A7AE3" w:rsidRPr="001A7AE3" w:rsidRDefault="001A7AE3" w:rsidP="00EA0579">
      <w:pPr>
        <w:spacing w:after="200" w:line="360" w:lineRule="auto"/>
        <w:jc w:val="both"/>
        <w:rPr>
          <w:rFonts w:eastAsia="Calibri"/>
          <w:sz w:val="24"/>
          <w:szCs w:val="24"/>
        </w:rPr>
      </w:pPr>
      <w:r w:rsidRPr="001A7AE3">
        <w:rPr>
          <w:rFonts w:eastAsia="Calibri"/>
          <w:sz w:val="24"/>
          <w:szCs w:val="24"/>
        </w:rPr>
        <w:t>Proyecto de reforma del código penal (PRCP)</w:t>
      </w:r>
    </w:p>
    <w:p w:rsidR="001A7AE3" w:rsidRPr="001A7AE3" w:rsidRDefault="001A7AE3" w:rsidP="00EA0579">
      <w:pPr>
        <w:spacing w:after="200" w:line="360" w:lineRule="auto"/>
        <w:jc w:val="both"/>
        <w:rPr>
          <w:rFonts w:eastAsia="Calibri"/>
          <w:sz w:val="24"/>
          <w:szCs w:val="24"/>
        </w:rPr>
      </w:pPr>
      <w:r w:rsidRPr="001A7AE3">
        <w:rPr>
          <w:rFonts w:eastAsia="Calibri"/>
          <w:sz w:val="24"/>
          <w:szCs w:val="24"/>
        </w:rPr>
        <w:t>Sentencia Tribunal Supremo (STS)</w:t>
      </w:r>
    </w:p>
    <w:p w:rsidR="001A7AE3" w:rsidRPr="001A7AE3" w:rsidRDefault="001A7AE3" w:rsidP="00EA0579">
      <w:pPr>
        <w:spacing w:after="200" w:line="360" w:lineRule="auto"/>
        <w:jc w:val="both"/>
        <w:rPr>
          <w:rFonts w:eastAsia="Calibri"/>
          <w:sz w:val="24"/>
          <w:szCs w:val="24"/>
        </w:rPr>
      </w:pPr>
      <w:r w:rsidRPr="001A7AE3">
        <w:rPr>
          <w:rFonts w:eastAsia="Calibri"/>
          <w:sz w:val="24"/>
          <w:szCs w:val="24"/>
        </w:rPr>
        <w:t>Tribunal Supremo (TS)</w:t>
      </w:r>
    </w:p>
    <w:p w:rsidR="001A7AE3" w:rsidRPr="001A7AE3" w:rsidRDefault="001A7AE3" w:rsidP="00EA0579">
      <w:pPr>
        <w:spacing w:after="200" w:line="360" w:lineRule="auto"/>
        <w:jc w:val="both"/>
        <w:rPr>
          <w:rFonts w:eastAsia="Calibri"/>
          <w:b/>
          <w:bCs/>
          <w:sz w:val="24"/>
          <w:szCs w:val="24"/>
        </w:rPr>
      </w:pPr>
    </w:p>
    <w:p w:rsidR="00BA2310" w:rsidRDefault="00BA2310" w:rsidP="00EA0579">
      <w:pPr>
        <w:spacing w:after="200" w:line="360" w:lineRule="auto"/>
        <w:jc w:val="both"/>
        <w:rPr>
          <w:rFonts w:eastAsia="Calibri"/>
          <w:b/>
          <w:bCs/>
          <w:sz w:val="24"/>
          <w:szCs w:val="24"/>
        </w:rPr>
      </w:pPr>
    </w:p>
    <w:bookmarkEnd w:id="0"/>
    <w:p w:rsidR="001A7AE3" w:rsidRPr="001A7AE3" w:rsidRDefault="001A7AE3" w:rsidP="00EA0579">
      <w:pPr>
        <w:spacing w:after="200" w:line="360" w:lineRule="auto"/>
        <w:jc w:val="both"/>
        <w:rPr>
          <w:rFonts w:eastAsia="Calibri"/>
          <w:b/>
          <w:bCs/>
          <w:sz w:val="24"/>
          <w:szCs w:val="24"/>
        </w:rPr>
      </w:pPr>
      <w:r w:rsidRPr="001A7AE3">
        <w:rPr>
          <w:rFonts w:eastAsia="Calibri"/>
          <w:b/>
          <w:bCs/>
          <w:sz w:val="24"/>
          <w:szCs w:val="24"/>
        </w:rPr>
        <w:lastRenderedPageBreak/>
        <w:t>2. RESUMEN</w:t>
      </w:r>
    </w:p>
    <w:p w:rsidR="001A7AE3" w:rsidRPr="001A7AE3" w:rsidRDefault="001A7AE3" w:rsidP="00BA2310">
      <w:pPr>
        <w:spacing w:after="200" w:line="360" w:lineRule="auto"/>
        <w:ind w:firstLine="426"/>
        <w:jc w:val="both"/>
        <w:rPr>
          <w:rFonts w:eastAsia="Calibri"/>
          <w:b/>
          <w:bCs/>
          <w:sz w:val="24"/>
          <w:szCs w:val="24"/>
        </w:rPr>
      </w:pPr>
      <w:r w:rsidRPr="001A7AE3">
        <w:rPr>
          <w:rFonts w:eastAsia="Calibri"/>
          <w:sz w:val="24"/>
          <w:szCs w:val="24"/>
        </w:rPr>
        <w:t xml:space="preserve">Se pretende con la siguiente ponencia lograr una interpretación razonable de los novedosos cambios que, respecto a la imprudencia, el legislador ha incorporado en el Código Penal tras la Reforma de 2015 y, especialmente, de la nueva forma de incriminación de la imprudencia menos grave. </w:t>
      </w:r>
    </w:p>
    <w:p w:rsidR="001A7AE3" w:rsidRPr="001A7AE3" w:rsidRDefault="001A7AE3" w:rsidP="00BA2310">
      <w:pPr>
        <w:spacing w:after="200" w:line="360" w:lineRule="auto"/>
        <w:ind w:firstLine="426"/>
        <w:jc w:val="both"/>
        <w:rPr>
          <w:rFonts w:eastAsia="Calibri"/>
          <w:sz w:val="24"/>
          <w:szCs w:val="24"/>
        </w:rPr>
      </w:pPr>
      <w:r w:rsidRPr="001A7AE3">
        <w:rPr>
          <w:rFonts w:eastAsia="Calibri"/>
          <w:sz w:val="24"/>
          <w:szCs w:val="24"/>
        </w:rPr>
        <w:t>Se conduce así el presente estudio hacia el alcance de una configuración de la nueva categorización de la imprudencia grave y menos grave, pretendiendo alcanzar un sistema práctico para enfrentarnos a las valoraciones que tendremos que realizar a la hora de inclinarnos por la calificación de un hecho imprudente como grave o menos grave.</w:t>
      </w:r>
    </w:p>
    <w:p w:rsidR="001A7AE3" w:rsidRPr="001A7AE3" w:rsidRDefault="001A7AE3" w:rsidP="00BA2310">
      <w:pPr>
        <w:spacing w:after="200" w:line="360" w:lineRule="auto"/>
        <w:ind w:firstLine="426"/>
        <w:jc w:val="both"/>
        <w:rPr>
          <w:rFonts w:eastAsia="Calibri"/>
          <w:b/>
          <w:bCs/>
          <w:sz w:val="24"/>
          <w:szCs w:val="24"/>
        </w:rPr>
      </w:pPr>
      <w:r w:rsidRPr="001A7AE3">
        <w:rPr>
          <w:rFonts w:eastAsia="Calibri"/>
          <w:sz w:val="24"/>
          <w:szCs w:val="24"/>
        </w:rPr>
        <w:t>Por un lado, se lleva a cabo un análisis de la antigua configuración de la imprudencia grave y leve, con el objetivo de encontrar en la tradición doctrinal y jurisprudencial argumentos que sirvan de base para poder realizar una interpretación razonable de la nueva forma de incriminación de la imprudencia penal, teniendo en cuenta la entidad de los deberes de cuidado infringidos, la previsibilidad  y evitabilidad del resultado, así como la e</w:t>
      </w:r>
      <w:r w:rsidR="00D03871">
        <w:rPr>
          <w:rFonts w:eastAsia="Calibri"/>
          <w:sz w:val="24"/>
          <w:szCs w:val="24"/>
        </w:rPr>
        <w:t>ntidad del riesgo generado,</w:t>
      </w:r>
      <w:r w:rsidR="00D03871" w:rsidRPr="00D03871">
        <w:rPr>
          <w:rFonts w:eastAsia="Calibri"/>
          <w:sz w:val="24"/>
          <w:szCs w:val="24"/>
        </w:rPr>
        <w:t xml:space="preserve"> </w:t>
      </w:r>
      <w:r w:rsidR="00D03871" w:rsidRPr="001A7AE3">
        <w:rPr>
          <w:rFonts w:eastAsia="Calibri"/>
          <w:sz w:val="24"/>
          <w:szCs w:val="24"/>
        </w:rPr>
        <w:t>sin perder de vista que la configuración de la misma presenta unas singularidades que impiden la existencia de unos elementos generales comunes</w:t>
      </w:r>
      <w:r w:rsidR="00D03871">
        <w:rPr>
          <w:rFonts w:eastAsia="Calibri"/>
          <w:sz w:val="24"/>
          <w:szCs w:val="24"/>
        </w:rPr>
        <w:t>.</w:t>
      </w:r>
    </w:p>
    <w:p w:rsidR="001A7AE3" w:rsidRPr="001A7AE3" w:rsidRDefault="001A7AE3" w:rsidP="00BA2310">
      <w:pPr>
        <w:spacing w:after="200" w:line="360" w:lineRule="auto"/>
        <w:ind w:firstLine="426"/>
        <w:jc w:val="both"/>
        <w:rPr>
          <w:rFonts w:eastAsia="Calibri"/>
          <w:b/>
          <w:bCs/>
          <w:sz w:val="24"/>
          <w:szCs w:val="24"/>
        </w:rPr>
      </w:pPr>
      <w:r w:rsidRPr="001A7AE3">
        <w:rPr>
          <w:rFonts w:eastAsia="Calibri"/>
          <w:sz w:val="24"/>
          <w:szCs w:val="24"/>
        </w:rPr>
        <w:t xml:space="preserve">Por otro lado, se propone una interpretación aproximada de la imprudencia menos grave, así como el tratamiento sancionador que en la valoración jurídica emplea la jurisprudencia para su determinación, utilizando diferentes pronunciamientos jurisprudenciales, siempre basados en criterios de menor entidad del deber de cuidado infringido y de previsibilidad del riesgo, así como en situaciones de concurrencia de </w:t>
      </w:r>
      <w:r w:rsidR="00714A63">
        <w:rPr>
          <w:rFonts w:eastAsia="Calibri"/>
          <w:sz w:val="24"/>
          <w:szCs w:val="24"/>
        </w:rPr>
        <w:t>culpa</w:t>
      </w:r>
      <w:r w:rsidRPr="001A7AE3">
        <w:rPr>
          <w:rFonts w:eastAsia="Calibri"/>
          <w:sz w:val="24"/>
          <w:szCs w:val="24"/>
        </w:rPr>
        <w:t xml:space="preserve"> de la víctima como factor causal.</w:t>
      </w:r>
    </w:p>
    <w:p w:rsidR="001A7AE3" w:rsidRPr="001A7AE3" w:rsidRDefault="001A7AE3" w:rsidP="00BA2310">
      <w:pPr>
        <w:spacing w:after="200" w:line="360" w:lineRule="auto"/>
        <w:ind w:firstLine="426"/>
        <w:jc w:val="both"/>
        <w:rPr>
          <w:rFonts w:eastAsia="Calibri"/>
          <w:b/>
          <w:bCs/>
          <w:sz w:val="24"/>
          <w:szCs w:val="24"/>
        </w:rPr>
      </w:pPr>
      <w:r w:rsidRPr="001A7AE3">
        <w:rPr>
          <w:rFonts w:eastAsia="Calibri"/>
          <w:sz w:val="24"/>
          <w:szCs w:val="24"/>
        </w:rPr>
        <w:t>Finalmente, se hace referencia a la reconducción de la imprudencia leve a la jurisdicción civil o administrativa como consecuencia de la supresión del Libro III del Código Penal.</w:t>
      </w:r>
    </w:p>
    <w:p w:rsidR="002206B8" w:rsidRDefault="001A7AE3" w:rsidP="00EA0579">
      <w:pPr>
        <w:spacing w:after="200" w:line="360" w:lineRule="auto"/>
        <w:jc w:val="both"/>
        <w:rPr>
          <w:rFonts w:eastAsia="Calibri"/>
          <w:sz w:val="24"/>
          <w:szCs w:val="24"/>
        </w:rPr>
      </w:pPr>
      <w:r w:rsidRPr="001A7AE3">
        <w:rPr>
          <w:rFonts w:eastAsia="Calibri"/>
          <w:sz w:val="24"/>
          <w:szCs w:val="24"/>
        </w:rPr>
        <w:t>PALABRAS CLAVES:</w:t>
      </w:r>
    </w:p>
    <w:p w:rsidR="001A7AE3" w:rsidRPr="001A7AE3" w:rsidRDefault="009661E0" w:rsidP="00BA2310">
      <w:pPr>
        <w:spacing w:after="200" w:line="360" w:lineRule="auto"/>
        <w:ind w:firstLine="426"/>
        <w:jc w:val="both"/>
        <w:rPr>
          <w:rFonts w:eastAsia="Calibri"/>
          <w:sz w:val="24"/>
          <w:szCs w:val="24"/>
        </w:rPr>
      </w:pPr>
      <w:r>
        <w:rPr>
          <w:rFonts w:eastAsia="Calibri"/>
          <w:sz w:val="24"/>
          <w:szCs w:val="24"/>
        </w:rPr>
        <w:t xml:space="preserve">Código, </w:t>
      </w:r>
      <w:r w:rsidR="001A7AE3" w:rsidRPr="001A7AE3">
        <w:rPr>
          <w:rFonts w:eastAsia="Calibri"/>
          <w:sz w:val="24"/>
          <w:szCs w:val="24"/>
        </w:rPr>
        <w:t>Reforma, Despenalización, Falta, Imprudencia.</w:t>
      </w:r>
    </w:p>
    <w:p w:rsidR="001A7AE3" w:rsidRPr="001A7AE3" w:rsidRDefault="00BA2310" w:rsidP="00BA2310">
      <w:pPr>
        <w:tabs>
          <w:tab w:val="left" w:pos="2160"/>
        </w:tabs>
        <w:spacing w:after="200" w:line="360" w:lineRule="auto"/>
        <w:jc w:val="both"/>
        <w:rPr>
          <w:rFonts w:eastAsia="Calibri"/>
          <w:sz w:val="24"/>
          <w:szCs w:val="24"/>
        </w:rPr>
      </w:pPr>
      <w:r>
        <w:rPr>
          <w:rFonts w:eastAsia="Calibri"/>
          <w:sz w:val="24"/>
          <w:szCs w:val="24"/>
        </w:rPr>
        <w:tab/>
      </w:r>
    </w:p>
    <w:p w:rsidR="001A7AE3" w:rsidRDefault="001A7AE3" w:rsidP="00EA0579">
      <w:pPr>
        <w:spacing w:after="200" w:line="360" w:lineRule="auto"/>
        <w:jc w:val="both"/>
        <w:rPr>
          <w:rFonts w:eastAsia="Calibri"/>
          <w:sz w:val="24"/>
          <w:szCs w:val="24"/>
        </w:rPr>
      </w:pPr>
      <w:r w:rsidRPr="001A7AE3">
        <w:rPr>
          <w:rFonts w:eastAsia="Calibri"/>
          <w:sz w:val="24"/>
          <w:szCs w:val="24"/>
        </w:rPr>
        <w:lastRenderedPageBreak/>
        <w:t>ABSTRACT:</w:t>
      </w:r>
    </w:p>
    <w:p w:rsidR="00D302F2" w:rsidRDefault="00D302F2" w:rsidP="00D302F2">
      <w:pPr>
        <w:spacing w:after="200" w:line="360" w:lineRule="auto"/>
        <w:ind w:firstLine="426"/>
        <w:jc w:val="both"/>
        <w:rPr>
          <w:rFonts w:eastAsia="Calibri"/>
          <w:sz w:val="24"/>
          <w:szCs w:val="24"/>
        </w:rPr>
      </w:pPr>
      <w:r w:rsidRPr="00D302F2">
        <w:rPr>
          <w:rFonts w:eastAsia="Calibri"/>
          <w:sz w:val="24"/>
          <w:szCs w:val="24"/>
        </w:rPr>
        <w:t>The aim of the next presentation is to achieve a reasonable interpretation of the new changes that, related to negligence, the legislator has included in the Criminal Code after the Reform of 2015 and, especially, the new form of criminality of the least serious negligence.</w:t>
      </w:r>
    </w:p>
    <w:p w:rsidR="00D302F2" w:rsidRDefault="00D302F2" w:rsidP="00D302F2">
      <w:pPr>
        <w:spacing w:after="200" w:line="360" w:lineRule="auto"/>
        <w:ind w:firstLine="426"/>
        <w:jc w:val="both"/>
        <w:rPr>
          <w:rFonts w:eastAsia="Calibri"/>
          <w:sz w:val="24"/>
          <w:szCs w:val="24"/>
        </w:rPr>
      </w:pPr>
      <w:r w:rsidRPr="00D302F2">
        <w:rPr>
          <w:rFonts w:eastAsia="Calibri"/>
          <w:sz w:val="24"/>
          <w:szCs w:val="24"/>
        </w:rPr>
        <w:t>The present study leads towards achieving a configuration of the new categorization of serious and less serious negligence, which tries to achieve a practical system to face the ratings that we will have to do when we classify a recklessfact as serious or less serious.</w:t>
      </w:r>
    </w:p>
    <w:p w:rsidR="00D302F2" w:rsidRDefault="00D302F2" w:rsidP="00D302F2">
      <w:pPr>
        <w:spacing w:after="200" w:line="360" w:lineRule="auto"/>
        <w:ind w:firstLine="426"/>
        <w:jc w:val="both"/>
        <w:rPr>
          <w:rFonts w:eastAsia="Calibri"/>
          <w:sz w:val="24"/>
          <w:szCs w:val="24"/>
        </w:rPr>
      </w:pPr>
      <w:r w:rsidRPr="00D302F2">
        <w:rPr>
          <w:rFonts w:eastAsia="Calibri"/>
          <w:sz w:val="24"/>
          <w:szCs w:val="24"/>
        </w:rPr>
        <w:t>On the one hand, an analysis of the ancient architecture of severe and slight negligence will be carried out in order to find the traditional doctrine and jurisprudential arguments as a basis to make a reasonable interpretation of the new form of incriminating criminal negligence.</w:t>
      </w:r>
    </w:p>
    <w:p w:rsidR="00D302F2" w:rsidRDefault="00D302F2" w:rsidP="00D302F2">
      <w:pPr>
        <w:spacing w:after="200" w:line="360" w:lineRule="auto"/>
        <w:ind w:firstLine="426"/>
        <w:jc w:val="both"/>
        <w:rPr>
          <w:rFonts w:eastAsia="Calibri"/>
          <w:sz w:val="24"/>
          <w:szCs w:val="24"/>
        </w:rPr>
      </w:pPr>
      <w:r w:rsidRPr="00D302F2">
        <w:rPr>
          <w:rFonts w:eastAsia="Calibri"/>
          <w:sz w:val="24"/>
          <w:szCs w:val="24"/>
        </w:rPr>
        <w:t>On the other hand, an approximate interpretation of the least serious negligence is proposed, as well as the sanctioning treatment that is used in the legal assessment by the law for its determination, using different jurisprudential pronouncements, which are always based on criteria of minor duty of broken care and foreseeability of risk, as well as in situations of concurrent guilt of the victim as a causal factor.</w:t>
      </w:r>
    </w:p>
    <w:p w:rsidR="00D302F2" w:rsidRPr="001A7AE3" w:rsidRDefault="00D302F2" w:rsidP="00D302F2">
      <w:pPr>
        <w:spacing w:after="200" w:line="360" w:lineRule="auto"/>
        <w:ind w:firstLine="426"/>
        <w:jc w:val="both"/>
        <w:rPr>
          <w:rFonts w:eastAsia="Calibri"/>
          <w:sz w:val="24"/>
          <w:szCs w:val="24"/>
        </w:rPr>
      </w:pPr>
      <w:r w:rsidRPr="00D302F2">
        <w:rPr>
          <w:rFonts w:eastAsia="Calibri"/>
          <w:sz w:val="24"/>
          <w:szCs w:val="24"/>
        </w:rPr>
        <w:t>Finally, we will refer to the renewal of minor civil or administrative jurisdiction as a result of the suppression of Book III of the Criminal Code.</w:t>
      </w:r>
    </w:p>
    <w:p w:rsidR="001A7AE3" w:rsidRDefault="001A7AE3" w:rsidP="00EA0579">
      <w:pPr>
        <w:spacing w:after="200" w:line="360" w:lineRule="auto"/>
        <w:jc w:val="both"/>
        <w:rPr>
          <w:rFonts w:eastAsia="Calibri"/>
          <w:sz w:val="24"/>
          <w:szCs w:val="24"/>
        </w:rPr>
      </w:pPr>
      <w:r w:rsidRPr="001A7AE3">
        <w:rPr>
          <w:rFonts w:eastAsia="Calibri"/>
          <w:sz w:val="24"/>
          <w:szCs w:val="24"/>
        </w:rPr>
        <w:t>KEY WORDS:</w:t>
      </w:r>
    </w:p>
    <w:p w:rsidR="00D302F2" w:rsidRPr="001A7AE3" w:rsidRDefault="00D302F2" w:rsidP="00D302F2">
      <w:pPr>
        <w:spacing w:after="200" w:line="360" w:lineRule="auto"/>
        <w:ind w:firstLine="426"/>
        <w:jc w:val="both"/>
        <w:rPr>
          <w:rFonts w:eastAsia="Calibri"/>
          <w:sz w:val="24"/>
          <w:szCs w:val="24"/>
        </w:rPr>
      </w:pPr>
      <w:r>
        <w:rPr>
          <w:rFonts w:eastAsia="Calibri"/>
          <w:sz w:val="24"/>
          <w:szCs w:val="24"/>
        </w:rPr>
        <w:t>Code, Reform, Decriminalization, Lack, Negligence.</w:t>
      </w:r>
    </w:p>
    <w:p w:rsidR="001A7AE3" w:rsidRPr="001A7AE3" w:rsidRDefault="001A7AE3" w:rsidP="00EA0579">
      <w:pPr>
        <w:spacing w:after="200" w:line="360" w:lineRule="auto"/>
        <w:jc w:val="both"/>
        <w:rPr>
          <w:rFonts w:eastAsia="Calibri"/>
          <w:b/>
          <w:bCs/>
          <w:sz w:val="24"/>
          <w:szCs w:val="24"/>
        </w:rPr>
      </w:pPr>
    </w:p>
    <w:p w:rsidR="001A7AE3" w:rsidRPr="001A7AE3" w:rsidRDefault="001A7AE3" w:rsidP="00EA0579">
      <w:pPr>
        <w:spacing w:after="200" w:line="360" w:lineRule="auto"/>
        <w:jc w:val="both"/>
        <w:rPr>
          <w:rFonts w:eastAsia="Calibri"/>
          <w:b/>
          <w:bCs/>
          <w:sz w:val="24"/>
          <w:szCs w:val="24"/>
        </w:rPr>
      </w:pPr>
    </w:p>
    <w:p w:rsidR="001A7AE3" w:rsidRPr="001A7AE3" w:rsidRDefault="001A7AE3" w:rsidP="00EA0579">
      <w:pPr>
        <w:spacing w:after="200" w:line="360" w:lineRule="auto"/>
        <w:jc w:val="both"/>
        <w:rPr>
          <w:rFonts w:eastAsia="Calibri"/>
          <w:b/>
          <w:bCs/>
          <w:sz w:val="24"/>
          <w:szCs w:val="24"/>
        </w:rPr>
      </w:pPr>
    </w:p>
    <w:p w:rsidR="001A7AE3" w:rsidRDefault="001A7AE3" w:rsidP="00EA0579">
      <w:pPr>
        <w:spacing w:after="200" w:line="360" w:lineRule="auto"/>
        <w:jc w:val="both"/>
        <w:rPr>
          <w:rFonts w:eastAsia="Calibri"/>
          <w:b/>
          <w:bCs/>
          <w:sz w:val="24"/>
          <w:szCs w:val="24"/>
        </w:rPr>
      </w:pPr>
    </w:p>
    <w:p w:rsidR="004D60B2" w:rsidRDefault="004D60B2" w:rsidP="00EA0579">
      <w:pPr>
        <w:spacing w:after="200" w:line="360" w:lineRule="auto"/>
        <w:jc w:val="both"/>
        <w:rPr>
          <w:rFonts w:eastAsia="Calibri"/>
          <w:b/>
          <w:bCs/>
          <w:sz w:val="24"/>
          <w:szCs w:val="24"/>
        </w:rPr>
      </w:pPr>
    </w:p>
    <w:p w:rsidR="001A7AE3" w:rsidRPr="001A7AE3" w:rsidRDefault="001A7AE3" w:rsidP="00EA0579">
      <w:pPr>
        <w:spacing w:after="200" w:line="360" w:lineRule="auto"/>
        <w:jc w:val="both"/>
        <w:rPr>
          <w:rFonts w:eastAsia="Calibri"/>
          <w:sz w:val="24"/>
          <w:szCs w:val="24"/>
        </w:rPr>
      </w:pPr>
      <w:r w:rsidRPr="001A7AE3">
        <w:rPr>
          <w:rFonts w:eastAsia="Calibri"/>
          <w:b/>
          <w:bCs/>
          <w:sz w:val="24"/>
          <w:szCs w:val="24"/>
        </w:rPr>
        <w:lastRenderedPageBreak/>
        <w:t xml:space="preserve">3. CONSIDERACIONES PREVIAS </w:t>
      </w:r>
    </w:p>
    <w:p w:rsidR="001A7AE3" w:rsidRPr="001A7AE3" w:rsidRDefault="001A7AE3" w:rsidP="00BA2310">
      <w:pPr>
        <w:spacing w:after="200" w:line="360" w:lineRule="auto"/>
        <w:ind w:firstLine="426"/>
        <w:jc w:val="both"/>
        <w:rPr>
          <w:rFonts w:eastAsia="Calibri"/>
          <w:sz w:val="24"/>
          <w:szCs w:val="24"/>
        </w:rPr>
      </w:pPr>
      <w:r w:rsidRPr="001A7AE3">
        <w:rPr>
          <w:rFonts w:eastAsia="Calibri"/>
          <w:sz w:val="24"/>
          <w:szCs w:val="24"/>
        </w:rPr>
        <w:t>La tramitación del P</w:t>
      </w:r>
      <w:r w:rsidR="00714A63">
        <w:rPr>
          <w:rFonts w:eastAsia="Calibri"/>
          <w:sz w:val="24"/>
          <w:szCs w:val="24"/>
        </w:rPr>
        <w:t>R</w:t>
      </w:r>
      <w:r w:rsidRPr="001A7AE3">
        <w:rPr>
          <w:rFonts w:eastAsia="Calibri"/>
          <w:sz w:val="24"/>
          <w:szCs w:val="24"/>
        </w:rPr>
        <w:t>CP</w:t>
      </w:r>
      <w:r w:rsidRPr="001A7AE3">
        <w:rPr>
          <w:rFonts w:eastAsia="Calibri"/>
          <w:sz w:val="24"/>
          <w:szCs w:val="24"/>
          <w:vertAlign w:val="superscript"/>
        </w:rPr>
        <w:footnoteReference w:id="1"/>
      </w:r>
      <w:r w:rsidRPr="001A7AE3">
        <w:rPr>
          <w:rFonts w:eastAsia="Calibri"/>
          <w:sz w:val="24"/>
          <w:szCs w:val="24"/>
        </w:rPr>
        <w:t xml:space="preserve"> ha supuesto una extensa y espesa labor legislativa, hasta la entrada en vigor de la Reforma del CP. Consecuentemente, el texto final presenta considerables modificaciones respecto del que en su día entró en el Congreso de los Diputados.</w:t>
      </w:r>
    </w:p>
    <w:p w:rsidR="001A7AE3" w:rsidRPr="001A7AE3" w:rsidRDefault="001A7AE3" w:rsidP="00BA2310">
      <w:pPr>
        <w:spacing w:after="200" w:line="360" w:lineRule="auto"/>
        <w:ind w:firstLine="426"/>
        <w:jc w:val="both"/>
        <w:rPr>
          <w:rFonts w:eastAsia="Calibri"/>
          <w:sz w:val="24"/>
          <w:szCs w:val="24"/>
        </w:rPr>
      </w:pPr>
      <w:r w:rsidRPr="001A7AE3">
        <w:rPr>
          <w:rFonts w:eastAsia="Calibri"/>
          <w:sz w:val="24"/>
          <w:szCs w:val="24"/>
        </w:rPr>
        <w:t xml:space="preserve">Así, el pasado 31 de marzo de 2015 se publicó en el </w:t>
      </w:r>
      <w:r w:rsidR="00714A63">
        <w:rPr>
          <w:rFonts w:eastAsia="Calibri"/>
          <w:sz w:val="24"/>
          <w:szCs w:val="24"/>
        </w:rPr>
        <w:t>BOE</w:t>
      </w:r>
      <w:r w:rsidRPr="001A7AE3">
        <w:rPr>
          <w:rFonts w:eastAsia="Calibri"/>
          <w:sz w:val="24"/>
          <w:szCs w:val="24"/>
        </w:rPr>
        <w:t xml:space="preserve"> la Ley Orgánica 1/2015, de 30 de marzo, por la que se modifica la Ley Orgánica 10/1995, de 23 de noviembre, del Código Penal.</w:t>
      </w:r>
    </w:p>
    <w:p w:rsidR="001A7AE3" w:rsidRPr="001A7AE3" w:rsidRDefault="001A7AE3" w:rsidP="00BA2310">
      <w:pPr>
        <w:spacing w:after="200" w:line="360" w:lineRule="auto"/>
        <w:ind w:firstLine="426"/>
        <w:jc w:val="both"/>
        <w:rPr>
          <w:rFonts w:eastAsia="Calibri"/>
          <w:sz w:val="24"/>
          <w:szCs w:val="24"/>
        </w:rPr>
      </w:pPr>
      <w:r w:rsidRPr="001A7AE3">
        <w:rPr>
          <w:rFonts w:eastAsia="Calibri"/>
          <w:sz w:val="24"/>
          <w:szCs w:val="24"/>
        </w:rPr>
        <w:t xml:space="preserve">Ulteriormente, el 1 de julio de 2015 entró en vigor la Reforma del CP. Se trata de una de las reformas más sustanciales y polémicas del </w:t>
      </w:r>
      <w:r w:rsidR="00714A63">
        <w:rPr>
          <w:rFonts w:eastAsia="Calibri"/>
          <w:sz w:val="24"/>
          <w:szCs w:val="24"/>
        </w:rPr>
        <w:t>CP</w:t>
      </w:r>
      <w:r w:rsidRPr="001A7AE3">
        <w:rPr>
          <w:rFonts w:eastAsia="Calibri"/>
          <w:sz w:val="24"/>
          <w:szCs w:val="24"/>
        </w:rPr>
        <w:t xml:space="preserve"> hasta la fecha. Ya desde que se conocía el Anteproyecto fueron produciéndose toda clase de críticas y desde los más diversos sectores (judiciales, profesiones, académicos</w:t>
      </w:r>
      <w:r w:rsidRPr="001A7AE3">
        <w:rPr>
          <w:rFonts w:eastAsia="Calibri"/>
          <w:sz w:val="24"/>
          <w:szCs w:val="24"/>
          <w:vertAlign w:val="superscript"/>
        </w:rPr>
        <w:footnoteReference w:id="2"/>
      </w:r>
      <w:r w:rsidRPr="001A7AE3">
        <w:rPr>
          <w:rFonts w:eastAsia="Calibri"/>
          <w:sz w:val="24"/>
          <w:szCs w:val="24"/>
        </w:rPr>
        <w:t>).</w:t>
      </w:r>
    </w:p>
    <w:p w:rsidR="001A7AE3" w:rsidRPr="001A7AE3" w:rsidRDefault="00714A63" w:rsidP="00BA2310">
      <w:pPr>
        <w:spacing w:after="200" w:line="360" w:lineRule="auto"/>
        <w:ind w:firstLine="426"/>
        <w:jc w:val="both"/>
        <w:rPr>
          <w:rFonts w:eastAsia="Calibri"/>
          <w:sz w:val="24"/>
          <w:szCs w:val="24"/>
        </w:rPr>
      </w:pPr>
      <w:r>
        <w:rPr>
          <w:rFonts w:eastAsia="Calibri"/>
          <w:sz w:val="24"/>
          <w:szCs w:val="24"/>
        </w:rPr>
        <w:t>Esta R</w:t>
      </w:r>
      <w:r w:rsidR="001A7AE3" w:rsidRPr="001A7AE3">
        <w:rPr>
          <w:rFonts w:eastAsia="Calibri"/>
          <w:sz w:val="24"/>
          <w:szCs w:val="24"/>
        </w:rPr>
        <w:t xml:space="preserve">eforma supone, además, la modificación más profunda efectuada en el </w:t>
      </w:r>
      <w:r>
        <w:rPr>
          <w:rFonts w:eastAsia="Calibri"/>
          <w:sz w:val="24"/>
          <w:szCs w:val="24"/>
        </w:rPr>
        <w:t xml:space="preserve">CP </w:t>
      </w:r>
      <w:r w:rsidR="001A7AE3" w:rsidRPr="001A7AE3">
        <w:rPr>
          <w:rFonts w:eastAsia="Calibri"/>
          <w:sz w:val="24"/>
          <w:szCs w:val="24"/>
        </w:rPr>
        <w:t>desde su aprobación en 1995. Se modifican 252 de sus artículos y se suprimen 32. Se justifica la Reforma en la conveniencia de que el sistema penal sea más ágil y coherente, la necesidad de renovar el elenco de delitos para adecuarlo a los tiempos (excluyendo los de escasa gravedad) y de revisar el sistema de penas (en su formulación, contenido y ejecución),</w:t>
      </w:r>
      <w:r w:rsidR="00BA2310">
        <w:rPr>
          <w:rFonts w:eastAsia="Calibri"/>
          <w:sz w:val="24"/>
          <w:szCs w:val="24"/>
        </w:rPr>
        <w:t xml:space="preserve"> </w:t>
      </w:r>
      <w:r w:rsidR="001A7AE3" w:rsidRPr="001A7AE3">
        <w:rPr>
          <w:rFonts w:eastAsia="Calibri"/>
          <w:sz w:val="24"/>
          <w:szCs w:val="24"/>
        </w:rPr>
        <w:t>así como cumplir con los compromisos internacionales. Se</w:t>
      </w:r>
      <w:r w:rsidR="009D27F4">
        <w:rPr>
          <w:rFonts w:eastAsia="Calibri"/>
          <w:sz w:val="24"/>
          <w:szCs w:val="24"/>
        </w:rPr>
        <w:t>gún Quintero, se</w:t>
      </w:r>
      <w:r w:rsidR="001A7AE3" w:rsidRPr="001A7AE3">
        <w:rPr>
          <w:rFonts w:eastAsia="Calibri"/>
          <w:sz w:val="24"/>
          <w:szCs w:val="24"/>
        </w:rPr>
        <w:t xml:space="preserve"> trata de “</w:t>
      </w:r>
      <w:r w:rsidR="001A7AE3" w:rsidRPr="001A7AE3">
        <w:rPr>
          <w:rFonts w:eastAsia="Calibri"/>
          <w:i/>
          <w:iCs/>
          <w:sz w:val="24"/>
          <w:szCs w:val="24"/>
        </w:rPr>
        <w:t>afirmaciones que en manera alguna permiten imaginar cuál va a ser la orientación de la Reforma, y, menos aun, la particular idea que</w:t>
      </w:r>
      <w:r w:rsidR="004D60B2">
        <w:rPr>
          <w:rFonts w:eastAsia="Calibri"/>
          <w:i/>
          <w:iCs/>
          <w:sz w:val="24"/>
          <w:szCs w:val="24"/>
        </w:rPr>
        <w:t>,</w:t>
      </w:r>
      <w:r w:rsidR="001A7AE3" w:rsidRPr="001A7AE3">
        <w:rPr>
          <w:rFonts w:eastAsia="Calibri"/>
          <w:i/>
          <w:iCs/>
          <w:sz w:val="24"/>
          <w:szCs w:val="24"/>
        </w:rPr>
        <w:t xml:space="preserve"> de la mejora técnica</w:t>
      </w:r>
      <w:r w:rsidR="004D60B2">
        <w:rPr>
          <w:rFonts w:eastAsia="Calibri"/>
          <w:i/>
          <w:iCs/>
          <w:sz w:val="24"/>
          <w:szCs w:val="24"/>
        </w:rPr>
        <w:t>,</w:t>
      </w:r>
      <w:r w:rsidR="001A7AE3" w:rsidRPr="001A7AE3">
        <w:rPr>
          <w:rFonts w:eastAsia="Calibri"/>
          <w:i/>
          <w:iCs/>
          <w:sz w:val="24"/>
          <w:szCs w:val="24"/>
        </w:rPr>
        <w:t xml:space="preserve"> tiene el prelegislador, que, como veremos, ha roto o despreciado conceptos penales consolidados desde hace mucho tiempo</w:t>
      </w:r>
      <w:r w:rsidR="001A7AE3" w:rsidRPr="001A7AE3">
        <w:rPr>
          <w:rFonts w:eastAsia="Calibri"/>
          <w:sz w:val="24"/>
          <w:szCs w:val="24"/>
          <w:vertAlign w:val="superscript"/>
        </w:rPr>
        <w:t>”</w:t>
      </w:r>
      <w:r w:rsidR="001A7AE3" w:rsidRPr="001A7AE3">
        <w:rPr>
          <w:rFonts w:eastAsia="Calibri"/>
          <w:sz w:val="24"/>
          <w:szCs w:val="24"/>
          <w:vertAlign w:val="superscript"/>
        </w:rPr>
        <w:footnoteReference w:id="3"/>
      </w:r>
      <w:r w:rsidR="001A7AE3" w:rsidRPr="001A7AE3">
        <w:rPr>
          <w:rFonts w:eastAsia="Calibri"/>
          <w:sz w:val="24"/>
          <w:szCs w:val="24"/>
        </w:rPr>
        <w:t>.</w:t>
      </w:r>
    </w:p>
    <w:p w:rsidR="001A7AE3" w:rsidRPr="001A7AE3" w:rsidRDefault="001A7AE3" w:rsidP="00910CCE">
      <w:pPr>
        <w:spacing w:after="200" w:line="360" w:lineRule="auto"/>
        <w:ind w:firstLine="426"/>
        <w:jc w:val="both"/>
        <w:rPr>
          <w:rFonts w:eastAsia="Calibri"/>
          <w:sz w:val="24"/>
          <w:szCs w:val="24"/>
        </w:rPr>
      </w:pPr>
      <w:r w:rsidRPr="001A7AE3">
        <w:rPr>
          <w:rFonts w:eastAsia="Calibri"/>
          <w:sz w:val="24"/>
          <w:szCs w:val="24"/>
        </w:rPr>
        <w:t xml:space="preserve">Probablemente una de las modificaciones más discutidas es la referida a la estructura misma del Código, esto es, la supresión completa del Libro III del CP relativo a las “faltas y sus penas”. </w:t>
      </w:r>
    </w:p>
    <w:p w:rsidR="001A7AE3" w:rsidRPr="001A7AE3" w:rsidRDefault="001A7AE3" w:rsidP="00910CCE">
      <w:pPr>
        <w:spacing w:after="200" w:line="360" w:lineRule="auto"/>
        <w:ind w:firstLine="426"/>
        <w:jc w:val="both"/>
        <w:rPr>
          <w:rFonts w:eastAsia="Calibri"/>
          <w:sz w:val="24"/>
          <w:szCs w:val="24"/>
        </w:rPr>
      </w:pPr>
      <w:r w:rsidRPr="001A7AE3">
        <w:rPr>
          <w:rFonts w:eastAsia="Calibri"/>
          <w:sz w:val="24"/>
          <w:szCs w:val="24"/>
        </w:rPr>
        <w:lastRenderedPageBreak/>
        <w:t>Así mismo, la supresión de la imprudencia leve “</w:t>
      </w:r>
      <w:r w:rsidRPr="001A7AE3">
        <w:rPr>
          <w:rFonts w:eastAsia="Calibri"/>
          <w:i/>
          <w:iCs/>
          <w:sz w:val="24"/>
          <w:szCs w:val="24"/>
        </w:rPr>
        <w:t>carece de precedentes en sus mismos términos en la historia de los códigos penales españoles, ya que nuestras leyes penales codificadas han venido castigando invariable y expresamente la imprudencia simple desde el CP de 1848, bien como delito o como falta, pero sin excepción</w:t>
      </w:r>
      <w:r w:rsidRPr="001A7AE3">
        <w:rPr>
          <w:rFonts w:eastAsia="Calibri"/>
          <w:sz w:val="24"/>
          <w:szCs w:val="24"/>
        </w:rPr>
        <w:t>”</w:t>
      </w:r>
      <w:r w:rsidRPr="001A7AE3">
        <w:rPr>
          <w:rFonts w:eastAsia="Calibri"/>
          <w:sz w:val="24"/>
          <w:szCs w:val="24"/>
          <w:vertAlign w:val="superscript"/>
        </w:rPr>
        <w:footnoteReference w:id="4"/>
      </w:r>
      <w:r w:rsidRPr="001A7AE3">
        <w:rPr>
          <w:rFonts w:eastAsia="Calibri"/>
          <w:sz w:val="24"/>
          <w:szCs w:val="24"/>
        </w:rPr>
        <w:t xml:space="preserve">. </w:t>
      </w:r>
    </w:p>
    <w:p w:rsidR="001A7AE3" w:rsidRPr="001A7AE3" w:rsidRDefault="001A7AE3" w:rsidP="00910CCE">
      <w:pPr>
        <w:spacing w:after="200" w:line="360" w:lineRule="auto"/>
        <w:ind w:firstLine="426"/>
        <w:jc w:val="both"/>
        <w:rPr>
          <w:rFonts w:eastAsia="Calibri"/>
          <w:sz w:val="24"/>
          <w:szCs w:val="24"/>
        </w:rPr>
      </w:pPr>
      <w:r w:rsidRPr="001A7AE3">
        <w:rPr>
          <w:rFonts w:eastAsia="Calibri"/>
          <w:sz w:val="24"/>
          <w:szCs w:val="24"/>
        </w:rPr>
        <w:t>Por otro lado, en paralelo a la Reforma del CP, se anuncian reformas de leyes procesales</w:t>
      </w:r>
      <w:r w:rsidRPr="001A7AE3">
        <w:rPr>
          <w:rFonts w:eastAsia="Calibri"/>
          <w:sz w:val="24"/>
          <w:szCs w:val="24"/>
          <w:vertAlign w:val="superscript"/>
        </w:rPr>
        <w:footnoteReference w:id="5"/>
      </w:r>
      <w:r w:rsidRPr="001A7AE3">
        <w:rPr>
          <w:rFonts w:eastAsia="Calibri"/>
          <w:sz w:val="24"/>
          <w:szCs w:val="24"/>
        </w:rPr>
        <w:t>, con el objetivo de abordar los problemas que con la Reforma se pretenden solucionar, fortaleciendo así la confianza en la Administración de Justicia, a la vez que se consigue que los fallos judiciales sean predecibles y percibidos en la sociedad como justos.</w:t>
      </w:r>
    </w:p>
    <w:p w:rsidR="001A7AE3" w:rsidRPr="001A7AE3" w:rsidRDefault="001A7AE3" w:rsidP="00910CCE">
      <w:pPr>
        <w:spacing w:after="200" w:line="360" w:lineRule="auto"/>
        <w:ind w:firstLine="426"/>
        <w:jc w:val="both"/>
        <w:rPr>
          <w:rFonts w:eastAsia="Calibri"/>
          <w:sz w:val="24"/>
          <w:szCs w:val="24"/>
        </w:rPr>
      </w:pPr>
      <w:r w:rsidRPr="001A7AE3">
        <w:rPr>
          <w:rFonts w:eastAsia="Calibri"/>
          <w:sz w:val="24"/>
          <w:szCs w:val="24"/>
        </w:rPr>
        <w:t xml:space="preserve">A nuestro parecer, el nuevo </w:t>
      </w:r>
      <w:r w:rsidR="00714A63">
        <w:rPr>
          <w:rFonts w:eastAsia="Calibri"/>
          <w:sz w:val="24"/>
          <w:szCs w:val="24"/>
        </w:rPr>
        <w:t>CP</w:t>
      </w:r>
      <w:r w:rsidRPr="001A7AE3">
        <w:rPr>
          <w:rFonts w:eastAsia="Calibri"/>
          <w:sz w:val="24"/>
          <w:szCs w:val="24"/>
        </w:rPr>
        <w:t xml:space="preserve"> no supone una simple modificación de la legislación penal, sino que al modificar una parte sustancial del articulado representa, al menos formalmente, un nuevo Código.</w:t>
      </w:r>
      <w:r w:rsidRPr="001A7AE3">
        <w:rPr>
          <w:rFonts w:eastAsia="Calibri"/>
          <w:sz w:val="24"/>
          <w:szCs w:val="24"/>
        </w:rPr>
        <w:tab/>
      </w:r>
      <w:r w:rsidRPr="001A7AE3">
        <w:rPr>
          <w:rFonts w:eastAsia="Calibri"/>
          <w:sz w:val="24"/>
          <w:szCs w:val="24"/>
        </w:rPr>
        <w:tab/>
      </w:r>
      <w:r w:rsidRPr="001A7AE3">
        <w:rPr>
          <w:rFonts w:eastAsia="Calibri"/>
          <w:sz w:val="24"/>
          <w:szCs w:val="24"/>
        </w:rPr>
        <w:tab/>
      </w:r>
      <w:r w:rsidRPr="001A7AE3">
        <w:rPr>
          <w:rFonts w:eastAsia="Calibri"/>
          <w:sz w:val="24"/>
          <w:szCs w:val="24"/>
        </w:rPr>
        <w:tab/>
      </w:r>
      <w:r w:rsidRPr="001A7AE3">
        <w:rPr>
          <w:rFonts w:eastAsia="Calibri"/>
          <w:sz w:val="24"/>
          <w:szCs w:val="24"/>
        </w:rPr>
        <w:tab/>
      </w:r>
      <w:r w:rsidRPr="001A7AE3">
        <w:rPr>
          <w:rFonts w:eastAsia="Calibri"/>
          <w:sz w:val="24"/>
          <w:szCs w:val="24"/>
        </w:rPr>
        <w:tab/>
      </w:r>
      <w:r w:rsidRPr="001A7AE3">
        <w:rPr>
          <w:rFonts w:eastAsia="Calibri"/>
          <w:sz w:val="24"/>
          <w:szCs w:val="24"/>
        </w:rPr>
        <w:tab/>
      </w:r>
    </w:p>
    <w:p w:rsidR="001A7AE3" w:rsidRPr="001A7AE3" w:rsidRDefault="001A7AE3" w:rsidP="00EA0579">
      <w:pPr>
        <w:spacing w:after="200" w:line="360" w:lineRule="auto"/>
        <w:jc w:val="both"/>
        <w:rPr>
          <w:rFonts w:eastAsia="Calibri"/>
          <w:b/>
          <w:bCs/>
          <w:sz w:val="24"/>
          <w:szCs w:val="24"/>
        </w:rPr>
      </w:pPr>
      <w:r w:rsidRPr="001A7AE3">
        <w:rPr>
          <w:rFonts w:eastAsia="Calibri"/>
          <w:b/>
          <w:bCs/>
          <w:sz w:val="24"/>
          <w:szCs w:val="24"/>
        </w:rPr>
        <w:t>4. INTRODUCCIÓN</w:t>
      </w:r>
    </w:p>
    <w:p w:rsidR="001A7AE3" w:rsidRPr="001A7AE3" w:rsidRDefault="001A7AE3" w:rsidP="00910CCE">
      <w:pPr>
        <w:spacing w:after="200" w:line="360" w:lineRule="auto"/>
        <w:ind w:firstLine="426"/>
        <w:jc w:val="both"/>
        <w:rPr>
          <w:rFonts w:eastAsia="Calibri"/>
          <w:sz w:val="24"/>
          <w:szCs w:val="24"/>
        </w:rPr>
      </w:pPr>
      <w:r w:rsidRPr="001A7AE3">
        <w:rPr>
          <w:rFonts w:eastAsia="Calibri"/>
          <w:sz w:val="24"/>
          <w:szCs w:val="24"/>
        </w:rPr>
        <w:t xml:space="preserve">El renovado CP ha supuesto numerosas novedades en el ámbito que regula, y ello es debido, principalmente, tal y como destaca la propia Exposición de Motivos del mencionado Código, a las profundas modificaciones en el orden económico social y político operadas en nuestro País, así como para adaptarlo a los valores constitucionales. </w:t>
      </w:r>
    </w:p>
    <w:p w:rsidR="001A7AE3" w:rsidRPr="001A7AE3" w:rsidRDefault="001A7AE3" w:rsidP="00910CCE">
      <w:pPr>
        <w:spacing w:after="200" w:line="360" w:lineRule="auto"/>
        <w:ind w:firstLine="426"/>
        <w:jc w:val="both"/>
        <w:rPr>
          <w:rFonts w:eastAsia="Calibri"/>
          <w:sz w:val="24"/>
          <w:szCs w:val="24"/>
        </w:rPr>
      </w:pPr>
      <w:r w:rsidRPr="001A7AE3">
        <w:rPr>
          <w:rFonts w:eastAsia="Calibri"/>
          <w:sz w:val="24"/>
          <w:szCs w:val="24"/>
        </w:rPr>
        <w:t>De enorme calado, aunque muy criticable, es la supresión del Libro III del CP (Disposición Derogatoria Única), argumentando el legislador la necesaria descongestión de la jurisdicción penal. “</w:t>
      </w:r>
      <w:r w:rsidRPr="001A7AE3">
        <w:rPr>
          <w:rFonts w:eastAsia="Calibri"/>
          <w:i/>
          <w:iCs/>
          <w:sz w:val="24"/>
          <w:szCs w:val="24"/>
        </w:rPr>
        <w:t>Se suprimen las faltas que históricamente se regulaban en el Libro III del Código Penal (…) La reducción del número de faltas viene orientada por el principio de intervención mínima, y debe facilitar una disminución relevante del número de asuntos menores que, en gran parte, pueden encontrar respuesta a través del sistema de sanciones administrativas y civiles</w:t>
      </w:r>
      <w:r w:rsidRPr="001A7AE3">
        <w:rPr>
          <w:rFonts w:eastAsia="Calibri"/>
          <w:sz w:val="24"/>
          <w:szCs w:val="24"/>
        </w:rPr>
        <w:t>” (Preámbulo, I, párrafo 4).</w:t>
      </w:r>
    </w:p>
    <w:p w:rsidR="001A7AE3" w:rsidRPr="001A7AE3" w:rsidRDefault="001A7AE3" w:rsidP="00910CCE">
      <w:pPr>
        <w:spacing w:after="200" w:line="360" w:lineRule="auto"/>
        <w:ind w:firstLine="426"/>
        <w:jc w:val="both"/>
        <w:rPr>
          <w:rFonts w:eastAsia="Calibri"/>
          <w:sz w:val="24"/>
          <w:szCs w:val="24"/>
        </w:rPr>
      </w:pPr>
      <w:r w:rsidRPr="001A7AE3">
        <w:rPr>
          <w:rFonts w:eastAsia="Calibri"/>
          <w:sz w:val="24"/>
          <w:szCs w:val="24"/>
        </w:rPr>
        <w:lastRenderedPageBreak/>
        <w:t>En coherencia con la Reforma, se elimina cualquier mención a las faltas tanto del Libro I como del Libro II. Todo ello desde la supuesta premisa de la irrelevancia cualitativa de la transformación de las faltas en delitos y la negación de una necesaria agravación del castigo. “</w:t>
      </w:r>
      <w:r w:rsidRPr="001A7AE3">
        <w:rPr>
          <w:rFonts w:eastAsia="Calibri"/>
          <w:i/>
          <w:iCs/>
          <w:sz w:val="24"/>
          <w:szCs w:val="24"/>
        </w:rPr>
        <w:t>En nuestro Derecho no existe una diferencia cualitativa entre delitos y faltas. Las diferencias son puramente formales, por el carácter que la ley otorga a una u otra infracción, o cuantitativas en atención al tipo de pena que se les impone. La tipificación de determinadas conductas como faltas penales obedece a simples razones de política criminal, que en el momento actual carecen de suficiente justificación. Y se aprecia una cierta distorsión en la comparativa con el Derecho administrativo sancionador, que en muchos casos ofrece una respuesta sancionadora más contundente que la prevista en el Código Penal para conductas teóricamente más graves. De ahí que la reforma lleve a cabo una supresión definitiva del catálogo de faltas regulado en el Libro III del Código Penal, tipificando como delito leve aquellas infracciones que se estima necesario mantener</w:t>
      </w:r>
      <w:r w:rsidRPr="001A7AE3">
        <w:rPr>
          <w:rFonts w:eastAsia="Calibri"/>
          <w:sz w:val="24"/>
          <w:szCs w:val="24"/>
        </w:rPr>
        <w:t>” (Preámbulo, XXXI, párrafo 3).</w:t>
      </w:r>
    </w:p>
    <w:p w:rsidR="00910CCE" w:rsidRDefault="009D27F4" w:rsidP="00910CCE">
      <w:pPr>
        <w:spacing w:after="200" w:line="360" w:lineRule="auto"/>
        <w:ind w:firstLine="426"/>
        <w:jc w:val="both"/>
        <w:rPr>
          <w:rFonts w:eastAsia="Calibri"/>
          <w:sz w:val="24"/>
          <w:szCs w:val="24"/>
        </w:rPr>
      </w:pPr>
      <w:r>
        <w:rPr>
          <w:rFonts w:eastAsia="Calibri"/>
          <w:sz w:val="24"/>
          <w:szCs w:val="24"/>
        </w:rPr>
        <w:t>De modo que, s</w:t>
      </w:r>
      <w:r w:rsidR="001A7AE3" w:rsidRPr="001A7AE3">
        <w:rPr>
          <w:rFonts w:eastAsia="Calibri"/>
          <w:sz w:val="24"/>
          <w:szCs w:val="24"/>
        </w:rPr>
        <w:t xml:space="preserve">e reconduce la falta a la jurisdicción civil o administrativa, dando </w:t>
      </w:r>
      <w:r>
        <w:rPr>
          <w:rFonts w:eastAsia="Calibri"/>
          <w:sz w:val="24"/>
          <w:szCs w:val="24"/>
        </w:rPr>
        <w:t xml:space="preserve">paso </w:t>
      </w:r>
      <w:r w:rsidR="001A7AE3" w:rsidRPr="001A7AE3">
        <w:rPr>
          <w:rFonts w:eastAsia="Calibri"/>
          <w:sz w:val="24"/>
          <w:szCs w:val="24"/>
        </w:rPr>
        <w:t>a la despenalización. En otras palabras, “</w:t>
      </w:r>
      <w:r w:rsidR="001A7AE3" w:rsidRPr="001A7AE3">
        <w:rPr>
          <w:rFonts w:eastAsia="Calibri"/>
          <w:i/>
          <w:iCs/>
          <w:sz w:val="24"/>
          <w:szCs w:val="24"/>
        </w:rPr>
        <w:t>la supresión de la falta de imprudencia leve se decide a la vez que se señala expresamente que los casos de muerte y lesiones producidas desde con esa clase de culpa pueden encontrar adecuado tratamiento jurídico a través de la llamada culpa Aquiliana del art. 1902 del CC</w:t>
      </w:r>
      <w:r w:rsidR="001A7AE3" w:rsidRPr="001A7AE3">
        <w:rPr>
          <w:rFonts w:eastAsia="Calibri"/>
          <w:sz w:val="24"/>
          <w:szCs w:val="24"/>
        </w:rPr>
        <w:t>”</w:t>
      </w:r>
      <w:r w:rsidR="001A7AE3" w:rsidRPr="001A7AE3">
        <w:rPr>
          <w:rFonts w:eastAsia="Calibri"/>
          <w:sz w:val="24"/>
          <w:szCs w:val="24"/>
          <w:vertAlign w:val="superscript"/>
        </w:rPr>
        <w:footnoteReference w:id="6"/>
      </w:r>
      <w:r w:rsidR="001A7AE3" w:rsidRPr="001A7AE3">
        <w:rPr>
          <w:rFonts w:eastAsia="Calibri"/>
          <w:sz w:val="24"/>
          <w:szCs w:val="24"/>
        </w:rPr>
        <w:t xml:space="preserve">. </w:t>
      </w:r>
    </w:p>
    <w:p w:rsidR="00910CCE" w:rsidRDefault="001A7AE3" w:rsidP="00910CCE">
      <w:pPr>
        <w:spacing w:after="200" w:line="360" w:lineRule="auto"/>
        <w:ind w:firstLine="426"/>
        <w:jc w:val="both"/>
        <w:rPr>
          <w:rFonts w:eastAsia="Calibri"/>
          <w:sz w:val="24"/>
          <w:szCs w:val="24"/>
        </w:rPr>
      </w:pPr>
      <w:r w:rsidRPr="001A7AE3">
        <w:rPr>
          <w:rFonts w:eastAsia="Calibri"/>
          <w:sz w:val="24"/>
          <w:szCs w:val="24"/>
        </w:rPr>
        <w:t>No obstante, las infracciones más graves siguen teniendo cabida en el ámbito penal, pasando a constituir los ahora denominados delitos leves. Gran relevancia tiene este cambio respecto a los procedimientos y sanciones aplicables a estas conductas, pues varían notablemente en el caso de un proceso penal y en el caso de uno civil.</w:t>
      </w:r>
      <w:r w:rsidR="004D60B2" w:rsidRPr="004D60B2">
        <w:rPr>
          <w:rFonts w:eastAsia="Calibri"/>
          <w:sz w:val="24"/>
          <w:szCs w:val="24"/>
        </w:rPr>
        <w:t xml:space="preserve"> </w:t>
      </w:r>
      <w:r w:rsidR="004D60B2">
        <w:rPr>
          <w:rFonts w:eastAsia="Calibri"/>
          <w:sz w:val="24"/>
          <w:szCs w:val="24"/>
        </w:rPr>
        <w:t>Por tanto, ¿q</w:t>
      </w:r>
      <w:r w:rsidR="004D60B2" w:rsidRPr="001A7AE3">
        <w:rPr>
          <w:rFonts w:eastAsia="Calibri"/>
          <w:sz w:val="24"/>
          <w:szCs w:val="24"/>
        </w:rPr>
        <w:t>ué conductas quedarían fuera del ámbito penal?</w:t>
      </w:r>
    </w:p>
    <w:p w:rsidR="00910CCE" w:rsidRDefault="004D60B2" w:rsidP="00910CCE">
      <w:pPr>
        <w:spacing w:after="200" w:line="360" w:lineRule="auto"/>
        <w:ind w:firstLine="426"/>
        <w:jc w:val="both"/>
        <w:rPr>
          <w:rFonts w:eastAsia="Calibri"/>
          <w:sz w:val="24"/>
          <w:szCs w:val="24"/>
        </w:rPr>
      </w:pPr>
      <w:r>
        <w:rPr>
          <w:rFonts w:eastAsia="Calibri"/>
          <w:sz w:val="24"/>
          <w:szCs w:val="24"/>
        </w:rPr>
        <w:t>Además, l</w:t>
      </w:r>
      <w:r w:rsidR="001A7AE3" w:rsidRPr="001A7AE3">
        <w:rPr>
          <w:rFonts w:eastAsia="Calibri"/>
          <w:sz w:val="24"/>
          <w:szCs w:val="24"/>
        </w:rPr>
        <w:t xml:space="preserve">os delitos leves se sustanciarán conforme al procedimiento previsto en el Libro VI de la </w:t>
      </w:r>
      <w:r w:rsidR="009D27F4">
        <w:rPr>
          <w:rFonts w:eastAsia="Calibri"/>
          <w:sz w:val="24"/>
          <w:szCs w:val="24"/>
        </w:rPr>
        <w:t>LECrim</w:t>
      </w:r>
      <w:r w:rsidR="001A7AE3" w:rsidRPr="001A7AE3">
        <w:rPr>
          <w:rFonts w:eastAsia="Calibri"/>
          <w:sz w:val="24"/>
          <w:szCs w:val="24"/>
        </w:rPr>
        <w:t>, denominado “Juicio sobre delitos leves”. ¿Constituye dicho criterio un equivalente al anterior juicio de faltas?</w:t>
      </w:r>
    </w:p>
    <w:p w:rsidR="00575A7E" w:rsidRDefault="009D27F4" w:rsidP="00910CCE">
      <w:pPr>
        <w:spacing w:after="200" w:line="360" w:lineRule="auto"/>
        <w:ind w:firstLine="426"/>
        <w:jc w:val="both"/>
        <w:rPr>
          <w:rFonts w:eastAsia="Calibri"/>
          <w:sz w:val="24"/>
          <w:szCs w:val="24"/>
        </w:rPr>
      </w:pPr>
      <w:r>
        <w:rPr>
          <w:rFonts w:eastAsia="Calibri"/>
          <w:sz w:val="24"/>
          <w:szCs w:val="24"/>
        </w:rPr>
        <w:t>Así</w:t>
      </w:r>
      <w:r w:rsidR="001A7AE3" w:rsidRPr="001A7AE3">
        <w:rPr>
          <w:rFonts w:eastAsia="Calibri"/>
          <w:sz w:val="24"/>
          <w:szCs w:val="24"/>
        </w:rPr>
        <w:t xml:space="preserve">, el propósito inicial de la Reforma consistiría en despenalizar todas las faltas y, concretamente la imprudencia leve, penando sólo la grave. </w:t>
      </w:r>
    </w:p>
    <w:p w:rsidR="00910CCE" w:rsidRDefault="001A7AE3" w:rsidP="00910CCE">
      <w:pPr>
        <w:spacing w:after="200" w:line="360" w:lineRule="auto"/>
        <w:ind w:firstLine="426"/>
        <w:jc w:val="both"/>
        <w:rPr>
          <w:rFonts w:eastAsia="Calibri"/>
          <w:sz w:val="24"/>
          <w:szCs w:val="24"/>
        </w:rPr>
      </w:pPr>
      <w:r w:rsidRPr="001A7AE3">
        <w:rPr>
          <w:rFonts w:eastAsia="Calibri"/>
          <w:sz w:val="24"/>
          <w:szCs w:val="24"/>
        </w:rPr>
        <w:lastRenderedPageBreak/>
        <w:t>Si bien, las asociaciones de víctimas de accidentes de tráfico reclamaron inmediatamente el castigo penal de los resultados de muerte y lesiones graves producidos por imprudencia leve. Dichos colectivos temía</w:t>
      </w:r>
      <w:r w:rsidR="009D27F4">
        <w:rPr>
          <w:rFonts w:eastAsia="Calibri"/>
          <w:sz w:val="24"/>
          <w:szCs w:val="24"/>
        </w:rPr>
        <w:t>n</w:t>
      </w:r>
      <w:r w:rsidRPr="001A7AE3">
        <w:rPr>
          <w:rFonts w:eastAsia="Calibri"/>
          <w:sz w:val="24"/>
          <w:szCs w:val="24"/>
        </w:rPr>
        <w:t xml:space="preserve"> que la nueva regulación significase una descriminalización general de todas las imprudencias, es decir, fijado muy alto el umbral para considerar una imprudencia como grave (la única inicialmente punible en el Proyecto), suponga la impunidad para responsables de hechos que podrían conllevar mayor gravedad.</w:t>
      </w:r>
    </w:p>
    <w:p w:rsidR="00910CCE" w:rsidRDefault="001A7AE3" w:rsidP="00910CCE">
      <w:pPr>
        <w:spacing w:after="200" w:line="360" w:lineRule="auto"/>
        <w:ind w:firstLine="426"/>
        <w:jc w:val="both"/>
        <w:rPr>
          <w:rFonts w:eastAsia="Calibri"/>
          <w:sz w:val="24"/>
          <w:szCs w:val="24"/>
        </w:rPr>
      </w:pPr>
      <w:r w:rsidRPr="001A7AE3">
        <w:rPr>
          <w:rFonts w:eastAsia="Calibri"/>
          <w:sz w:val="24"/>
          <w:szCs w:val="24"/>
        </w:rPr>
        <w:t>También, varios de los expertos que comparecieron ante la Comisión de Justicia del Congreso de los Diputados, para informar sobre el Proyecto, se manifestaron firmemente en contra de la despenalización, o cuestionaron seriamente la oportunidad de esta medida, al tenor de la doctrina mayoritaria. Incluso los propios grupos políticos con representación parlamentaria formularon diversas propuestas para corregir en este punto la orientación del Proyecto</w:t>
      </w:r>
      <w:r w:rsidRPr="001A7AE3">
        <w:rPr>
          <w:rFonts w:eastAsia="Calibri"/>
          <w:sz w:val="24"/>
          <w:szCs w:val="24"/>
          <w:vertAlign w:val="superscript"/>
        </w:rPr>
        <w:footnoteReference w:id="7"/>
      </w:r>
      <w:r w:rsidRPr="001A7AE3">
        <w:rPr>
          <w:rFonts w:eastAsia="Calibri"/>
          <w:sz w:val="24"/>
          <w:szCs w:val="24"/>
        </w:rPr>
        <w:t>.</w:t>
      </w:r>
    </w:p>
    <w:p w:rsidR="004D60B2" w:rsidRDefault="00575A7E" w:rsidP="00910CCE">
      <w:pPr>
        <w:spacing w:after="200" w:line="360" w:lineRule="auto"/>
        <w:ind w:firstLine="426"/>
        <w:jc w:val="both"/>
        <w:rPr>
          <w:rFonts w:eastAsia="Calibri"/>
          <w:sz w:val="24"/>
          <w:szCs w:val="24"/>
        </w:rPr>
      </w:pPr>
      <w:r>
        <w:rPr>
          <w:rFonts w:eastAsia="Calibri"/>
          <w:sz w:val="24"/>
          <w:szCs w:val="24"/>
        </w:rPr>
        <w:t>Además, l</w:t>
      </w:r>
      <w:r w:rsidR="001A7AE3" w:rsidRPr="001A7AE3">
        <w:rPr>
          <w:rFonts w:eastAsia="Calibri"/>
          <w:sz w:val="24"/>
          <w:szCs w:val="24"/>
        </w:rPr>
        <w:t>a reconducción de las faltas a otras vías del derecho nos dejaría ante la evidencia de que solo las conductas imprudentes de mayor reproche punitivo serían constitutivas de delito. De ahí, que el propósito inicial de despenalizar todas las faltas y en concreto la imprudencia leve, penando sólo la grave, fuera matizado durante la tramitación parlamentaria acudiendo al concepto de imprudencia menos grave. “</w:t>
      </w:r>
      <w:r w:rsidR="001A7AE3" w:rsidRPr="001A7AE3">
        <w:rPr>
          <w:rFonts w:eastAsia="Calibri"/>
          <w:i/>
          <w:iCs/>
          <w:sz w:val="24"/>
          <w:szCs w:val="24"/>
        </w:rPr>
        <w:t>La reforma supone la derogación completa del Libro III del Código Penal, de forma que desaparece la infracción penal constitutiva de falta. Ello exige adecuar un gran número de artículos que hacen referencia a la dualidad delito o falta, simplemente para eliminar esa mención a las faltas penales</w:t>
      </w:r>
      <w:r w:rsidR="001A7AE3" w:rsidRPr="001A7AE3">
        <w:rPr>
          <w:rFonts w:eastAsia="Calibri"/>
          <w:sz w:val="24"/>
          <w:szCs w:val="24"/>
        </w:rPr>
        <w:t xml:space="preserve">” (Preámbulo, XXXI, párrafo 8). </w:t>
      </w:r>
    </w:p>
    <w:p w:rsidR="00910CCE" w:rsidRDefault="001A7AE3" w:rsidP="00910CCE">
      <w:pPr>
        <w:spacing w:after="200" w:line="360" w:lineRule="auto"/>
        <w:ind w:firstLine="426"/>
        <w:jc w:val="both"/>
        <w:rPr>
          <w:rFonts w:eastAsia="Calibri"/>
          <w:sz w:val="24"/>
          <w:szCs w:val="24"/>
        </w:rPr>
      </w:pPr>
      <w:r w:rsidRPr="001A7AE3">
        <w:rPr>
          <w:rFonts w:eastAsia="Calibri"/>
          <w:sz w:val="24"/>
          <w:szCs w:val="24"/>
        </w:rPr>
        <w:t>Esta nueva clase contrasta con las dos únicas categorías de imprudencia punible presentes en, prácticamente, todos los códigos penales de nuestra historia, que han sido la imprudencia grave y la imprudencia leve.</w:t>
      </w:r>
    </w:p>
    <w:p w:rsidR="00910CCE" w:rsidRDefault="001A7AE3" w:rsidP="00910CCE">
      <w:pPr>
        <w:spacing w:after="200" w:line="360" w:lineRule="auto"/>
        <w:ind w:firstLine="426"/>
        <w:jc w:val="both"/>
        <w:rPr>
          <w:rFonts w:eastAsia="Calibri"/>
          <w:sz w:val="24"/>
          <w:szCs w:val="24"/>
        </w:rPr>
      </w:pPr>
      <w:r w:rsidRPr="001A7AE3">
        <w:rPr>
          <w:rFonts w:eastAsia="Calibri"/>
          <w:sz w:val="24"/>
          <w:szCs w:val="24"/>
        </w:rPr>
        <w:t xml:space="preserve">En la justificación de las enmiendas para suprimir las faltas de imprudencia leve e introducir la calificación como imprudencia grave y menos grave se aludió a los “meros </w:t>
      </w:r>
      <w:r w:rsidRPr="001A7AE3">
        <w:rPr>
          <w:rFonts w:eastAsia="Calibri"/>
          <w:sz w:val="24"/>
          <w:szCs w:val="24"/>
        </w:rPr>
        <w:lastRenderedPageBreak/>
        <w:t>despistes” como conductas leves q</w:t>
      </w:r>
      <w:r w:rsidR="00575A7E">
        <w:rPr>
          <w:rFonts w:eastAsia="Calibri"/>
          <w:sz w:val="24"/>
          <w:szCs w:val="24"/>
        </w:rPr>
        <w:t>ue no merecen reproches penales;</w:t>
      </w:r>
      <w:r w:rsidRPr="001A7AE3">
        <w:rPr>
          <w:rFonts w:eastAsia="Calibri"/>
          <w:sz w:val="24"/>
          <w:szCs w:val="24"/>
        </w:rPr>
        <w:t xml:space="preserve"> concepto este nada claro pues la palabra despiste en el Diccionario de la Lengua significa distracción, actitud que en no pocas ocasiones y en función de su intensidad ha sido valorada con frecuencia como imprudencia grave o temeraria. </w:t>
      </w:r>
      <w:r w:rsidR="00575A7E">
        <w:rPr>
          <w:rFonts w:eastAsia="Calibri"/>
          <w:sz w:val="24"/>
          <w:szCs w:val="24"/>
        </w:rPr>
        <w:t xml:space="preserve">Por tanto, </w:t>
      </w:r>
      <w:r w:rsidR="00575A7E">
        <w:rPr>
          <w:rFonts w:eastAsia="Calibri"/>
          <w:color w:val="000000"/>
          <w:sz w:val="24"/>
          <w:szCs w:val="24"/>
        </w:rPr>
        <w:t>¿q</w:t>
      </w:r>
      <w:r w:rsidRPr="001A7AE3">
        <w:rPr>
          <w:rFonts w:eastAsia="Calibri"/>
          <w:color w:val="000000"/>
          <w:sz w:val="24"/>
          <w:szCs w:val="24"/>
        </w:rPr>
        <w:t>ué elementos se han asentado en la jurisprudencia para configurar la gravedad de la imprudencia menos grave y diferenciarla así de la modalidad menos grave? ¿Continúan siendo los mismos?</w:t>
      </w:r>
      <w:r w:rsidRPr="001A7AE3">
        <w:rPr>
          <w:rFonts w:eastAsia="Calibri"/>
          <w:sz w:val="24"/>
          <w:szCs w:val="24"/>
        </w:rPr>
        <w:t xml:space="preserve"> ¿Viene entonces la imprudencia menos grave a sustituir a la antigua imprudencia leve?</w:t>
      </w:r>
    </w:p>
    <w:p w:rsidR="00910CCE" w:rsidRDefault="00575A7E" w:rsidP="00910CCE">
      <w:pPr>
        <w:spacing w:after="200" w:line="360" w:lineRule="auto"/>
        <w:ind w:firstLine="426"/>
        <w:jc w:val="both"/>
        <w:rPr>
          <w:rFonts w:eastAsia="Calibri"/>
          <w:sz w:val="24"/>
          <w:szCs w:val="24"/>
        </w:rPr>
      </w:pPr>
      <w:r>
        <w:rPr>
          <w:rFonts w:eastAsia="Calibri"/>
          <w:sz w:val="24"/>
          <w:szCs w:val="24"/>
        </w:rPr>
        <w:t>Por otro lado, y</w:t>
      </w:r>
      <w:r w:rsidR="001A7AE3" w:rsidRPr="001A7AE3">
        <w:rPr>
          <w:rFonts w:eastAsia="Calibri"/>
          <w:sz w:val="24"/>
          <w:szCs w:val="24"/>
        </w:rPr>
        <w:t xml:space="preserve">a antes de la Reforma la Fiscalía General del Estado venía aquejándose del restringido criterio que se empleaba para calificar conductas imprudentes como delitos, quedándose a las puertas muchas otras merecedoras de un reproche punitivo mayor. Así, la mayoría de las imprudencias cometidas en la esfera de los accidentes de tráfico con resultados mortales o lesivos se tramitarían como juicios de faltas y, por tanto, calificadas como imprudencias leves. </w:t>
      </w:r>
    </w:p>
    <w:p w:rsidR="00910CCE" w:rsidRDefault="001A7AE3" w:rsidP="00910CCE">
      <w:pPr>
        <w:spacing w:after="200" w:line="360" w:lineRule="auto"/>
        <w:ind w:firstLine="426"/>
        <w:jc w:val="both"/>
        <w:rPr>
          <w:rFonts w:eastAsia="Calibri"/>
          <w:sz w:val="24"/>
          <w:szCs w:val="24"/>
        </w:rPr>
      </w:pPr>
      <w:r w:rsidRPr="001A7AE3">
        <w:rPr>
          <w:rFonts w:eastAsia="Calibri"/>
          <w:sz w:val="24"/>
          <w:szCs w:val="24"/>
        </w:rPr>
        <w:t xml:space="preserve">Por ello, la interpretación que del principio de intervención mínima y de última ratio acogía el legislador en la redacción del anterior </w:t>
      </w:r>
      <w:r w:rsidR="00575A7E">
        <w:rPr>
          <w:rFonts w:eastAsia="Calibri"/>
          <w:sz w:val="24"/>
          <w:szCs w:val="24"/>
        </w:rPr>
        <w:t>CP</w:t>
      </w:r>
      <w:r w:rsidRPr="001A7AE3">
        <w:rPr>
          <w:rFonts w:eastAsia="Calibri"/>
          <w:sz w:val="24"/>
          <w:szCs w:val="24"/>
        </w:rPr>
        <w:t xml:space="preserve"> de 1995 ya suponía una disposición excesiva de los mismos principios, provocando que la función retributiva de la pena perdiese todo su sentido</w:t>
      </w:r>
      <w:r w:rsidR="00575A7E">
        <w:rPr>
          <w:rFonts w:eastAsia="Calibri"/>
          <w:sz w:val="24"/>
          <w:szCs w:val="24"/>
        </w:rPr>
        <w:t>,</w:t>
      </w:r>
      <w:r w:rsidRPr="001A7AE3">
        <w:rPr>
          <w:rFonts w:eastAsia="Calibri"/>
          <w:sz w:val="24"/>
          <w:szCs w:val="24"/>
        </w:rPr>
        <w:t xml:space="preserve"> al castigarse por medio del juicio de faltas conductas que por su mayor gravedad hubiesen constituido delito.</w:t>
      </w:r>
    </w:p>
    <w:p w:rsidR="00910CCE" w:rsidRDefault="001A7AE3" w:rsidP="00910CCE">
      <w:pPr>
        <w:spacing w:after="200" w:line="360" w:lineRule="auto"/>
        <w:ind w:firstLine="426"/>
        <w:jc w:val="both"/>
        <w:rPr>
          <w:rFonts w:eastAsia="Calibri"/>
          <w:sz w:val="24"/>
          <w:szCs w:val="24"/>
        </w:rPr>
      </w:pPr>
      <w:r w:rsidRPr="001A7AE3">
        <w:rPr>
          <w:rFonts w:eastAsia="Calibri"/>
          <w:sz w:val="24"/>
          <w:szCs w:val="24"/>
        </w:rPr>
        <w:t>De m</w:t>
      </w:r>
      <w:r w:rsidR="00575A7E">
        <w:rPr>
          <w:rFonts w:eastAsia="Calibri"/>
          <w:sz w:val="24"/>
          <w:szCs w:val="24"/>
        </w:rPr>
        <w:t>anera</w:t>
      </w:r>
      <w:r w:rsidRPr="001A7AE3">
        <w:rPr>
          <w:rFonts w:eastAsia="Calibri"/>
          <w:sz w:val="24"/>
          <w:szCs w:val="24"/>
        </w:rPr>
        <w:t xml:space="preserve"> que, la Reforma implica una mayor restricción del criterio empleado para calificar conducta imprudentes como delitos, puesto que la nueva categoría de imprudencia menos grave probablemente acoja conductas de mayor reproche punitivo que la anterior imprudencia leve. </w:t>
      </w:r>
      <w:r w:rsidR="00575A7E">
        <w:rPr>
          <w:rFonts w:eastAsia="Calibri"/>
          <w:sz w:val="24"/>
          <w:szCs w:val="24"/>
        </w:rPr>
        <w:t>Por tanto</w:t>
      </w:r>
      <w:r w:rsidRPr="001A7AE3">
        <w:rPr>
          <w:rFonts w:eastAsia="Calibri"/>
          <w:sz w:val="24"/>
          <w:szCs w:val="24"/>
        </w:rPr>
        <w:t xml:space="preserve">, el Proyecto de Reforma, </w:t>
      </w:r>
      <w:r w:rsidRPr="00575A7E">
        <w:rPr>
          <w:rFonts w:eastAsia="Calibri"/>
          <w:iCs/>
          <w:sz w:val="24"/>
          <w:szCs w:val="24"/>
        </w:rPr>
        <w:t>modifica, pues, el límite mínimo de la intervención punitiva desde el punto de vista de la imputación subjetiva</w:t>
      </w:r>
      <w:r w:rsidR="00575A7E" w:rsidRPr="00575A7E">
        <w:rPr>
          <w:rFonts w:eastAsia="Calibri"/>
          <w:iCs/>
          <w:sz w:val="24"/>
          <w:szCs w:val="24"/>
        </w:rPr>
        <w:t>,</w:t>
      </w:r>
      <w:r w:rsidRPr="00575A7E">
        <w:rPr>
          <w:rFonts w:eastAsia="Calibri"/>
          <w:iCs/>
          <w:sz w:val="24"/>
          <w:szCs w:val="24"/>
        </w:rPr>
        <w:t xml:space="preserve"> elevándolo al grado de la nueva clase de la imprudencia menos grave, al eliminar la imprudencia leve del CP</w:t>
      </w:r>
      <w:r w:rsidRPr="00575A7E">
        <w:rPr>
          <w:rFonts w:eastAsia="Calibri"/>
          <w:sz w:val="24"/>
          <w:szCs w:val="24"/>
          <w:vertAlign w:val="superscript"/>
        </w:rPr>
        <w:footnoteReference w:id="8"/>
      </w:r>
      <w:r w:rsidRPr="00575A7E">
        <w:rPr>
          <w:rFonts w:eastAsia="Calibri"/>
          <w:sz w:val="24"/>
          <w:szCs w:val="24"/>
        </w:rPr>
        <w:t>.</w:t>
      </w:r>
      <w:r w:rsidRPr="001A7AE3">
        <w:rPr>
          <w:rFonts w:eastAsia="Calibri"/>
          <w:sz w:val="24"/>
          <w:szCs w:val="24"/>
        </w:rPr>
        <w:t xml:space="preserve"> Si bien, será más adelante cuando tratemos esta cuestión. </w:t>
      </w:r>
    </w:p>
    <w:p w:rsidR="00910CCE" w:rsidRDefault="001A7AE3" w:rsidP="00910CCE">
      <w:pPr>
        <w:spacing w:after="200" w:line="360" w:lineRule="auto"/>
        <w:ind w:firstLine="426"/>
        <w:jc w:val="both"/>
        <w:rPr>
          <w:rFonts w:eastAsia="Calibri"/>
          <w:sz w:val="24"/>
          <w:szCs w:val="24"/>
        </w:rPr>
      </w:pPr>
      <w:r w:rsidRPr="001A7AE3">
        <w:rPr>
          <w:rFonts w:eastAsia="Calibri"/>
          <w:sz w:val="24"/>
          <w:szCs w:val="24"/>
        </w:rPr>
        <w:t xml:space="preserve">A continuación, entraremos a examinar los novedosos cambios que el legislador ha introducido respecto a la imprudencia, entrando incluso a explorar los motivos que le </w:t>
      </w:r>
      <w:r w:rsidRPr="001A7AE3">
        <w:rPr>
          <w:rFonts w:eastAsia="Calibri"/>
          <w:sz w:val="24"/>
          <w:szCs w:val="24"/>
        </w:rPr>
        <w:lastRenderedPageBreak/>
        <w:t xml:space="preserve">han llevado a realizar este cambio tan radical y repentino. Para ello, tendremos muy presente la Ley Orgánica 1/2015, de 30 de marzo, del Código Penal. </w:t>
      </w:r>
    </w:p>
    <w:p w:rsidR="00910CCE" w:rsidRDefault="001A7AE3" w:rsidP="00910CCE">
      <w:pPr>
        <w:spacing w:after="200" w:line="360" w:lineRule="auto"/>
        <w:ind w:firstLine="426"/>
        <w:jc w:val="both"/>
        <w:rPr>
          <w:rFonts w:eastAsia="Calibri"/>
          <w:sz w:val="24"/>
          <w:szCs w:val="24"/>
        </w:rPr>
      </w:pPr>
      <w:r w:rsidRPr="001A7AE3">
        <w:rPr>
          <w:rFonts w:eastAsia="Calibri"/>
          <w:sz w:val="24"/>
          <w:szCs w:val="24"/>
        </w:rPr>
        <w:t xml:space="preserve">Trataremos con carácter introductorio el concepto de imprudencia, pues si bien ha variado la forma de incriminación, ello no afecta, ni al concepto de imprudencia mantenido por la doctrina, ni a la estructura del tipo imprudente. </w:t>
      </w:r>
    </w:p>
    <w:p w:rsidR="00910CCE" w:rsidRDefault="001A7AE3" w:rsidP="00910CCE">
      <w:pPr>
        <w:spacing w:after="200" w:line="360" w:lineRule="auto"/>
        <w:ind w:firstLine="426"/>
        <w:jc w:val="both"/>
        <w:rPr>
          <w:rFonts w:eastAsia="Calibri"/>
          <w:sz w:val="24"/>
          <w:szCs w:val="24"/>
        </w:rPr>
      </w:pPr>
      <w:r w:rsidRPr="001A7AE3">
        <w:rPr>
          <w:rFonts w:eastAsia="Calibri"/>
          <w:sz w:val="24"/>
          <w:szCs w:val="24"/>
        </w:rPr>
        <w:t>Seguidamente, incorporaremos un análisis comparativo de la imprudencia según la regulación de uno y otro código. Y, del mismo modo, atenderemos al contenido del tipo imprudente, al análisis jurisprudencial, así como a los criterios y elementos de los que tanto doctrina como jurisprudencia se han ido dotando durante décadas para definir la imprudencia en sus distintas modalidades.</w:t>
      </w:r>
    </w:p>
    <w:p w:rsidR="001A7AE3" w:rsidRPr="001A7AE3" w:rsidRDefault="001A7AE3" w:rsidP="00910CCE">
      <w:pPr>
        <w:spacing w:after="200" w:line="360" w:lineRule="auto"/>
        <w:ind w:firstLine="426"/>
        <w:jc w:val="both"/>
        <w:rPr>
          <w:rFonts w:eastAsia="Calibri"/>
          <w:sz w:val="24"/>
          <w:szCs w:val="24"/>
        </w:rPr>
      </w:pPr>
      <w:r w:rsidRPr="001A7AE3">
        <w:rPr>
          <w:rFonts w:eastAsia="Calibri"/>
          <w:sz w:val="24"/>
          <w:szCs w:val="24"/>
        </w:rPr>
        <w:t>Finalmente, trataremos de averiguar si la Reforma resulta un evidente cambio a mejor, ya que a juicio de muchos supone un claro empeoramiento de la situación actual.</w:t>
      </w:r>
    </w:p>
    <w:p w:rsidR="001A7AE3" w:rsidRPr="001A7AE3" w:rsidRDefault="001A7AE3" w:rsidP="00EA0579">
      <w:pPr>
        <w:spacing w:after="200" w:line="360" w:lineRule="auto"/>
        <w:jc w:val="both"/>
        <w:rPr>
          <w:rFonts w:eastAsia="Calibri"/>
          <w:b/>
          <w:bCs/>
          <w:sz w:val="24"/>
          <w:szCs w:val="24"/>
        </w:rPr>
      </w:pPr>
      <w:r w:rsidRPr="001A7AE3">
        <w:rPr>
          <w:rFonts w:eastAsia="Calibri"/>
          <w:b/>
          <w:bCs/>
          <w:sz w:val="24"/>
          <w:szCs w:val="24"/>
        </w:rPr>
        <w:t>5. LA IMPRUDENCIA PUNIBLE</w:t>
      </w:r>
    </w:p>
    <w:p w:rsidR="001A7AE3" w:rsidRPr="001A7AE3" w:rsidRDefault="001A7AE3" w:rsidP="00EA0579">
      <w:pPr>
        <w:spacing w:after="200" w:line="360" w:lineRule="auto"/>
        <w:ind w:left="567"/>
        <w:jc w:val="both"/>
        <w:rPr>
          <w:rFonts w:eastAsia="Calibri"/>
          <w:b/>
          <w:bCs/>
          <w:sz w:val="24"/>
          <w:szCs w:val="24"/>
        </w:rPr>
      </w:pPr>
      <w:r w:rsidRPr="001A7AE3">
        <w:rPr>
          <w:rFonts w:eastAsia="Calibri"/>
          <w:b/>
          <w:bCs/>
          <w:sz w:val="24"/>
          <w:szCs w:val="24"/>
        </w:rPr>
        <w:t xml:space="preserve">5.1. Sistema de incriminación  </w:t>
      </w:r>
    </w:p>
    <w:p w:rsidR="00910CCE" w:rsidRDefault="001A7AE3" w:rsidP="00910CCE">
      <w:pPr>
        <w:spacing w:after="200" w:line="360" w:lineRule="auto"/>
        <w:ind w:firstLine="426"/>
        <w:jc w:val="both"/>
        <w:rPr>
          <w:rFonts w:eastAsia="Calibri"/>
          <w:i/>
          <w:iCs/>
          <w:sz w:val="24"/>
          <w:szCs w:val="24"/>
        </w:rPr>
      </w:pPr>
      <w:r w:rsidRPr="001A7AE3">
        <w:rPr>
          <w:rFonts w:eastAsia="Calibri"/>
          <w:sz w:val="24"/>
          <w:szCs w:val="24"/>
        </w:rPr>
        <w:t>El ACP a 1995 estaba basado en un sistema de incriminación de la imprudencia abierto, también llamado “numerus apertus”, un sistema de cláusulas incriminadoras de la imprudencia, de acuerdo al cual, en principio, todos los delitos dolosos podían ser cometidos a título de imprudencia, o como dice Silva, "</w:t>
      </w:r>
      <w:r w:rsidRPr="001A7AE3">
        <w:rPr>
          <w:rFonts w:eastAsia="Calibri"/>
          <w:i/>
          <w:iCs/>
          <w:sz w:val="24"/>
          <w:szCs w:val="24"/>
        </w:rPr>
        <w:t>suponía que fuera punible la realización imprudente de cualquier hecho lesivo de bienes jurídicos penalmente protegidos, siendo la excepción en cambio, la inadmisión de la comisión culposa de un tipo”</w:t>
      </w:r>
      <w:r w:rsidRPr="001A7AE3">
        <w:rPr>
          <w:rFonts w:eastAsia="Calibri"/>
          <w:i/>
          <w:iCs/>
          <w:sz w:val="24"/>
          <w:szCs w:val="24"/>
          <w:vertAlign w:val="superscript"/>
        </w:rPr>
        <w:footnoteReference w:id="9"/>
      </w:r>
      <w:r w:rsidRPr="001A7AE3">
        <w:rPr>
          <w:rFonts w:eastAsia="Calibri"/>
          <w:i/>
          <w:iCs/>
          <w:sz w:val="24"/>
          <w:szCs w:val="24"/>
        </w:rPr>
        <w:t xml:space="preserve">. </w:t>
      </w:r>
    </w:p>
    <w:p w:rsidR="00910CCE" w:rsidRDefault="001A7AE3" w:rsidP="00910CCE">
      <w:pPr>
        <w:spacing w:after="200" w:line="360" w:lineRule="auto"/>
        <w:ind w:firstLine="426"/>
        <w:jc w:val="both"/>
        <w:rPr>
          <w:rFonts w:eastAsia="Calibri"/>
          <w:i/>
          <w:iCs/>
          <w:sz w:val="24"/>
          <w:szCs w:val="24"/>
        </w:rPr>
      </w:pPr>
      <w:r w:rsidRPr="001A7AE3">
        <w:rPr>
          <w:rFonts w:eastAsia="Calibri"/>
          <w:iCs/>
          <w:sz w:val="24"/>
          <w:szCs w:val="24"/>
        </w:rPr>
        <w:t xml:space="preserve">Sin embargo, en la práctica no era así, porque tanto doctrina como jurisprudencia fueron ampliando el número de delitos que presentaban obstáculos a la comisión imprudente, desarrollando una corrección del principio general de incriminación. Es decir, constatada la posibilidad lógica de castigar cualquier delito cometido por imprudencia, la atención se dirigió a cuestionar la posibilidad jurídica de tal castigo. </w:t>
      </w:r>
    </w:p>
    <w:p w:rsidR="00910CCE" w:rsidRDefault="001A7AE3" w:rsidP="00910CCE">
      <w:pPr>
        <w:spacing w:after="200" w:line="360" w:lineRule="auto"/>
        <w:ind w:firstLine="426"/>
        <w:jc w:val="both"/>
        <w:rPr>
          <w:rFonts w:eastAsia="Calibri"/>
          <w:i/>
          <w:iCs/>
          <w:sz w:val="24"/>
          <w:szCs w:val="24"/>
        </w:rPr>
      </w:pPr>
      <w:r w:rsidRPr="001A7AE3">
        <w:rPr>
          <w:rFonts w:eastAsia="Calibri"/>
          <w:iCs/>
          <w:sz w:val="24"/>
          <w:szCs w:val="24"/>
        </w:rPr>
        <w:lastRenderedPageBreak/>
        <w:t>La determinación de la posibilidad o imposibilidad jurídica de castigo era producto de una doble restricción practicada al analizar cada figura delictiva en particular. Tal doble corrección ha venido representada por las ideas de posibilidad conceptual de cometer un determinado delito por imprudencia y de oportunidad político-criminal de sancionar penalmente dicha comisión imprudente, que previamente se entendió como conceptualmente posible.</w:t>
      </w:r>
    </w:p>
    <w:p w:rsidR="00910CCE" w:rsidRDefault="001A7AE3" w:rsidP="00910CCE">
      <w:pPr>
        <w:spacing w:after="200" w:line="360" w:lineRule="auto"/>
        <w:ind w:firstLine="426"/>
        <w:jc w:val="both"/>
        <w:rPr>
          <w:rFonts w:eastAsia="Calibri"/>
          <w:i/>
          <w:iCs/>
          <w:sz w:val="24"/>
          <w:szCs w:val="24"/>
        </w:rPr>
      </w:pPr>
      <w:r w:rsidRPr="001A7AE3">
        <w:rPr>
          <w:rFonts w:eastAsia="Calibri"/>
          <w:sz w:val="24"/>
          <w:szCs w:val="24"/>
        </w:rPr>
        <w:t>En efecto, doctrina y jurisprudencia entendían que muchos delitos requerían elementos subjetivos del tipo, es decir, la comisión con conocimiento de la actuación típica, de modo que negaban la posibilidad de la comisión imprudente de dichos delitos. Así el criterio abierto, además de generar divergencias interpretativas, suponía una gran inseguridad jurídica</w:t>
      </w:r>
      <w:r w:rsidRPr="001A7AE3">
        <w:rPr>
          <w:rFonts w:eastAsia="Calibri"/>
          <w:sz w:val="24"/>
          <w:szCs w:val="24"/>
          <w:vertAlign w:val="superscript"/>
        </w:rPr>
        <w:footnoteReference w:id="10"/>
      </w:r>
      <w:r w:rsidRPr="001A7AE3">
        <w:rPr>
          <w:rFonts w:eastAsia="Calibri"/>
          <w:sz w:val="24"/>
          <w:szCs w:val="24"/>
        </w:rPr>
        <w:t>.</w:t>
      </w:r>
    </w:p>
    <w:p w:rsidR="00910CCE" w:rsidRDefault="001A7AE3" w:rsidP="00910CCE">
      <w:pPr>
        <w:spacing w:after="200" w:line="360" w:lineRule="auto"/>
        <w:ind w:firstLine="426"/>
        <w:jc w:val="both"/>
        <w:rPr>
          <w:rFonts w:eastAsia="Calibri"/>
          <w:sz w:val="24"/>
          <w:szCs w:val="24"/>
        </w:rPr>
      </w:pPr>
      <w:r w:rsidRPr="001A7AE3">
        <w:rPr>
          <w:rFonts w:eastAsia="Calibri"/>
          <w:sz w:val="24"/>
          <w:szCs w:val="24"/>
        </w:rPr>
        <w:t>Consecuentemente, la regulación del tratamiento de la imprudencia en el CP de 1995 abandona el criterio abierto, optando por un sistema de incriminación de la imprudencia cerrado, también llamado “numerus clausus”. De modo que, un hecho imprudente sólo será punible cuando esté específicamente tipificado como tal en el CP.</w:t>
      </w:r>
    </w:p>
    <w:p w:rsidR="00910CCE" w:rsidRDefault="001A7AE3" w:rsidP="00910CCE">
      <w:pPr>
        <w:spacing w:after="200" w:line="360" w:lineRule="auto"/>
        <w:ind w:firstLine="426"/>
        <w:jc w:val="both"/>
        <w:rPr>
          <w:rFonts w:eastAsia="Calibri"/>
          <w:i/>
          <w:iCs/>
          <w:sz w:val="24"/>
          <w:szCs w:val="24"/>
        </w:rPr>
      </w:pPr>
      <w:r w:rsidRPr="001A7AE3">
        <w:rPr>
          <w:rFonts w:eastAsia="Calibri"/>
          <w:sz w:val="24"/>
          <w:szCs w:val="24"/>
        </w:rPr>
        <w:t xml:space="preserve">Éste sistema de incriminación cerrada cumple, de forma mucho más precisa, con el principio de taxatividad, puesto que no sólo queda determinado el aspecto objetivo del delito sino también el aspecto subjetivo, garantizándose de forma más efectiva la seguridad jurídica. </w:t>
      </w:r>
    </w:p>
    <w:p w:rsidR="00910CCE" w:rsidRDefault="001A7AE3" w:rsidP="00910CCE">
      <w:pPr>
        <w:spacing w:after="200" w:line="360" w:lineRule="auto"/>
        <w:ind w:firstLine="426"/>
        <w:jc w:val="both"/>
        <w:rPr>
          <w:rFonts w:eastAsia="Calibri"/>
          <w:i/>
          <w:iCs/>
          <w:sz w:val="24"/>
          <w:szCs w:val="24"/>
        </w:rPr>
      </w:pPr>
      <w:r w:rsidRPr="001A7AE3">
        <w:rPr>
          <w:rFonts w:eastAsia="Calibri"/>
          <w:sz w:val="24"/>
          <w:szCs w:val="24"/>
        </w:rPr>
        <w:t xml:space="preserve">Otra ventaja que se predica de este sistema es que, </w:t>
      </w:r>
      <w:r w:rsidRPr="001A7AE3">
        <w:rPr>
          <w:rFonts w:eastAsia="Calibri"/>
          <w:iCs/>
          <w:sz w:val="24"/>
          <w:szCs w:val="24"/>
        </w:rPr>
        <w:t>dada la menor gravedad de la imprudencia frente al dolo, se consigue una mejor adecuación a los principios de ultima ratio y del carácter fragmentario del derecho penal, puesto que se seleccionan político-criminalmente las conductas imprudentes que por su peligrosidad, frecuencia de comisión y carácter de los bienes jurídicos a que afecten, separándolas de otras que sean meros ilícitos extrapenales</w:t>
      </w:r>
      <w:r w:rsidRPr="001A7AE3">
        <w:rPr>
          <w:rFonts w:eastAsia="Calibri"/>
          <w:sz w:val="24"/>
          <w:szCs w:val="24"/>
          <w:vertAlign w:val="superscript"/>
        </w:rPr>
        <w:footnoteReference w:id="11"/>
      </w:r>
      <w:r w:rsidRPr="001A7AE3">
        <w:rPr>
          <w:rFonts w:eastAsia="Calibri"/>
          <w:sz w:val="24"/>
          <w:szCs w:val="24"/>
        </w:rPr>
        <w:t>.</w:t>
      </w:r>
    </w:p>
    <w:p w:rsidR="00910CCE" w:rsidRDefault="001A7AE3" w:rsidP="00910CCE">
      <w:pPr>
        <w:spacing w:after="200" w:line="360" w:lineRule="auto"/>
        <w:ind w:firstLine="426"/>
        <w:jc w:val="both"/>
        <w:rPr>
          <w:rFonts w:eastAsia="Calibri"/>
          <w:i/>
          <w:iCs/>
          <w:sz w:val="24"/>
          <w:szCs w:val="24"/>
        </w:rPr>
      </w:pPr>
      <w:r w:rsidRPr="001A7AE3">
        <w:rPr>
          <w:rFonts w:eastAsia="Calibri"/>
          <w:sz w:val="24"/>
          <w:szCs w:val="24"/>
        </w:rPr>
        <w:t xml:space="preserve">Dicho de otro modo, un sistema de incriminación cerrada, que restrinja la incriminación penal de delitos imprudentes, supone la plasmación de los principios de </w:t>
      </w:r>
      <w:r w:rsidRPr="001A7AE3">
        <w:rPr>
          <w:rFonts w:eastAsia="Calibri"/>
          <w:sz w:val="24"/>
          <w:szCs w:val="24"/>
        </w:rPr>
        <w:lastRenderedPageBreak/>
        <w:t>fragmentariedad y de intervención mínima del Derecho Penal. Así, sólo se castigan comportamientos imprudentes cuando suponen la afección de los bienes jurídicos más importantes y se hayan realizado, en principio, de forma especialmente grave</w:t>
      </w:r>
      <w:r w:rsidRPr="001A7AE3">
        <w:rPr>
          <w:rFonts w:eastAsia="Calibri"/>
          <w:sz w:val="24"/>
          <w:szCs w:val="24"/>
          <w:vertAlign w:val="superscript"/>
        </w:rPr>
        <w:footnoteReference w:id="12"/>
      </w:r>
      <w:r w:rsidRPr="001A7AE3">
        <w:rPr>
          <w:rFonts w:eastAsia="Calibri"/>
          <w:sz w:val="24"/>
          <w:szCs w:val="24"/>
        </w:rPr>
        <w:t>.</w:t>
      </w:r>
    </w:p>
    <w:p w:rsidR="00910CCE" w:rsidRDefault="001A7AE3" w:rsidP="00910CCE">
      <w:pPr>
        <w:spacing w:after="200" w:line="360" w:lineRule="auto"/>
        <w:ind w:firstLine="426"/>
        <w:jc w:val="both"/>
        <w:rPr>
          <w:rFonts w:eastAsia="Calibri"/>
          <w:i/>
          <w:iCs/>
          <w:sz w:val="24"/>
          <w:szCs w:val="24"/>
        </w:rPr>
      </w:pPr>
      <w:r w:rsidRPr="001A7AE3">
        <w:rPr>
          <w:rFonts w:eastAsia="Calibri"/>
          <w:sz w:val="24"/>
          <w:szCs w:val="24"/>
        </w:rPr>
        <w:t xml:space="preserve">Por consiguiente, el legislador, a la hora de admitir la modalidad imprudente de un delito, tiene en cuenta la relevancia cualitativa y/o cuantitativa del bien jurídico que con la norma se pretende proteger. </w:t>
      </w:r>
    </w:p>
    <w:p w:rsidR="00910CCE" w:rsidRDefault="00394618" w:rsidP="00910CCE">
      <w:pPr>
        <w:spacing w:after="200" w:line="360" w:lineRule="auto"/>
        <w:ind w:firstLine="426"/>
        <w:jc w:val="both"/>
        <w:rPr>
          <w:rFonts w:eastAsia="Calibri"/>
          <w:i/>
          <w:iCs/>
          <w:sz w:val="24"/>
          <w:szCs w:val="24"/>
        </w:rPr>
      </w:pPr>
      <w:r>
        <w:rPr>
          <w:rFonts w:eastAsia="Calibri"/>
          <w:iCs/>
          <w:sz w:val="24"/>
          <w:szCs w:val="24"/>
        </w:rPr>
        <w:t>Así, un</w:t>
      </w:r>
      <w:r w:rsidR="001A7AE3" w:rsidRPr="001A7AE3">
        <w:rPr>
          <w:rFonts w:eastAsia="Calibri"/>
          <w:iCs/>
          <w:sz w:val="24"/>
          <w:szCs w:val="24"/>
        </w:rPr>
        <w:t xml:space="preserve"> primer criterio, para decidir incriminar la ejecución imprudente del hecho, es el de la importancia cualitativa del bien jurídico, y según esa idea se dirá que un bien jurídico de mucha importancia, como, por ejemplo, la vida y la integridad física, ha de ser protegido por el derecho penal frente a ataques tanto dolosos como imprudentes. Si bien, este es solo un criterio parcial, pues hay bienes jurídicos de enorme importancia, como por ejemplo la libertad, para los cuales no está prevista la incriminación de modalidades de ataque imprudente. Otro criterio, si se trata de un bien jurídico de valor cuantificable económicamente, consiste en trazar fronteras de cuantía razonablemente elevadas determinando que los actos ilícitos de baja cuantía, como regla general, queden excluidos de la política criminal de la imprudencia</w:t>
      </w:r>
      <w:r w:rsidR="001A7AE3" w:rsidRPr="001A7AE3">
        <w:rPr>
          <w:rFonts w:eastAsia="Calibri"/>
          <w:sz w:val="24"/>
          <w:szCs w:val="24"/>
          <w:vertAlign w:val="superscript"/>
        </w:rPr>
        <w:footnoteReference w:id="13"/>
      </w:r>
      <w:r w:rsidR="001A7AE3" w:rsidRPr="001A7AE3">
        <w:rPr>
          <w:rFonts w:eastAsia="Calibri"/>
          <w:sz w:val="24"/>
          <w:szCs w:val="24"/>
        </w:rPr>
        <w:t>.</w:t>
      </w:r>
    </w:p>
    <w:p w:rsidR="00910CCE" w:rsidRDefault="001A7AE3" w:rsidP="00910CCE">
      <w:pPr>
        <w:spacing w:after="200" w:line="360" w:lineRule="auto"/>
        <w:ind w:firstLine="426"/>
        <w:jc w:val="both"/>
        <w:rPr>
          <w:rFonts w:eastAsia="Calibri"/>
          <w:i/>
          <w:iCs/>
          <w:sz w:val="24"/>
          <w:szCs w:val="24"/>
        </w:rPr>
      </w:pPr>
      <w:r w:rsidRPr="001A7AE3">
        <w:rPr>
          <w:rFonts w:eastAsia="Calibri"/>
          <w:sz w:val="24"/>
          <w:szCs w:val="24"/>
        </w:rPr>
        <w:t>Además, la comisión imprudente de los delitos se encuentra limitada a aquellos de resultado material. Parece lógico afirmar que la imprudencia solo se persigue si la conducta contraria al deber objetivo de cuidado, que se le exige por la peligrosidad de la misma, provoca la lesión del bien jurídico protegido. De modo que, no cabe la comisión imprudente de un delito de simple actividad o de un delito de peligro</w:t>
      </w:r>
      <w:r w:rsidRPr="001A7AE3">
        <w:rPr>
          <w:rFonts w:eastAsia="Calibri"/>
          <w:sz w:val="24"/>
          <w:szCs w:val="24"/>
          <w:vertAlign w:val="superscript"/>
        </w:rPr>
        <w:footnoteReference w:id="14"/>
      </w:r>
      <w:r w:rsidRPr="001A7AE3">
        <w:rPr>
          <w:rFonts w:eastAsia="Calibri"/>
          <w:sz w:val="24"/>
          <w:szCs w:val="24"/>
        </w:rPr>
        <w:t>. Por otro lado, la más mínima presencia del elemento subjetivo del injusto no admite la comisión imprudente del injusto, que constituiría un delito doloso.</w:t>
      </w:r>
    </w:p>
    <w:p w:rsidR="00910CCE" w:rsidRDefault="001A7AE3" w:rsidP="00910CCE">
      <w:pPr>
        <w:spacing w:after="200" w:line="360" w:lineRule="auto"/>
        <w:ind w:firstLine="426"/>
        <w:jc w:val="both"/>
        <w:rPr>
          <w:rFonts w:eastAsia="Calibri"/>
          <w:i/>
          <w:iCs/>
          <w:sz w:val="24"/>
          <w:szCs w:val="24"/>
        </w:rPr>
      </w:pPr>
      <w:r w:rsidRPr="001A7AE3">
        <w:rPr>
          <w:rFonts w:eastAsia="Calibri"/>
          <w:sz w:val="24"/>
          <w:szCs w:val="24"/>
        </w:rPr>
        <w:t xml:space="preserve">El sistema de numerus clausus, sin embargo, también conlleva ciertos inconvenientes. En la medida en que sólo pueden constituir una imprudencia punible </w:t>
      </w:r>
      <w:r w:rsidRPr="001A7AE3">
        <w:rPr>
          <w:rFonts w:eastAsia="Calibri"/>
          <w:sz w:val="24"/>
          <w:szCs w:val="24"/>
        </w:rPr>
        <w:lastRenderedPageBreak/>
        <w:t>aquellas conductas en su modalidad imprudente que se encuentren tipificadas como tal, no podrá ser punible la comisión imprudente de aquellos hechos que no se encuentren expresamente tipificados. Por lo tanto, en el sistema numerus clausus es muy importante el criterio con el que se establece que delitos comprenden la comisión imprudente.</w:t>
      </w:r>
    </w:p>
    <w:p w:rsidR="001A7AE3" w:rsidRPr="00910CCE" w:rsidRDefault="001A7AE3" w:rsidP="00910CCE">
      <w:pPr>
        <w:spacing w:after="200" w:line="360" w:lineRule="auto"/>
        <w:ind w:firstLine="426"/>
        <w:jc w:val="both"/>
        <w:rPr>
          <w:rFonts w:eastAsia="Calibri"/>
          <w:i/>
          <w:iCs/>
          <w:sz w:val="24"/>
          <w:szCs w:val="24"/>
        </w:rPr>
      </w:pPr>
      <w:r w:rsidRPr="001A7AE3">
        <w:rPr>
          <w:rFonts w:eastAsia="Calibri"/>
          <w:sz w:val="24"/>
          <w:szCs w:val="24"/>
        </w:rPr>
        <w:t>Como resultado, en el CP rige el principio de excepcionalidad en el castigo de los delitos imprudentes. Así, la conducta dolosa y la conducta imprudente son diferentes e independientes. Mientras la primera pertenece al tipo de lo injusto doloso la segunda pertenece al tipo de lo injusto imprudente.</w:t>
      </w:r>
    </w:p>
    <w:p w:rsidR="001A7AE3" w:rsidRPr="001A7AE3" w:rsidRDefault="001A7AE3" w:rsidP="00EA0579">
      <w:pPr>
        <w:spacing w:after="200" w:line="360" w:lineRule="auto"/>
        <w:ind w:left="567"/>
        <w:jc w:val="both"/>
        <w:rPr>
          <w:rFonts w:eastAsia="Calibri"/>
          <w:b/>
          <w:bCs/>
          <w:sz w:val="24"/>
          <w:szCs w:val="24"/>
        </w:rPr>
      </w:pPr>
      <w:r w:rsidRPr="001A7AE3">
        <w:rPr>
          <w:rFonts w:eastAsia="Calibri"/>
          <w:b/>
          <w:bCs/>
          <w:sz w:val="24"/>
          <w:szCs w:val="24"/>
        </w:rPr>
        <w:t>5.2. Concepto doctrinal de “previsibilidad y evitabilidad” como criterio determinante de la infracción del deber de cuidado</w:t>
      </w:r>
    </w:p>
    <w:p w:rsidR="00910CCE" w:rsidRDefault="001A7AE3" w:rsidP="00910CCE">
      <w:pPr>
        <w:spacing w:after="200" w:line="360" w:lineRule="auto"/>
        <w:ind w:firstLine="426"/>
        <w:jc w:val="both"/>
        <w:rPr>
          <w:rFonts w:eastAsia="Calibri"/>
          <w:sz w:val="24"/>
          <w:szCs w:val="24"/>
        </w:rPr>
      </w:pPr>
      <w:r w:rsidRPr="001A7AE3">
        <w:rPr>
          <w:rFonts w:eastAsia="Calibri"/>
          <w:sz w:val="24"/>
          <w:szCs w:val="24"/>
        </w:rPr>
        <w:t>Antes de empezar, cabe decir que, el CP no define qué debemos entender por el término imprudencia o imprudente en ningún de sus preceptos. Quizás, “</w:t>
      </w:r>
      <w:r w:rsidRPr="001A7AE3">
        <w:rPr>
          <w:rFonts w:eastAsia="Calibri"/>
          <w:i/>
          <w:iCs/>
          <w:sz w:val="24"/>
          <w:szCs w:val="24"/>
        </w:rPr>
        <w:t>el legislador considera que ése es un concepto que pertenece a la cultura jurídica de cada tiempo y que, además admite interpretaciones diferentes</w:t>
      </w:r>
      <w:r w:rsidRPr="001A7AE3">
        <w:rPr>
          <w:rFonts w:eastAsia="Calibri"/>
          <w:sz w:val="24"/>
          <w:szCs w:val="24"/>
        </w:rPr>
        <w:t>”</w:t>
      </w:r>
      <w:r w:rsidRPr="001A7AE3">
        <w:rPr>
          <w:rFonts w:eastAsia="Calibri"/>
          <w:sz w:val="24"/>
          <w:szCs w:val="24"/>
          <w:vertAlign w:val="superscript"/>
        </w:rPr>
        <w:footnoteReference w:id="15"/>
      </w:r>
      <w:r w:rsidRPr="001A7AE3">
        <w:rPr>
          <w:rFonts w:eastAsia="Calibri"/>
          <w:sz w:val="24"/>
          <w:szCs w:val="24"/>
        </w:rPr>
        <w:t>. Así, será la doctrina y la jurisprudencia de cada tiempo las que determinen lo que se entiende por imprudencia.</w:t>
      </w:r>
    </w:p>
    <w:p w:rsidR="00910CCE" w:rsidRDefault="001A7AE3" w:rsidP="00910CCE">
      <w:pPr>
        <w:spacing w:after="200" w:line="360" w:lineRule="auto"/>
        <w:ind w:firstLine="426"/>
        <w:jc w:val="both"/>
        <w:rPr>
          <w:rFonts w:eastAsia="Calibri"/>
          <w:sz w:val="24"/>
          <w:szCs w:val="24"/>
        </w:rPr>
      </w:pPr>
      <w:r w:rsidRPr="001A7AE3">
        <w:rPr>
          <w:rFonts w:eastAsia="Calibri"/>
          <w:color w:val="000000"/>
          <w:sz w:val="24"/>
          <w:szCs w:val="24"/>
        </w:rPr>
        <w:t xml:space="preserve">Tradicionalmente, el sistema utilizado por los códigos penales españoles empleaba indistintamente los términos imprudencia y culpa. El CP de 1995 optó por unificar la terminología utilizando permanentemente el término imprudencia o imprudente. </w:t>
      </w:r>
    </w:p>
    <w:p w:rsidR="00910CCE" w:rsidRDefault="001A7AE3" w:rsidP="00910CCE">
      <w:pPr>
        <w:spacing w:after="200" w:line="360" w:lineRule="auto"/>
        <w:ind w:firstLine="426"/>
        <w:jc w:val="both"/>
        <w:rPr>
          <w:rFonts w:eastAsia="Calibri"/>
          <w:sz w:val="24"/>
          <w:szCs w:val="24"/>
        </w:rPr>
      </w:pPr>
      <w:r w:rsidRPr="001A7AE3">
        <w:rPr>
          <w:rFonts w:eastAsia="Calibri"/>
          <w:color w:val="000000"/>
          <w:sz w:val="24"/>
          <w:szCs w:val="24"/>
        </w:rPr>
        <w:t>En realidad</w:t>
      </w:r>
      <w:r w:rsidR="00394618">
        <w:rPr>
          <w:rFonts w:eastAsia="Calibri"/>
          <w:color w:val="000000"/>
          <w:sz w:val="24"/>
          <w:szCs w:val="24"/>
        </w:rPr>
        <w:t>,</w:t>
      </w:r>
      <w:r w:rsidRPr="001A7AE3">
        <w:rPr>
          <w:rFonts w:eastAsia="Calibri"/>
          <w:color w:val="000000"/>
          <w:sz w:val="24"/>
          <w:szCs w:val="24"/>
        </w:rPr>
        <w:t xml:space="preserve"> tal diferencia no es excesivamente importante, debido a la práctica equivalencia de ambos conceptos. No obstante, </w:t>
      </w:r>
      <w:r w:rsidRPr="001A7AE3">
        <w:rPr>
          <w:rFonts w:eastAsia="Calibri"/>
          <w:iCs/>
          <w:color w:val="000000"/>
          <w:sz w:val="24"/>
          <w:szCs w:val="24"/>
        </w:rPr>
        <w:t>esto ha supuesto mayor claridad al no jurista, puesto que el término culpa era a menudo entendido en el lenguaje común como equivalente a infracción, mientras que el término imprudente no ofrece dudas (incluso para el no jurista), que se está refiriendo a la falta de prudencia o diligencia</w:t>
      </w:r>
      <w:r w:rsidRPr="001A7AE3">
        <w:rPr>
          <w:rFonts w:eastAsia="Calibri"/>
          <w:color w:val="000000"/>
          <w:sz w:val="24"/>
          <w:szCs w:val="24"/>
          <w:vertAlign w:val="superscript"/>
        </w:rPr>
        <w:footnoteReference w:id="16"/>
      </w:r>
      <w:r w:rsidRPr="001A7AE3">
        <w:rPr>
          <w:rFonts w:eastAsia="Calibri"/>
          <w:color w:val="000000"/>
          <w:sz w:val="24"/>
          <w:szCs w:val="24"/>
        </w:rPr>
        <w:t>. Además, también ha supuesto que se hayan zanjado las numerosas y estériles discusiones terminológicas.</w:t>
      </w:r>
    </w:p>
    <w:p w:rsidR="00910CCE" w:rsidRDefault="001A7AE3" w:rsidP="00910CCE">
      <w:pPr>
        <w:spacing w:after="200" w:line="360" w:lineRule="auto"/>
        <w:ind w:firstLine="426"/>
        <w:jc w:val="both"/>
        <w:rPr>
          <w:rFonts w:eastAsia="Calibri"/>
          <w:sz w:val="24"/>
          <w:szCs w:val="24"/>
        </w:rPr>
      </w:pPr>
      <w:r w:rsidRPr="001A7AE3">
        <w:rPr>
          <w:rFonts w:eastAsia="Calibri"/>
          <w:sz w:val="24"/>
          <w:szCs w:val="24"/>
        </w:rPr>
        <w:t xml:space="preserve">Dicho esto, el CP tipifica aquellos hechos en los que el autor tiene conocimiento y voluntad de realizar los elementos objetivos del tipo penal (dolo). Sin embargo, también </w:t>
      </w:r>
      <w:r w:rsidRPr="001A7AE3">
        <w:rPr>
          <w:rFonts w:eastAsia="Calibri"/>
          <w:sz w:val="24"/>
          <w:szCs w:val="24"/>
        </w:rPr>
        <w:lastRenderedPageBreak/>
        <w:t>incrimina conductas que de manera imprudente producen un resultado típico. En estos casos el autor actúa sin conocimiento o previsión del resultado de su conducta</w:t>
      </w:r>
      <w:r w:rsidRPr="001A7AE3">
        <w:rPr>
          <w:rFonts w:eastAsia="Calibri"/>
          <w:sz w:val="24"/>
          <w:szCs w:val="24"/>
          <w:vertAlign w:val="superscript"/>
        </w:rPr>
        <w:footnoteReference w:id="17"/>
      </w:r>
      <w:r w:rsidRPr="001A7AE3">
        <w:rPr>
          <w:rFonts w:eastAsia="Calibri"/>
          <w:sz w:val="24"/>
          <w:szCs w:val="24"/>
        </w:rPr>
        <w:t xml:space="preserve">, o sin la voluntad de provocar tal resultado. </w:t>
      </w:r>
    </w:p>
    <w:p w:rsidR="00910CCE" w:rsidRDefault="001A7AE3" w:rsidP="00910CCE">
      <w:pPr>
        <w:spacing w:after="200" w:line="360" w:lineRule="auto"/>
        <w:ind w:firstLine="426"/>
        <w:jc w:val="both"/>
        <w:rPr>
          <w:rFonts w:eastAsia="Calibri"/>
          <w:sz w:val="24"/>
          <w:szCs w:val="24"/>
        </w:rPr>
      </w:pPr>
      <w:r w:rsidRPr="001A7AE3">
        <w:rPr>
          <w:rFonts w:eastAsia="Calibri"/>
          <w:sz w:val="24"/>
          <w:szCs w:val="24"/>
        </w:rPr>
        <w:t>La razón por la cual estas conductas se encuentran tipificadas en el CP es la idoneidad que las mismas presentan para poner en peligro o lesionar un bien jurídico de los que se pretenden proteger con la norma. De modo que, la función de la norma es, en un primer momento, evitar que este tipo de conductas tengan lugar, salvando así la integridad de los bienes jurídicos que protege. Así, nos encontramos ante una conducta que atenta contra un bien jurídico de tal importancia que el legislador ha decidido proteger en el CP, mediante el sistema de incriminación específica, su comisión imprudente.</w:t>
      </w:r>
    </w:p>
    <w:p w:rsidR="00910CCE" w:rsidRDefault="001A7AE3" w:rsidP="00910CCE">
      <w:pPr>
        <w:spacing w:after="200" w:line="360" w:lineRule="auto"/>
        <w:ind w:firstLine="426"/>
        <w:jc w:val="both"/>
        <w:rPr>
          <w:rFonts w:eastAsia="Calibri"/>
          <w:sz w:val="24"/>
          <w:szCs w:val="24"/>
        </w:rPr>
      </w:pPr>
      <w:r w:rsidRPr="001A7AE3">
        <w:rPr>
          <w:rFonts w:eastAsia="Calibri"/>
          <w:sz w:val="24"/>
          <w:szCs w:val="24"/>
        </w:rPr>
        <w:t>Estas conductas típicas constituyen los llamados delitos imprudentes, que podríamos definir como “</w:t>
      </w:r>
      <w:r w:rsidRPr="001A7AE3">
        <w:rPr>
          <w:rFonts w:eastAsia="Calibri"/>
          <w:i/>
          <w:iCs/>
          <w:sz w:val="24"/>
          <w:szCs w:val="24"/>
        </w:rPr>
        <w:t>aquellos consistentes en la ejecución del tipo objetivo de un delito doloso, a causa de haber infringido un deber de prudencia o de cuidado, sea por ignorar la concurrencia de ese deber, y con ello, hasta la misma situación de riesgo, o porque, aun conociéndola, el autor creyó que un resultado previsible no habría de producirse, todo ello realizando una acción que objetivamente puede ser imputada al autor</w:t>
      </w:r>
      <w:r w:rsidRPr="001A7AE3">
        <w:rPr>
          <w:rFonts w:eastAsia="Calibri"/>
          <w:sz w:val="24"/>
          <w:szCs w:val="24"/>
        </w:rPr>
        <w:t>”</w:t>
      </w:r>
      <w:r w:rsidRPr="001A7AE3">
        <w:rPr>
          <w:rFonts w:eastAsia="Calibri"/>
          <w:sz w:val="24"/>
          <w:szCs w:val="24"/>
          <w:vertAlign w:val="superscript"/>
        </w:rPr>
        <w:footnoteReference w:id="18"/>
      </w:r>
      <w:r w:rsidRPr="001A7AE3">
        <w:rPr>
          <w:rFonts w:eastAsia="Calibri"/>
          <w:sz w:val="24"/>
          <w:szCs w:val="24"/>
        </w:rPr>
        <w:t>. Tales conductas se encuentran tipificadas como consecuencia de la infracción de las normas de cuidado de las que podría o debía hacerse valer el autor en el ejercicio de su conducta, con el objetivo de evitar consecuencias típicas.</w:t>
      </w:r>
    </w:p>
    <w:p w:rsidR="00E9205F" w:rsidRPr="00E9205F" w:rsidRDefault="001A7AE3" w:rsidP="00E9205F">
      <w:pPr>
        <w:spacing w:line="360" w:lineRule="auto"/>
        <w:ind w:firstLine="426"/>
        <w:jc w:val="both"/>
        <w:rPr>
          <w:rFonts w:eastAsia="Calibri"/>
          <w:color w:val="000000"/>
          <w:sz w:val="24"/>
          <w:szCs w:val="24"/>
        </w:rPr>
      </w:pPr>
      <w:r w:rsidRPr="001A7AE3">
        <w:rPr>
          <w:rFonts w:eastAsia="Calibri"/>
          <w:sz w:val="24"/>
          <w:szCs w:val="24"/>
        </w:rPr>
        <w:t xml:space="preserve">Del mismo modo que el CP no recoge una definición de lo que debemos entender por el término imprudencia o imprudente, </w:t>
      </w:r>
      <w:r w:rsidRPr="001A7AE3">
        <w:rPr>
          <w:rFonts w:eastAsia="Calibri"/>
          <w:color w:val="000000"/>
          <w:sz w:val="24"/>
          <w:szCs w:val="24"/>
        </w:rPr>
        <w:t>tampoco la Doctrina ha sido unánime a la hora de conceptualizar la imprudencia punible.</w:t>
      </w:r>
      <w:r w:rsidR="00E9205F">
        <w:rPr>
          <w:rFonts w:eastAsia="Calibri"/>
          <w:color w:val="000000"/>
          <w:sz w:val="24"/>
          <w:szCs w:val="24"/>
        </w:rPr>
        <w:t xml:space="preserve"> </w:t>
      </w:r>
      <w:r w:rsidRPr="001A7AE3">
        <w:rPr>
          <w:rFonts w:eastAsia="Calibri"/>
          <w:color w:val="000000"/>
          <w:sz w:val="24"/>
          <w:szCs w:val="24"/>
        </w:rPr>
        <w:t xml:space="preserve">En el modelo actual del delito, coexisten básicamente dos </w:t>
      </w:r>
      <w:r w:rsidRPr="00394618">
        <w:rPr>
          <w:rFonts w:eastAsia="Calibri"/>
          <w:color w:val="000000"/>
          <w:sz w:val="24"/>
          <w:szCs w:val="24"/>
        </w:rPr>
        <w:t xml:space="preserve">posturas al respecto. </w:t>
      </w:r>
      <w:r w:rsidRPr="00394618">
        <w:rPr>
          <w:rFonts w:eastAsia="Calibri"/>
          <w:iCs/>
          <w:color w:val="000000"/>
          <w:sz w:val="24"/>
          <w:szCs w:val="24"/>
        </w:rPr>
        <w:t>Una defiende la concepción psicológica de la imprudencia (con dos variantes, la de la voluntad y la del conocimiento), mientras la otra defiende la concepción normativa de la imprudencia (con dos variantes también, la subjetiva y la objetiva)</w:t>
      </w:r>
      <w:r w:rsidRPr="00394618">
        <w:rPr>
          <w:rFonts w:eastAsia="Calibri"/>
          <w:color w:val="000000"/>
          <w:sz w:val="24"/>
          <w:szCs w:val="24"/>
          <w:vertAlign w:val="superscript"/>
        </w:rPr>
        <w:footnoteReference w:id="19"/>
      </w:r>
      <w:r w:rsidRPr="00394618">
        <w:rPr>
          <w:rFonts w:eastAsia="Calibri"/>
          <w:color w:val="000000"/>
          <w:sz w:val="24"/>
          <w:szCs w:val="24"/>
        </w:rPr>
        <w:t>.</w:t>
      </w:r>
    </w:p>
    <w:p w:rsidR="00E9205F" w:rsidRDefault="001A7AE3" w:rsidP="00E9205F">
      <w:pPr>
        <w:spacing w:after="200" w:line="360" w:lineRule="auto"/>
        <w:ind w:firstLine="426"/>
        <w:jc w:val="both"/>
        <w:rPr>
          <w:rFonts w:eastAsia="Calibri"/>
          <w:sz w:val="24"/>
          <w:szCs w:val="24"/>
        </w:rPr>
      </w:pPr>
      <w:r w:rsidRPr="001A7AE3">
        <w:rPr>
          <w:rFonts w:eastAsia="Calibri"/>
          <w:color w:val="000000"/>
          <w:sz w:val="24"/>
          <w:szCs w:val="24"/>
        </w:rPr>
        <w:lastRenderedPageBreak/>
        <w:t>Por un lado, el concepto psicológico de imprudencia se enmarca en la concepción psicológica de la culpabilidad, propia del concepto clásico del delito, que entendía la culpabilidad como un nexo psíquico de unión entre el sujeto y el hecho. Al ser la imprudencia y el dolo dos formas de culpabilidad, resultaba que la imprudencia, del mismo modo que el dolo, debía consistir en un nexo psíquico entre el autor y el hecho, eso sí, con menor intensidad.</w:t>
      </w:r>
    </w:p>
    <w:p w:rsidR="00E9205F" w:rsidRDefault="001A7AE3" w:rsidP="00E9205F">
      <w:pPr>
        <w:spacing w:after="200" w:line="360" w:lineRule="auto"/>
        <w:ind w:firstLine="426"/>
        <w:jc w:val="both"/>
        <w:rPr>
          <w:rFonts w:eastAsia="Calibri"/>
          <w:sz w:val="24"/>
          <w:szCs w:val="24"/>
        </w:rPr>
      </w:pPr>
      <w:r w:rsidRPr="001A7AE3">
        <w:rPr>
          <w:rFonts w:eastAsia="Calibri"/>
          <w:color w:val="000000"/>
          <w:sz w:val="24"/>
          <w:szCs w:val="24"/>
        </w:rPr>
        <w:t>Este sector doctrinal entiende que la característica principal de la culpabilidad imprudente será la articulación del juicio de reproche, basándose en que el autor, no queriendo realizar el injusto típico, lo lleva a cabo pese a que debía y podía evitar su resultado. Así pues, la previsibilidad del resultado, junt</w:t>
      </w:r>
      <w:r w:rsidR="00E9205F">
        <w:rPr>
          <w:rFonts w:eastAsia="Calibri"/>
          <w:color w:val="000000"/>
          <w:sz w:val="24"/>
          <w:szCs w:val="24"/>
        </w:rPr>
        <w:t>o a su evitabilidad, constituye</w:t>
      </w:r>
      <w:r w:rsidRPr="001A7AE3">
        <w:rPr>
          <w:rFonts w:eastAsia="Calibri"/>
          <w:color w:val="000000"/>
          <w:sz w:val="24"/>
          <w:szCs w:val="24"/>
        </w:rPr>
        <w:t xml:space="preserve"> el punto de partida para determinar la existencia o inexistencia de la infracción del deber de cuidado. </w:t>
      </w:r>
    </w:p>
    <w:p w:rsidR="00E9205F" w:rsidRDefault="001A7AE3" w:rsidP="003A681F">
      <w:pPr>
        <w:spacing w:line="360" w:lineRule="auto"/>
        <w:ind w:firstLine="426"/>
        <w:jc w:val="both"/>
        <w:rPr>
          <w:rFonts w:eastAsia="Calibri"/>
          <w:sz w:val="24"/>
          <w:szCs w:val="24"/>
        </w:rPr>
      </w:pPr>
      <w:r w:rsidRPr="001A7AE3">
        <w:rPr>
          <w:rFonts w:eastAsia="Calibri"/>
          <w:color w:val="000000"/>
          <w:sz w:val="24"/>
          <w:szCs w:val="24"/>
        </w:rPr>
        <w:t>No obstante, la ausencia de conocimiento o previsión de la realización del tipo, no impide que el autor de una conducta imprudente haya llegado a tener conocimiento sobre el riesgo que la misma podría conllevar. Así, quien causa un resultado imprudente puede haber tenido conciencia de que su acción era peligrosa.</w:t>
      </w:r>
      <w:r w:rsidRPr="001A7AE3">
        <w:rPr>
          <w:rFonts w:eastAsia="Calibri"/>
          <w:color w:val="000000"/>
          <w:sz w:val="24"/>
          <w:szCs w:val="24"/>
          <w:vertAlign w:val="superscript"/>
        </w:rPr>
        <w:footnoteReference w:id="20"/>
      </w:r>
      <w:r w:rsidRPr="001A7AE3">
        <w:rPr>
          <w:rFonts w:eastAsia="Calibri"/>
          <w:color w:val="000000"/>
          <w:sz w:val="24"/>
          <w:szCs w:val="24"/>
        </w:rPr>
        <w:t xml:space="preserve"> El autor no llega a representarse el resultado lesivo como consecuencia de su conducta porque cree que, a pesar de su peligrosidad abstracta, en el caso concreto no va a producir un resultado, bien porque erróneamente no le atribuye a la conducta la suficiente capacidad lesiva, bien porque cree que tiene el control del curso causal y puede evitar el resultado.</w:t>
      </w:r>
      <w:r w:rsidRPr="001A7AE3">
        <w:rPr>
          <w:rFonts w:eastAsia="Calibri"/>
          <w:color w:val="000000"/>
          <w:sz w:val="24"/>
          <w:szCs w:val="24"/>
          <w:vertAlign w:val="superscript"/>
        </w:rPr>
        <w:footnoteReference w:id="21"/>
      </w:r>
      <w:r w:rsidRPr="001A7AE3">
        <w:rPr>
          <w:rFonts w:eastAsia="Calibri"/>
          <w:color w:val="000000"/>
          <w:sz w:val="24"/>
          <w:szCs w:val="24"/>
        </w:rPr>
        <w:t xml:space="preserve"> En estos casos, se dice que la imprudencia es una “imprudencia consciente” o con representación, para diferenciarla de aquellos otros casos en los que, en el momento de la realización del tipo, el autor ni siquiera era consciente de la peligrosidad de su conducta (“imprudencia inconsciente”).</w:t>
      </w:r>
      <w:r w:rsidRPr="001A7AE3">
        <w:rPr>
          <w:rFonts w:eastAsia="Calibri"/>
          <w:color w:val="000000"/>
          <w:sz w:val="24"/>
          <w:szCs w:val="24"/>
          <w:vertAlign w:val="superscript"/>
        </w:rPr>
        <w:footnoteReference w:id="22"/>
      </w:r>
      <w:r w:rsidRPr="001A7AE3">
        <w:rPr>
          <w:rFonts w:eastAsia="Calibri"/>
          <w:color w:val="000000"/>
          <w:sz w:val="24"/>
          <w:szCs w:val="24"/>
        </w:rPr>
        <w:t xml:space="preserve"> Sin embargo, esta categorización de la imprudencia nunca ha tenido reconocimiento legal.</w:t>
      </w:r>
      <w:r w:rsidRPr="001A7AE3">
        <w:rPr>
          <w:rFonts w:eastAsia="Calibri"/>
          <w:color w:val="000000"/>
          <w:sz w:val="24"/>
          <w:szCs w:val="24"/>
          <w:vertAlign w:val="superscript"/>
        </w:rPr>
        <w:footnoteReference w:id="23"/>
      </w:r>
    </w:p>
    <w:p w:rsidR="00E9205F" w:rsidRDefault="001A7AE3" w:rsidP="00E9205F">
      <w:pPr>
        <w:spacing w:after="200" w:line="360" w:lineRule="auto"/>
        <w:ind w:firstLine="426"/>
        <w:jc w:val="both"/>
        <w:rPr>
          <w:rFonts w:eastAsia="Calibri"/>
          <w:sz w:val="24"/>
          <w:szCs w:val="24"/>
        </w:rPr>
      </w:pPr>
      <w:r w:rsidRPr="001A7AE3">
        <w:rPr>
          <w:rFonts w:eastAsia="Calibri"/>
          <w:color w:val="000000"/>
          <w:sz w:val="24"/>
          <w:szCs w:val="24"/>
        </w:rPr>
        <w:lastRenderedPageBreak/>
        <w:t>Por otro lado, el concepto normativo de imprudencia como infracción de las normas de cuidado o diligencia debida entiende que la infracción del deber de cuidado, derivado de las normas de cuidado, está presuponiendo la previsibilidad, puesto que para lo imprevisible no existe deber de cuidado que pueda intentar evitarlo, es decir, no puede exigirse evitar lo que no se puede prever. La imprudencia se compone de dos elementos constitutivos, como son la infracción del deber de cuidado y la previsibilidad.</w:t>
      </w:r>
    </w:p>
    <w:p w:rsidR="00E9205F" w:rsidRDefault="001A7AE3" w:rsidP="00E9205F">
      <w:pPr>
        <w:spacing w:after="200" w:line="360" w:lineRule="auto"/>
        <w:ind w:firstLine="426"/>
        <w:jc w:val="both"/>
        <w:rPr>
          <w:rFonts w:eastAsia="Calibri"/>
          <w:sz w:val="24"/>
          <w:szCs w:val="24"/>
        </w:rPr>
      </w:pPr>
      <w:r w:rsidRPr="001A7AE3">
        <w:rPr>
          <w:rFonts w:eastAsia="Calibri"/>
          <w:color w:val="000000"/>
          <w:sz w:val="24"/>
          <w:szCs w:val="24"/>
        </w:rPr>
        <w:t>Así, además de la imprevisibilidad, se requiere también que se dé la infracción de una norma o deber de cuidado, ya que, aun siendo previsible un resultado, si la conducta del sujeto ha sido diligente, es decir, conforme al deber de cuidado, produciéndose pese a ello el hecho objetivamente típico, no estaremos ante una conducta imprudente, sino que los hechos se han producido en un supuesto de caso fortuito o que se han realizado sin sobrepasar el riesgo permitido</w:t>
      </w:r>
      <w:r w:rsidRPr="001A7AE3">
        <w:rPr>
          <w:rFonts w:eastAsia="Calibri"/>
          <w:color w:val="000000"/>
          <w:sz w:val="24"/>
          <w:szCs w:val="24"/>
          <w:vertAlign w:val="superscript"/>
        </w:rPr>
        <w:footnoteReference w:id="24"/>
      </w:r>
      <w:r w:rsidRPr="001A7AE3">
        <w:rPr>
          <w:rFonts w:eastAsia="Calibri"/>
          <w:color w:val="000000"/>
          <w:sz w:val="24"/>
          <w:szCs w:val="24"/>
        </w:rPr>
        <w:t>.</w:t>
      </w:r>
    </w:p>
    <w:p w:rsidR="00E9205F" w:rsidRDefault="001A7AE3" w:rsidP="00E9205F">
      <w:pPr>
        <w:spacing w:after="200" w:line="360" w:lineRule="auto"/>
        <w:ind w:firstLine="426"/>
        <w:jc w:val="both"/>
        <w:rPr>
          <w:rFonts w:eastAsia="Calibri"/>
          <w:sz w:val="24"/>
          <w:szCs w:val="24"/>
        </w:rPr>
      </w:pPr>
      <w:r w:rsidRPr="001A7AE3">
        <w:rPr>
          <w:rFonts w:eastAsia="Calibri"/>
          <w:color w:val="000000"/>
          <w:sz w:val="24"/>
          <w:szCs w:val="24"/>
        </w:rPr>
        <w:t>En este sentido, la STS 2235/2001, de 30 de noviembre (fundamento de derecho primero) afirma que: “</w:t>
      </w:r>
      <w:r w:rsidRPr="001A7AE3">
        <w:rPr>
          <w:rFonts w:eastAsia="Calibri"/>
          <w:i/>
          <w:color w:val="000000"/>
          <w:sz w:val="24"/>
          <w:szCs w:val="24"/>
        </w:rPr>
        <w:t>La existencia de una conducta imprudente requiere de la confirmación de la existencia de una infracción del deber de cuidado por parte del autor de la conducta negligente, es decir, requiere que su actuación haya determinado la creación de un riesgo no permitido al que pueda ser objetivamente imputado el resultado producido. En realidad, las normas penales no imponen un deber de cuidado distinto del que deriva de la prohibición de desarrollar comportamientos que superen los límites del riesgo permitido, por lo que lo verdaderamente relevante para la imprudencia es la creación por el autor de un riesgo no permitido cuando la posible realización del tipo objetivo es cognoscible o previsible para el autor”.</w:t>
      </w:r>
    </w:p>
    <w:p w:rsidR="00E9205F" w:rsidRDefault="001A7AE3" w:rsidP="00E9205F">
      <w:pPr>
        <w:spacing w:after="200" w:line="360" w:lineRule="auto"/>
        <w:ind w:firstLine="426"/>
        <w:jc w:val="both"/>
        <w:rPr>
          <w:rFonts w:eastAsia="Calibri"/>
          <w:sz w:val="24"/>
          <w:szCs w:val="24"/>
        </w:rPr>
      </w:pPr>
      <w:r w:rsidRPr="001A7AE3">
        <w:rPr>
          <w:rFonts w:eastAsia="Calibri"/>
          <w:color w:val="000000"/>
          <w:sz w:val="24"/>
          <w:szCs w:val="24"/>
        </w:rPr>
        <w:t>El conce</w:t>
      </w:r>
      <w:r w:rsidR="00821F90">
        <w:rPr>
          <w:rFonts w:eastAsia="Calibri"/>
          <w:color w:val="000000"/>
          <w:sz w:val="24"/>
          <w:szCs w:val="24"/>
        </w:rPr>
        <w:t xml:space="preserve">pto normativo de la imprudencia </w:t>
      </w:r>
      <w:r w:rsidRPr="001A7AE3">
        <w:rPr>
          <w:rFonts w:eastAsia="Calibri"/>
          <w:color w:val="000000"/>
          <w:sz w:val="24"/>
          <w:szCs w:val="24"/>
        </w:rPr>
        <w:t>fu</w:t>
      </w:r>
      <w:r w:rsidR="00821F90">
        <w:rPr>
          <w:rFonts w:eastAsia="Calibri"/>
          <w:color w:val="000000"/>
          <w:sz w:val="24"/>
          <w:szCs w:val="24"/>
        </w:rPr>
        <w:t>e el mayoritariamente acogido por doctrina y j</w:t>
      </w:r>
      <w:r w:rsidRPr="001A7AE3">
        <w:rPr>
          <w:rFonts w:eastAsia="Calibri"/>
          <w:color w:val="000000"/>
          <w:sz w:val="24"/>
          <w:szCs w:val="24"/>
        </w:rPr>
        <w:t xml:space="preserve">urisprudencia. No sucede lo mismo con la ubicación sistemática de la imprudencia, al estar la doctrina española dividida según adopten la sistemática causalista o sistemática finalista. </w:t>
      </w:r>
    </w:p>
    <w:p w:rsidR="00E9205F" w:rsidRDefault="001A7AE3" w:rsidP="00E9205F">
      <w:pPr>
        <w:spacing w:after="200" w:line="360" w:lineRule="auto"/>
        <w:ind w:firstLine="426"/>
        <w:jc w:val="both"/>
        <w:rPr>
          <w:rFonts w:eastAsia="Calibri"/>
          <w:sz w:val="24"/>
          <w:szCs w:val="24"/>
        </w:rPr>
      </w:pPr>
      <w:r w:rsidRPr="001A7AE3">
        <w:rPr>
          <w:rFonts w:eastAsia="Calibri"/>
          <w:color w:val="000000"/>
          <w:sz w:val="24"/>
          <w:szCs w:val="24"/>
        </w:rPr>
        <w:t xml:space="preserve">La sistemática finalista entiende la imprudencia como una clase de tipo de injusto. Al igual que en los delitos dolosos, el tipo de injusto se configura  en dos vertientes, es </w:t>
      </w:r>
      <w:r w:rsidRPr="001A7AE3">
        <w:rPr>
          <w:rFonts w:eastAsia="Calibri"/>
          <w:color w:val="000000"/>
          <w:sz w:val="24"/>
          <w:szCs w:val="24"/>
        </w:rPr>
        <w:lastRenderedPageBreak/>
        <w:t xml:space="preserve">decir, la del desvalor de acción y la del desvalor de resultado, siendo ambos esenciales para que exista el tipo. </w:t>
      </w:r>
    </w:p>
    <w:p w:rsidR="00E9205F" w:rsidRDefault="001A7AE3" w:rsidP="00E9205F">
      <w:pPr>
        <w:spacing w:after="200" w:line="360" w:lineRule="auto"/>
        <w:ind w:firstLine="426"/>
        <w:jc w:val="both"/>
        <w:rPr>
          <w:rFonts w:eastAsia="Calibri"/>
          <w:sz w:val="24"/>
          <w:szCs w:val="24"/>
        </w:rPr>
      </w:pPr>
      <w:r w:rsidRPr="001A7AE3">
        <w:rPr>
          <w:rFonts w:eastAsia="Calibri"/>
          <w:color w:val="000000"/>
          <w:sz w:val="24"/>
          <w:szCs w:val="24"/>
        </w:rPr>
        <w:t>En los delitos dolosos el contenido del desvalor de la acción será el conocimiento y la voluntad de la realización de los elementos objetivos del tipo. En los delitos culposos, sin embargo, la actividad del sujeto no va dirigida a la producción del resultado, es decir, el autor no actúa con la voluntad de la realización de los elementos objetivos del tipo. Por tanto, los delitos imprudentes tienen un menor desvalor de la acción en cuanto, aun siendo voluntaria, el autor no es consciente de la lesión o puesta en peligro del  bien jurídico</w:t>
      </w:r>
      <w:r w:rsidRPr="001A7AE3">
        <w:rPr>
          <w:rFonts w:eastAsia="Calibri"/>
          <w:color w:val="000000"/>
          <w:sz w:val="24"/>
          <w:szCs w:val="24"/>
          <w:vertAlign w:val="superscript"/>
        </w:rPr>
        <w:footnoteReference w:id="25"/>
      </w:r>
      <w:r w:rsidRPr="001A7AE3">
        <w:rPr>
          <w:rFonts w:eastAsia="Calibri"/>
          <w:color w:val="000000"/>
          <w:sz w:val="24"/>
          <w:szCs w:val="24"/>
        </w:rPr>
        <w:t>. En este último caso, el sujeto no conoce los elementos del tipo objetivo que, de manera voluntaria, ha llevado a cabo, pero los podía haber previsto, es decir, no hay conocimiento pero sí cognoscibilidad, por lo que ha debido evitar la conducta realizada</w:t>
      </w:r>
      <w:r w:rsidRPr="001A7AE3">
        <w:rPr>
          <w:rFonts w:eastAsia="Calibri"/>
          <w:color w:val="000000"/>
          <w:sz w:val="24"/>
          <w:szCs w:val="24"/>
          <w:vertAlign w:val="superscript"/>
        </w:rPr>
        <w:footnoteReference w:id="26"/>
      </w:r>
      <w:r w:rsidRPr="001A7AE3">
        <w:rPr>
          <w:rFonts w:eastAsia="Calibri"/>
          <w:color w:val="000000"/>
          <w:sz w:val="24"/>
          <w:szCs w:val="24"/>
        </w:rPr>
        <w:t>.</w:t>
      </w:r>
    </w:p>
    <w:p w:rsidR="00E9205F" w:rsidRDefault="001A7AE3" w:rsidP="00E9205F">
      <w:pPr>
        <w:spacing w:after="200" w:line="360" w:lineRule="auto"/>
        <w:ind w:firstLine="426"/>
        <w:jc w:val="both"/>
        <w:rPr>
          <w:rFonts w:eastAsia="Calibri"/>
          <w:sz w:val="24"/>
          <w:szCs w:val="24"/>
        </w:rPr>
      </w:pPr>
      <w:r w:rsidRPr="001A7AE3">
        <w:rPr>
          <w:rFonts w:eastAsia="Calibri"/>
          <w:color w:val="000000"/>
          <w:sz w:val="24"/>
          <w:szCs w:val="24"/>
        </w:rPr>
        <w:t>Llegados a este punto, es preciso aclarar la utilización de diferentes nombres para designar distintas realidades normativas. Se habla, a veces indistintamente, de norma de cuidado, deber de cuidado y reglas de cuidado, cuando a cada uno de estos términos hay que asignarle una significación propia. Mientras la norma de cuidado es la norma penal contenida en los tipos penales, el deber de cuidado determina una de las formas posibles en que se debe realizar la conducta para que ésta sea correcta. Por su parte, las reglas generales de cuidado están basadas en la experiencia peligrosa para bienes jurídico-penales, cuando no existe ningún tipo de reglamentación específica.</w:t>
      </w:r>
    </w:p>
    <w:p w:rsidR="00E9205F" w:rsidRDefault="001A7AE3" w:rsidP="00E9205F">
      <w:pPr>
        <w:spacing w:after="200" w:line="360" w:lineRule="auto"/>
        <w:ind w:firstLine="426"/>
        <w:jc w:val="both"/>
        <w:rPr>
          <w:rFonts w:eastAsia="Calibri"/>
          <w:sz w:val="24"/>
          <w:szCs w:val="24"/>
        </w:rPr>
      </w:pPr>
      <w:r w:rsidRPr="001A7AE3">
        <w:rPr>
          <w:rFonts w:eastAsia="Calibri"/>
          <w:color w:val="000000"/>
          <w:sz w:val="24"/>
          <w:szCs w:val="24"/>
        </w:rPr>
        <w:t>En realidad, el mandato de la norma penal de los delitos imprudentes consiste en ordenar a los ciudadanos que actúen en la vida social conforme a una serie de reglas o deberes con el fin de evitar la lesión o puesta en peligro de ciertos bienes jurídicos.</w:t>
      </w:r>
      <w:r w:rsidR="00E9205F">
        <w:rPr>
          <w:rFonts w:eastAsia="Calibri"/>
          <w:color w:val="000000"/>
          <w:sz w:val="24"/>
          <w:szCs w:val="24"/>
        </w:rPr>
        <w:t xml:space="preserve"> </w:t>
      </w:r>
      <w:r w:rsidRPr="001A7AE3">
        <w:rPr>
          <w:rFonts w:eastAsia="Calibri"/>
          <w:color w:val="000000"/>
          <w:sz w:val="24"/>
          <w:szCs w:val="24"/>
        </w:rPr>
        <w:t>A estas reglas o deberes de cuidado se les denomina deber de cuidado objetivo. Así, la persona que actúa conforme al deber de cuidado objetivo, actúa conforme a la norma.</w:t>
      </w:r>
    </w:p>
    <w:p w:rsidR="00E9205F" w:rsidRDefault="001A7AE3" w:rsidP="00E9205F">
      <w:pPr>
        <w:spacing w:after="200" w:line="360" w:lineRule="auto"/>
        <w:ind w:firstLine="426"/>
        <w:jc w:val="both"/>
        <w:rPr>
          <w:rFonts w:eastAsia="Calibri"/>
          <w:sz w:val="24"/>
          <w:szCs w:val="24"/>
        </w:rPr>
      </w:pPr>
      <w:r w:rsidRPr="001A7AE3">
        <w:rPr>
          <w:rFonts w:eastAsia="Calibri"/>
          <w:color w:val="000000"/>
          <w:sz w:val="24"/>
          <w:szCs w:val="24"/>
        </w:rPr>
        <w:lastRenderedPageBreak/>
        <w:t>Una acción u omisión contraria al deber objetivo de cuidado representa un riesgo no permitido de lesionar un determinado bien jurídico de los que se pretende proteger. De otro modo, el deber objetivo de cuidado supone la transgresión de normas socio-culturales que está demandando la actuación de una forma determinada, e integra el elemento normativo externo. Dichas normas contribuyen a ordenar la convivencia y a que las relaciones sociales se desenvuelvan en términos que no supongan un peligro para la convivencia.</w:t>
      </w:r>
    </w:p>
    <w:p w:rsidR="00E9205F" w:rsidRDefault="001A7AE3" w:rsidP="00E9205F">
      <w:pPr>
        <w:spacing w:after="200" w:line="360" w:lineRule="auto"/>
        <w:ind w:firstLine="426"/>
        <w:jc w:val="both"/>
        <w:rPr>
          <w:rFonts w:eastAsia="Calibri"/>
          <w:sz w:val="24"/>
          <w:szCs w:val="24"/>
        </w:rPr>
      </w:pPr>
      <w:r w:rsidRPr="001A7AE3">
        <w:rPr>
          <w:rFonts w:eastAsia="Calibri"/>
          <w:color w:val="000000"/>
          <w:sz w:val="24"/>
          <w:szCs w:val="24"/>
        </w:rPr>
        <w:t>Por tanto, si una conducta imprudente consiste en la infracción de un deber objetivo de cuidado, habrá que determinar que efectivamente se ha lesionado el deber objetivo para constatar la imprudencia. Si bien, como hemos explicado anteriormente, la lesión del deber objetivo de cuidado es sólo uno de los presupuestos del tipo imprudente, junto al presupuesto de la previsibilidad y la evitabilidad del resultado.</w:t>
      </w:r>
    </w:p>
    <w:p w:rsidR="00E9205F" w:rsidRDefault="001A7AE3" w:rsidP="00E9205F">
      <w:pPr>
        <w:spacing w:after="200" w:line="360" w:lineRule="auto"/>
        <w:ind w:firstLine="426"/>
        <w:jc w:val="both"/>
        <w:rPr>
          <w:rFonts w:eastAsia="Calibri"/>
          <w:sz w:val="24"/>
          <w:szCs w:val="24"/>
        </w:rPr>
      </w:pPr>
      <w:r w:rsidRPr="001A7AE3">
        <w:rPr>
          <w:rFonts w:eastAsia="Calibri"/>
          <w:color w:val="000000"/>
          <w:sz w:val="24"/>
          <w:szCs w:val="24"/>
        </w:rPr>
        <w:t xml:space="preserve">No obstante, el contenido jurídico del deber objetivo de cuidado no está precisado por el legislador, siendo el juez el que debe valorar, en cada caso concreto, si hubo o no infracción del deber objetivo de cuidado. </w:t>
      </w:r>
    </w:p>
    <w:p w:rsidR="00E9205F" w:rsidRDefault="001A7AE3" w:rsidP="00E9205F">
      <w:pPr>
        <w:spacing w:after="200" w:line="360" w:lineRule="auto"/>
        <w:ind w:firstLine="426"/>
        <w:jc w:val="both"/>
        <w:rPr>
          <w:rFonts w:eastAsia="Calibri"/>
          <w:sz w:val="24"/>
          <w:szCs w:val="24"/>
        </w:rPr>
      </w:pPr>
      <w:r w:rsidRPr="001A7AE3">
        <w:rPr>
          <w:rFonts w:eastAsia="Calibri"/>
          <w:color w:val="000000"/>
          <w:sz w:val="24"/>
          <w:szCs w:val="24"/>
        </w:rPr>
        <w:t>Si bien, el cuidado objetivamente debido se configura como un concepto objetivo y normativo, es decir, se establecen los criterios que determinan cual es el cuidado necesario en el ámbito de relación con independencia del autor en concreto.</w:t>
      </w:r>
      <w:r w:rsidRPr="001A7AE3">
        <w:rPr>
          <w:rFonts w:eastAsia="Calibri"/>
          <w:sz w:val="24"/>
          <w:szCs w:val="24"/>
        </w:rPr>
        <w:t xml:space="preserve"> </w:t>
      </w:r>
      <w:r w:rsidRPr="001A7AE3">
        <w:rPr>
          <w:rFonts w:eastAsia="Calibri"/>
          <w:color w:val="000000"/>
          <w:sz w:val="24"/>
          <w:szCs w:val="24"/>
        </w:rPr>
        <w:t xml:space="preserve">Dicho de otro modo, el cuidado necesario se configura en base a la conducta que seguiría un hombre inteligente y prudente en la situación del autor. </w:t>
      </w:r>
      <w:r w:rsidR="00821F90">
        <w:rPr>
          <w:rFonts w:eastAsia="Calibri"/>
          <w:sz w:val="24"/>
          <w:szCs w:val="24"/>
        </w:rPr>
        <w:t xml:space="preserve">Según Torío </w:t>
      </w:r>
      <w:r w:rsidRPr="001A7AE3">
        <w:rPr>
          <w:rFonts w:eastAsia="Calibri"/>
          <w:sz w:val="24"/>
          <w:szCs w:val="24"/>
        </w:rPr>
        <w:t>“</w:t>
      </w:r>
      <w:r w:rsidRPr="001A7AE3">
        <w:rPr>
          <w:rFonts w:eastAsia="Calibri"/>
          <w:i/>
          <w:iCs/>
          <w:sz w:val="24"/>
          <w:szCs w:val="24"/>
        </w:rPr>
        <w:t>el deber objetivo de cuidado es (...) una noción compleja, cuya unidad está constituida por momentos fácticos (descriptivos: creación o aumento de un peligro para el bien jurídico protegido) y normativos (valorativos: desaprobación por el derecho)</w:t>
      </w:r>
      <w:r w:rsidRPr="001A7AE3">
        <w:rPr>
          <w:rFonts w:eastAsia="Calibri"/>
          <w:sz w:val="24"/>
          <w:szCs w:val="24"/>
        </w:rPr>
        <w:t>”</w:t>
      </w:r>
      <w:r w:rsidRPr="001A7AE3">
        <w:rPr>
          <w:rFonts w:eastAsia="Calibri"/>
          <w:sz w:val="24"/>
          <w:szCs w:val="24"/>
          <w:vertAlign w:val="superscript"/>
        </w:rPr>
        <w:footnoteReference w:id="27"/>
      </w:r>
    </w:p>
    <w:p w:rsidR="00E9205F" w:rsidRDefault="001A7AE3" w:rsidP="00E9205F">
      <w:pPr>
        <w:spacing w:after="200" w:line="360" w:lineRule="auto"/>
        <w:ind w:firstLine="426"/>
        <w:jc w:val="both"/>
        <w:rPr>
          <w:rFonts w:eastAsia="Calibri"/>
          <w:sz w:val="24"/>
          <w:szCs w:val="24"/>
        </w:rPr>
      </w:pPr>
      <w:r w:rsidRPr="001A7AE3">
        <w:rPr>
          <w:rFonts w:eastAsia="Calibri"/>
          <w:color w:val="000000"/>
          <w:sz w:val="24"/>
          <w:szCs w:val="24"/>
        </w:rPr>
        <w:t xml:space="preserve">El juez efectuará la valoración según estos principios, como son el concepto objetivo y normativo del deber de cuidado objetivo, en comparación con la conducta ejercitada por el autor, para así determinar si ha existido correspondencia entre ambas. Por tanto, el deber de cuidado objetivo se determina tomando en consideración los elementos fácticos que concurren en el caso concreto y la capacidad del autor.  </w:t>
      </w:r>
    </w:p>
    <w:p w:rsidR="001A7AE3" w:rsidRPr="00E9205F" w:rsidRDefault="001A7AE3" w:rsidP="00E9205F">
      <w:pPr>
        <w:spacing w:after="200" w:line="360" w:lineRule="auto"/>
        <w:ind w:firstLine="426"/>
        <w:jc w:val="both"/>
        <w:rPr>
          <w:rFonts w:eastAsia="Calibri"/>
          <w:sz w:val="24"/>
          <w:szCs w:val="24"/>
        </w:rPr>
      </w:pPr>
      <w:r w:rsidRPr="001A7AE3">
        <w:rPr>
          <w:rFonts w:eastAsia="Calibri"/>
          <w:color w:val="000000"/>
          <w:sz w:val="24"/>
          <w:szCs w:val="24"/>
        </w:rPr>
        <w:lastRenderedPageBreak/>
        <w:t>Además, en la configuración del deber objetivo de cuidado desempeñan un papel fundamental algunos principios creados jurisprudencial o legislativamente:</w:t>
      </w:r>
    </w:p>
    <w:p w:rsidR="001A7AE3" w:rsidRPr="001A7AE3" w:rsidRDefault="001A7AE3" w:rsidP="00821F90">
      <w:pPr>
        <w:spacing w:after="200" w:line="360" w:lineRule="auto"/>
        <w:ind w:left="426"/>
        <w:jc w:val="both"/>
        <w:rPr>
          <w:rFonts w:eastAsia="Calibri"/>
          <w:color w:val="000000"/>
          <w:sz w:val="24"/>
          <w:szCs w:val="24"/>
        </w:rPr>
      </w:pPr>
      <w:r w:rsidRPr="001A7AE3">
        <w:rPr>
          <w:rFonts w:eastAsia="Calibri"/>
          <w:color w:val="000000"/>
          <w:sz w:val="24"/>
          <w:szCs w:val="24"/>
        </w:rPr>
        <w:t xml:space="preserve">a) Criterio de la previsibilidad “ex ante”: Consiste en la valoración, anterior a la conducta, de la previsibilidad del resultado típico y su nexo causal con la misma. Nos permite determinar el tipo de riesgo prohibido creado y la gravedad de la infracción cometida. </w:t>
      </w:r>
    </w:p>
    <w:p w:rsidR="001A7AE3" w:rsidRPr="001A7AE3" w:rsidRDefault="001A7AE3" w:rsidP="00821F90">
      <w:pPr>
        <w:spacing w:after="200" w:line="360" w:lineRule="auto"/>
        <w:ind w:left="426"/>
        <w:jc w:val="both"/>
        <w:rPr>
          <w:rFonts w:eastAsia="Calibri"/>
          <w:color w:val="000000"/>
          <w:sz w:val="24"/>
          <w:szCs w:val="24"/>
        </w:rPr>
      </w:pPr>
      <w:r w:rsidRPr="001A7AE3">
        <w:rPr>
          <w:rFonts w:eastAsia="Calibri"/>
          <w:color w:val="000000"/>
          <w:sz w:val="24"/>
          <w:szCs w:val="24"/>
        </w:rPr>
        <w:t>b) Juicio de previsibilidad objetiva: Consiste en colocar a una persona inteligente en la posición del autor, en la misma situación y bajo las mismas circunstancias, teniendo en cuenta las circunstancias cognoscibles por las mismas y por el autor, así como la experiencia común de la época sobre los cursos causales. Nos permite obtener una ponderación de los intereses en juego de la que surge la decisión de la utilidad de la acción teniendo como base la prohibición de la conducta.</w:t>
      </w:r>
    </w:p>
    <w:p w:rsidR="001A7AE3" w:rsidRPr="001A7AE3" w:rsidRDefault="001A7AE3" w:rsidP="00821F90">
      <w:pPr>
        <w:spacing w:after="200" w:line="360" w:lineRule="auto"/>
        <w:ind w:left="426"/>
        <w:jc w:val="both"/>
        <w:rPr>
          <w:rFonts w:eastAsia="Calibri"/>
          <w:color w:val="000000"/>
          <w:sz w:val="24"/>
          <w:szCs w:val="24"/>
        </w:rPr>
      </w:pPr>
      <w:r w:rsidRPr="001A7AE3">
        <w:rPr>
          <w:rFonts w:eastAsia="Calibri"/>
          <w:color w:val="000000"/>
          <w:sz w:val="24"/>
          <w:szCs w:val="24"/>
        </w:rPr>
        <w:t xml:space="preserve">c) Principio de confianza: Fundamenta la no necesidad de prever la infracción del cuidado debido por otras personas, por la confianza en que otros no hubieran infringido, salvo que existan circunstancias en el caso concreto que lleven a pensar lo contrario. Este principio conecta, indudablemente, con el riesgo permitido, ya que precisamente surgió para delimitar el deber objetivo de cuidado y el riesgo permitido. Nos permite determinar el cuidado debido en las situaciones en las que no se encuentra ya expresamente regulado, y como parte de la ponderación de intereses. </w:t>
      </w:r>
    </w:p>
    <w:p w:rsidR="00B303F6" w:rsidRDefault="001A7AE3" w:rsidP="00B303F6">
      <w:pPr>
        <w:spacing w:after="200" w:line="360" w:lineRule="auto"/>
        <w:ind w:firstLine="426"/>
        <w:jc w:val="both"/>
        <w:rPr>
          <w:rFonts w:eastAsia="Calibri"/>
          <w:color w:val="000000"/>
          <w:sz w:val="24"/>
          <w:szCs w:val="24"/>
        </w:rPr>
      </w:pPr>
      <w:r w:rsidRPr="001A7AE3">
        <w:rPr>
          <w:rFonts w:eastAsia="Calibri"/>
          <w:color w:val="000000"/>
          <w:sz w:val="24"/>
          <w:szCs w:val="24"/>
        </w:rPr>
        <w:t xml:space="preserve">Conforme a este último principio, está permitido llevar a cabo actividades cotidianas sujetándose a las reglas generales de convivencia pacífica bajo la presunción que los demás participantes de las mismas también acatarán las normas establecidas en ese concreto campo en el que se actúa. Se encuadra, por lo tanto, en situaciones en las que hay una intervención de varios sujetos en la creación del riesgo. Mediante este principio se pueden delimitar los riesgos que a pesar de proceder de tercero o de la víctima son atribuibles al autor. </w:t>
      </w:r>
    </w:p>
    <w:p w:rsidR="00B303F6" w:rsidRDefault="001A7AE3" w:rsidP="00B303F6">
      <w:pPr>
        <w:spacing w:after="200" w:line="360" w:lineRule="auto"/>
        <w:ind w:firstLine="426"/>
        <w:jc w:val="both"/>
        <w:rPr>
          <w:rFonts w:eastAsia="Calibri"/>
          <w:color w:val="000000"/>
          <w:sz w:val="24"/>
          <w:szCs w:val="24"/>
        </w:rPr>
      </w:pPr>
      <w:r w:rsidRPr="001A7AE3">
        <w:rPr>
          <w:rFonts w:eastAsia="Calibri"/>
          <w:color w:val="000000"/>
          <w:sz w:val="24"/>
          <w:szCs w:val="24"/>
        </w:rPr>
        <w:t xml:space="preserve">La doctrina al perfilar este principio ha indicado sus límites. De manera que, sólo operará cuando la conducta del sujeto se amolde al deber objetivo de cuidado y sea diligente en su actuar. Además, si existen inequívocos elementos de juicio (indicios claros y concretos) que permitan inferir una conducta no reglamentaria por parte de un </w:t>
      </w:r>
      <w:r w:rsidRPr="001A7AE3">
        <w:rPr>
          <w:rFonts w:eastAsia="Calibri"/>
          <w:color w:val="000000"/>
          <w:sz w:val="24"/>
          <w:szCs w:val="24"/>
        </w:rPr>
        <w:lastRenderedPageBreak/>
        <w:t xml:space="preserve">tercero, siendo previsible el fallo del tercero o de la víctima, el sujeto no podrá ampararse en el principio de confianza. </w:t>
      </w:r>
    </w:p>
    <w:p w:rsidR="00B303F6" w:rsidRDefault="001A7AE3" w:rsidP="00B303F6">
      <w:pPr>
        <w:spacing w:after="200" w:line="360" w:lineRule="auto"/>
        <w:ind w:firstLine="426"/>
        <w:jc w:val="both"/>
        <w:rPr>
          <w:rFonts w:eastAsia="Calibri"/>
          <w:color w:val="000000"/>
          <w:sz w:val="24"/>
          <w:szCs w:val="24"/>
        </w:rPr>
      </w:pPr>
      <w:r w:rsidRPr="001A7AE3">
        <w:rPr>
          <w:rFonts w:eastAsia="Calibri"/>
          <w:color w:val="000000"/>
          <w:sz w:val="24"/>
          <w:szCs w:val="24"/>
        </w:rPr>
        <w:t xml:space="preserve">En esta línea, siguiendo con la estructura del finalismo, constatada la infracción del deber objetivo de cuidado, se declarará la tipicidad y antijuricidad del hecho, dejando el juicio de reproche individual del agente por no haber observado el cuidado objetivo al exigible en la situación concreta en sede de culpabilidad. Es en la culpabilidad, donde se valorará, por tanto, el deber subjetivo de cuidado o deber de cuidado individual. </w:t>
      </w:r>
    </w:p>
    <w:p w:rsidR="00B303F6" w:rsidRDefault="001A7AE3" w:rsidP="00B303F6">
      <w:pPr>
        <w:spacing w:after="200" w:line="360" w:lineRule="auto"/>
        <w:ind w:firstLine="426"/>
        <w:jc w:val="both"/>
        <w:rPr>
          <w:rFonts w:eastAsia="Calibri"/>
          <w:color w:val="000000"/>
          <w:sz w:val="24"/>
          <w:szCs w:val="24"/>
        </w:rPr>
      </w:pPr>
      <w:r w:rsidRPr="001A7AE3">
        <w:rPr>
          <w:rFonts w:eastAsia="Calibri"/>
          <w:sz w:val="24"/>
          <w:szCs w:val="24"/>
        </w:rPr>
        <w:t xml:space="preserve">No obstante, la naturaleza objetiva o subjetiva del deber de cuidado es muy discutida por la </w:t>
      </w:r>
      <w:r w:rsidRPr="001A7AE3">
        <w:rPr>
          <w:rFonts w:eastAsia="Calibri"/>
          <w:color w:val="000000"/>
          <w:sz w:val="24"/>
          <w:szCs w:val="24"/>
        </w:rPr>
        <w:t>doctrina. Dice Quintano Ripollés que “</w:t>
      </w:r>
      <w:r w:rsidRPr="001A7AE3">
        <w:rPr>
          <w:rFonts w:eastAsia="Calibri"/>
          <w:i/>
          <w:iCs/>
          <w:color w:val="000000"/>
          <w:sz w:val="24"/>
          <w:szCs w:val="24"/>
        </w:rPr>
        <w:t>la caracterización más acertada de la naturaleza de la culpa es la normativa. El juzgador deberá precisar qué es lo debido o indebido en el caso concreto. No hay, por tanto, un tipo subjetivo en los delitos imprudentes</w:t>
      </w:r>
      <w:r w:rsidRPr="001A7AE3">
        <w:rPr>
          <w:rFonts w:eastAsia="Calibri"/>
          <w:color w:val="000000"/>
          <w:sz w:val="24"/>
          <w:szCs w:val="24"/>
        </w:rPr>
        <w:t>”</w:t>
      </w:r>
      <w:r w:rsidRPr="001A7AE3">
        <w:rPr>
          <w:rFonts w:eastAsia="Calibri"/>
          <w:color w:val="000000"/>
          <w:sz w:val="24"/>
          <w:szCs w:val="24"/>
          <w:vertAlign w:val="superscript"/>
        </w:rPr>
        <w:footnoteReference w:id="28"/>
      </w:r>
      <w:r w:rsidRPr="001A7AE3">
        <w:rPr>
          <w:rFonts w:eastAsia="Calibri"/>
          <w:color w:val="000000"/>
          <w:sz w:val="24"/>
          <w:szCs w:val="24"/>
        </w:rPr>
        <w:t>. Por el contrario, Struensee defiende la existencia de un deber subjetivo de cuidado y afirma que “</w:t>
      </w:r>
      <w:r w:rsidRPr="001A7AE3">
        <w:rPr>
          <w:rFonts w:eastAsia="Calibri"/>
          <w:i/>
          <w:iCs/>
          <w:color w:val="000000"/>
          <w:sz w:val="24"/>
          <w:szCs w:val="24"/>
        </w:rPr>
        <w:t>en la valoración del deber de cuidado, del riesgo permitido, no se puede prescindir del conocimiento del autor</w:t>
      </w:r>
      <w:r w:rsidRPr="001A7AE3">
        <w:rPr>
          <w:rFonts w:eastAsia="Calibri"/>
          <w:color w:val="000000"/>
          <w:sz w:val="24"/>
          <w:szCs w:val="24"/>
        </w:rPr>
        <w:t>”</w:t>
      </w:r>
      <w:r w:rsidRPr="001A7AE3">
        <w:rPr>
          <w:rFonts w:eastAsia="Calibri"/>
          <w:color w:val="000000"/>
          <w:sz w:val="24"/>
          <w:szCs w:val="24"/>
          <w:vertAlign w:val="superscript"/>
        </w:rPr>
        <w:footnoteReference w:id="29"/>
      </w:r>
      <w:r w:rsidRPr="001A7AE3">
        <w:rPr>
          <w:rFonts w:eastAsia="Calibri"/>
          <w:color w:val="000000"/>
          <w:sz w:val="24"/>
          <w:szCs w:val="24"/>
        </w:rPr>
        <w:t>.</w:t>
      </w:r>
    </w:p>
    <w:p w:rsidR="00B303F6" w:rsidRDefault="001A7AE3" w:rsidP="00B303F6">
      <w:pPr>
        <w:spacing w:after="200" w:line="360" w:lineRule="auto"/>
        <w:ind w:firstLine="426"/>
        <w:jc w:val="both"/>
        <w:rPr>
          <w:rFonts w:eastAsia="Calibri"/>
          <w:color w:val="000000"/>
          <w:sz w:val="24"/>
          <w:szCs w:val="24"/>
        </w:rPr>
      </w:pPr>
      <w:r w:rsidRPr="001A7AE3">
        <w:rPr>
          <w:rFonts w:eastAsia="Calibri"/>
          <w:color w:val="000000"/>
          <w:sz w:val="24"/>
          <w:szCs w:val="24"/>
        </w:rPr>
        <w:t xml:space="preserve">La conducta imprudente equivale a una acción u omisión voluntaria desprovista de todo dolo directo o eventual. De modo que, se requiere, como elemento subjetivo, la inobservancia de las posibles consecuencias lesivas que entraña la conducta, siempre previsibles, prevenibles y evitables; una actuación negligente o reprochable por falta de previsión. </w:t>
      </w:r>
    </w:p>
    <w:p w:rsidR="00B303F6" w:rsidRDefault="00B303F6" w:rsidP="00B303F6">
      <w:pPr>
        <w:spacing w:after="200" w:line="360" w:lineRule="auto"/>
        <w:ind w:firstLine="426"/>
        <w:jc w:val="both"/>
        <w:rPr>
          <w:rFonts w:eastAsia="Calibri"/>
          <w:color w:val="000000"/>
          <w:sz w:val="24"/>
          <w:szCs w:val="24"/>
        </w:rPr>
      </w:pPr>
      <w:r>
        <w:rPr>
          <w:rFonts w:eastAsia="Calibri"/>
          <w:color w:val="000000"/>
          <w:sz w:val="24"/>
          <w:szCs w:val="24"/>
        </w:rPr>
        <w:t>En consecuencia</w:t>
      </w:r>
      <w:r w:rsidR="00821F90">
        <w:rPr>
          <w:rFonts w:eastAsia="Calibri"/>
          <w:color w:val="000000"/>
          <w:sz w:val="24"/>
          <w:szCs w:val="24"/>
        </w:rPr>
        <w:t>, h</w:t>
      </w:r>
      <w:r w:rsidR="001A7AE3" w:rsidRPr="001A7AE3">
        <w:rPr>
          <w:rFonts w:eastAsia="Calibri"/>
          <w:color w:val="000000"/>
          <w:sz w:val="24"/>
          <w:szCs w:val="24"/>
        </w:rPr>
        <w:t xml:space="preserve">abrá que valorar si en el actuar negligente, propiciador del riesgo, el sujeto tuvo en cuenta la racional y lógica visión de las consecuencias nocivas de la acción u omisión desarrollada, teniendo en cuenta los componentes personales del autor y las circunstancias del hecho. </w:t>
      </w:r>
    </w:p>
    <w:p w:rsidR="00B303F6" w:rsidRDefault="00821F90" w:rsidP="00B303F6">
      <w:pPr>
        <w:spacing w:after="200" w:line="360" w:lineRule="auto"/>
        <w:ind w:firstLine="426"/>
        <w:jc w:val="both"/>
        <w:rPr>
          <w:rFonts w:eastAsia="Calibri"/>
          <w:color w:val="000000"/>
          <w:sz w:val="24"/>
          <w:szCs w:val="24"/>
        </w:rPr>
      </w:pPr>
      <w:r>
        <w:rPr>
          <w:rFonts w:eastAsia="Calibri"/>
          <w:iCs/>
          <w:color w:val="000000"/>
          <w:sz w:val="24"/>
          <w:szCs w:val="24"/>
        </w:rPr>
        <w:t>En efecto, l</w:t>
      </w:r>
      <w:r w:rsidR="001A7AE3" w:rsidRPr="001A7AE3">
        <w:rPr>
          <w:rFonts w:eastAsia="Calibri"/>
          <w:iCs/>
          <w:color w:val="000000"/>
          <w:sz w:val="24"/>
          <w:szCs w:val="24"/>
        </w:rPr>
        <w:t xml:space="preserve">a imprudencia punible </w:t>
      </w:r>
      <w:r w:rsidR="001A7AE3" w:rsidRPr="001A7AE3">
        <w:rPr>
          <w:rFonts w:eastAsia="Calibri"/>
          <w:i/>
          <w:iCs/>
          <w:color w:val="000000"/>
          <w:sz w:val="24"/>
          <w:szCs w:val="24"/>
        </w:rPr>
        <w:t xml:space="preserve">“se comporta como elemento de la antijuridicidad de la omisión del deber objetivo de cuidado con que siempre debe actuar el hombre consciente, de tal modo que las particulares circunstancias personales que concurran en el sujeto, con relevancia en los planos de la previsibilidad </w:t>
      </w:r>
      <w:r w:rsidR="001A7AE3" w:rsidRPr="001A7AE3">
        <w:rPr>
          <w:rFonts w:eastAsia="Calibri"/>
          <w:i/>
          <w:iCs/>
          <w:color w:val="000000"/>
          <w:sz w:val="24"/>
          <w:szCs w:val="24"/>
        </w:rPr>
        <w:lastRenderedPageBreak/>
        <w:t>y de la evitabilidad de los efectos nocivos de su conducta, únicamente pueden encontrar adecuado relejo en el marco de la culpabilidad</w:t>
      </w:r>
      <w:r w:rsidR="001A7AE3" w:rsidRPr="001A7AE3">
        <w:rPr>
          <w:rFonts w:eastAsia="Calibri"/>
          <w:color w:val="000000"/>
          <w:sz w:val="24"/>
          <w:szCs w:val="24"/>
        </w:rPr>
        <w:t>”</w:t>
      </w:r>
      <w:r w:rsidR="001A7AE3" w:rsidRPr="001A7AE3">
        <w:rPr>
          <w:rFonts w:eastAsia="Calibri"/>
          <w:color w:val="000000"/>
          <w:sz w:val="24"/>
          <w:szCs w:val="24"/>
          <w:vertAlign w:val="superscript"/>
        </w:rPr>
        <w:footnoteReference w:id="30"/>
      </w:r>
      <w:r w:rsidR="001A7AE3" w:rsidRPr="001A7AE3">
        <w:rPr>
          <w:rFonts w:eastAsia="Calibri"/>
          <w:color w:val="000000"/>
          <w:sz w:val="24"/>
          <w:szCs w:val="24"/>
        </w:rPr>
        <w:t>.</w:t>
      </w:r>
    </w:p>
    <w:p w:rsidR="00B303F6" w:rsidRDefault="001A7AE3" w:rsidP="00B303F6">
      <w:pPr>
        <w:spacing w:after="200" w:line="360" w:lineRule="auto"/>
        <w:ind w:firstLine="426"/>
        <w:jc w:val="both"/>
        <w:rPr>
          <w:rFonts w:eastAsia="Calibri"/>
          <w:color w:val="000000"/>
          <w:sz w:val="24"/>
          <w:szCs w:val="24"/>
        </w:rPr>
      </w:pPr>
      <w:r w:rsidRPr="001A7AE3">
        <w:rPr>
          <w:rFonts w:eastAsia="Calibri"/>
          <w:color w:val="000000"/>
          <w:sz w:val="24"/>
          <w:szCs w:val="24"/>
        </w:rPr>
        <w:t>De manera que, la doctrina viene considerando que en el delito imprudente, la gravedad del injusto</w:t>
      </w:r>
      <w:r w:rsidRPr="001A7AE3">
        <w:rPr>
          <w:rFonts w:eastAsia="Calibri"/>
          <w:color w:val="000000"/>
          <w:sz w:val="24"/>
          <w:szCs w:val="24"/>
          <w:vertAlign w:val="superscript"/>
        </w:rPr>
        <w:footnoteReference w:id="31"/>
      </w:r>
      <w:r w:rsidRPr="001A7AE3">
        <w:rPr>
          <w:rFonts w:eastAsia="Calibri"/>
          <w:color w:val="000000"/>
          <w:sz w:val="24"/>
          <w:szCs w:val="24"/>
        </w:rPr>
        <w:t>, depende de la entidad de la infracción del deber objetivo y subjetivo de cuidado y de la clase de bien jurídico afectado, siendo más grave la infracción del deber objetivo de cuidado, cuando mayor sea el riesgo generado por la infracción, así como, será también más grave la imprudencia que incida sobre la vida o la integridad física de las personas que la que recae sobre bienes jurídicos patrimoniales.</w:t>
      </w:r>
    </w:p>
    <w:p w:rsidR="00B303F6" w:rsidRDefault="001A7AE3" w:rsidP="00B303F6">
      <w:pPr>
        <w:spacing w:after="200" w:line="360" w:lineRule="auto"/>
        <w:ind w:firstLine="426"/>
        <w:jc w:val="both"/>
        <w:rPr>
          <w:rFonts w:eastAsia="Calibri"/>
          <w:color w:val="000000"/>
          <w:sz w:val="24"/>
          <w:szCs w:val="24"/>
        </w:rPr>
      </w:pPr>
      <w:r w:rsidRPr="001A7AE3">
        <w:rPr>
          <w:rFonts w:eastAsia="Calibri"/>
          <w:color w:val="000000"/>
          <w:sz w:val="24"/>
          <w:szCs w:val="24"/>
        </w:rPr>
        <w:t>Así, el desarrollo de una actividad que la experiencia común ha demostrado  peligrosa de no ejercitarse con toda precaución, atención y observancia de las reglas que la prudencia y el ordenamiento legal exigen como el más elemental y primario cuidado, desatendiendo esta experiencia común, esa normativa legal y la propia vida en sociedad, provocado un daño sobrevenido puede calificarse como imprudencia grave.</w:t>
      </w:r>
    </w:p>
    <w:p w:rsidR="00B303F6" w:rsidRDefault="001A7AE3" w:rsidP="00B303F6">
      <w:pPr>
        <w:spacing w:after="200" w:line="360" w:lineRule="auto"/>
        <w:ind w:firstLine="426"/>
        <w:jc w:val="both"/>
        <w:rPr>
          <w:rFonts w:eastAsia="Calibri"/>
          <w:color w:val="000000"/>
          <w:sz w:val="24"/>
          <w:szCs w:val="24"/>
        </w:rPr>
      </w:pPr>
      <w:r w:rsidRPr="001A7AE3">
        <w:rPr>
          <w:rFonts w:eastAsia="Calibri"/>
          <w:color w:val="000000"/>
          <w:sz w:val="24"/>
          <w:szCs w:val="24"/>
        </w:rPr>
        <w:t>Por tanto, constatada la infracción del deber de cuidado objetivo y, por tanto, declarada la tipicidad y antijuricidad del hecho pasará a constatarse la existencia de relación de causalidad entre el hecho típicamente antijurídico y el resultado producido, es decir, confirmar que el resultado haya sido causado por la i</w:t>
      </w:r>
      <w:r w:rsidR="00B303F6">
        <w:rPr>
          <w:rFonts w:eastAsia="Calibri"/>
          <w:color w:val="000000"/>
          <w:sz w:val="24"/>
          <w:szCs w:val="24"/>
        </w:rPr>
        <w:t>nfracción del deber de cuidado.</w:t>
      </w:r>
    </w:p>
    <w:p w:rsidR="00B303F6" w:rsidRDefault="001A7AE3" w:rsidP="00B303F6">
      <w:pPr>
        <w:spacing w:after="200" w:line="360" w:lineRule="auto"/>
        <w:ind w:firstLine="426"/>
        <w:jc w:val="both"/>
        <w:rPr>
          <w:rFonts w:eastAsia="Calibri"/>
          <w:color w:val="000000"/>
          <w:sz w:val="24"/>
          <w:szCs w:val="24"/>
        </w:rPr>
      </w:pPr>
      <w:r w:rsidRPr="001A7AE3">
        <w:rPr>
          <w:rFonts w:eastAsia="Calibri"/>
          <w:color w:val="000000"/>
          <w:sz w:val="24"/>
          <w:szCs w:val="24"/>
        </w:rPr>
        <w:t xml:space="preserve">Deberá entonces analizarse si el hecho puede ser imputado objetivamente al autor, debiéndose ver si la conducta ha superado el riesgo permitido, si el resultado producido era precisamente el que la norma quería evitar, y si el resultado no se hubiera producido de haber actuado diligentemente </w:t>
      </w:r>
    </w:p>
    <w:p w:rsidR="00B303F6" w:rsidRDefault="001A7AE3" w:rsidP="00B303F6">
      <w:pPr>
        <w:spacing w:after="200" w:line="360" w:lineRule="auto"/>
        <w:ind w:firstLine="426"/>
        <w:jc w:val="both"/>
        <w:rPr>
          <w:rFonts w:eastAsia="Calibri"/>
          <w:color w:val="000000"/>
          <w:sz w:val="24"/>
          <w:szCs w:val="24"/>
        </w:rPr>
      </w:pPr>
      <w:r w:rsidRPr="001A7AE3">
        <w:rPr>
          <w:rFonts w:eastAsia="Calibri"/>
          <w:color w:val="000000"/>
          <w:sz w:val="24"/>
          <w:szCs w:val="24"/>
        </w:rPr>
        <w:t xml:space="preserve">Finalmente, si se declara que la conducta puede ser imputada objetivamente al autor se analizara en sede de culpabilidad la imputabilidad subjetiva, es decir, se analizará si </w:t>
      </w:r>
      <w:r w:rsidRPr="001A7AE3">
        <w:rPr>
          <w:rFonts w:eastAsia="Calibri"/>
          <w:color w:val="000000"/>
          <w:sz w:val="24"/>
          <w:szCs w:val="24"/>
        </w:rPr>
        <w:lastRenderedPageBreak/>
        <w:t>esa conducta puede serle atribuida al autor teniendo en cuenta sus condiciones y características personales.</w:t>
      </w:r>
    </w:p>
    <w:p w:rsidR="001A7AE3" w:rsidRPr="001A7AE3" w:rsidRDefault="001A7AE3" w:rsidP="00B303F6">
      <w:pPr>
        <w:spacing w:after="200" w:line="360" w:lineRule="auto"/>
        <w:ind w:firstLine="426"/>
        <w:jc w:val="both"/>
        <w:rPr>
          <w:rFonts w:eastAsia="Calibri"/>
          <w:color w:val="000000"/>
          <w:sz w:val="24"/>
          <w:szCs w:val="24"/>
        </w:rPr>
      </w:pPr>
      <w:r w:rsidRPr="001A7AE3">
        <w:rPr>
          <w:rFonts w:eastAsia="Calibri"/>
          <w:color w:val="000000"/>
          <w:sz w:val="24"/>
          <w:szCs w:val="24"/>
        </w:rPr>
        <w:t>En síntesis, el tipo del delito imprudente está determinado por la divergencia entre la acción u omisión que se lleva a cabo por el sujeto y la que debería haber llevado a cabo de haber tenido en cuenta el deber de cuidado que objetivamente era necesario. La conducta imprudente supone un resultado lesivo y previsible, en la inobservancia del deber de cuidado que el ordenamiento legal y las reglas que impone la convivencia de las personas exigen cuando se desarrolla una actividad peligrosa susceptible de ocasionar daños.</w:t>
      </w:r>
    </w:p>
    <w:p w:rsidR="001A7AE3" w:rsidRPr="001A7AE3" w:rsidRDefault="001A7AE3" w:rsidP="00EA0579">
      <w:pPr>
        <w:spacing w:after="200" w:line="360" w:lineRule="auto"/>
        <w:jc w:val="both"/>
        <w:rPr>
          <w:rFonts w:eastAsia="Calibri"/>
          <w:color w:val="000000"/>
          <w:sz w:val="24"/>
          <w:szCs w:val="24"/>
        </w:rPr>
      </w:pPr>
      <w:r w:rsidRPr="001A7AE3">
        <w:rPr>
          <w:rFonts w:eastAsia="Calibri"/>
          <w:b/>
          <w:bCs/>
          <w:sz w:val="24"/>
          <w:szCs w:val="24"/>
        </w:rPr>
        <w:t>6. CLASES DE IMPRUDENCIA</w:t>
      </w:r>
    </w:p>
    <w:p w:rsidR="001A7AE3" w:rsidRPr="001A7AE3" w:rsidRDefault="001A7AE3" w:rsidP="00EA0579">
      <w:pPr>
        <w:spacing w:after="200" w:line="360" w:lineRule="auto"/>
        <w:ind w:left="567"/>
        <w:jc w:val="both"/>
        <w:rPr>
          <w:rFonts w:eastAsia="Calibri"/>
          <w:b/>
          <w:bCs/>
          <w:sz w:val="24"/>
          <w:szCs w:val="24"/>
        </w:rPr>
      </w:pPr>
      <w:r w:rsidRPr="001A7AE3">
        <w:rPr>
          <w:rFonts w:eastAsia="Calibri"/>
          <w:b/>
          <w:bCs/>
          <w:sz w:val="24"/>
          <w:szCs w:val="24"/>
        </w:rPr>
        <w:t>6.1. Regulación anterior a la Reforma</w:t>
      </w:r>
    </w:p>
    <w:p w:rsidR="00524691" w:rsidRDefault="001A7AE3" w:rsidP="00524691">
      <w:pPr>
        <w:spacing w:after="200" w:line="360" w:lineRule="auto"/>
        <w:ind w:firstLine="426"/>
        <w:jc w:val="both"/>
        <w:rPr>
          <w:rFonts w:eastAsia="Calibri"/>
          <w:sz w:val="24"/>
          <w:szCs w:val="24"/>
        </w:rPr>
      </w:pPr>
      <w:r w:rsidRPr="001A7AE3">
        <w:rPr>
          <w:rFonts w:eastAsia="Calibri"/>
          <w:sz w:val="24"/>
          <w:szCs w:val="24"/>
        </w:rPr>
        <w:t>Antes de la Reforma de 2015, el CP distinguía entre imprudencia grave e imprudencia leve, según la magnitud de lo injusto. De modo que, mientras la primera sería constitutiva de delito, la segunda daría lugar a falta. Así, todos los delitos imprudentes recogidos en el Libro</w:t>
      </w:r>
      <w:r w:rsidR="00524691">
        <w:rPr>
          <w:rFonts w:eastAsia="Calibri"/>
          <w:sz w:val="24"/>
          <w:szCs w:val="24"/>
        </w:rPr>
        <w:t xml:space="preserve"> II del CP exigía</w:t>
      </w:r>
      <w:r w:rsidRPr="001A7AE3">
        <w:rPr>
          <w:rFonts w:eastAsia="Calibri"/>
          <w:sz w:val="24"/>
          <w:szCs w:val="24"/>
        </w:rPr>
        <w:t>n que la imprudencia sea grave (homicidio por imprudencia grave: art. 142 CP; aborto por imprudencia grave: art. 146 CP</w:t>
      </w:r>
      <w:r w:rsidR="00524691">
        <w:rPr>
          <w:rFonts w:eastAsia="Calibri"/>
          <w:sz w:val="24"/>
          <w:szCs w:val="24"/>
        </w:rPr>
        <w:t>, etc.</w:t>
      </w:r>
      <w:r w:rsidRPr="001A7AE3">
        <w:rPr>
          <w:rFonts w:eastAsia="Calibri"/>
          <w:sz w:val="24"/>
          <w:szCs w:val="24"/>
        </w:rPr>
        <w:t xml:space="preserve">). </w:t>
      </w:r>
    </w:p>
    <w:p w:rsidR="00524691" w:rsidRDefault="001A7AE3" w:rsidP="00524691">
      <w:pPr>
        <w:spacing w:after="200" w:line="360" w:lineRule="auto"/>
        <w:ind w:firstLine="426"/>
        <w:jc w:val="both"/>
        <w:rPr>
          <w:rFonts w:eastAsia="Calibri"/>
          <w:sz w:val="24"/>
          <w:szCs w:val="24"/>
        </w:rPr>
      </w:pPr>
      <w:r w:rsidRPr="001A7AE3">
        <w:rPr>
          <w:rFonts w:eastAsia="Calibri"/>
          <w:sz w:val="24"/>
          <w:szCs w:val="24"/>
        </w:rPr>
        <w:t>La imprudencia grave sólo constit</w:t>
      </w:r>
      <w:r w:rsidR="00524691">
        <w:rPr>
          <w:rFonts w:eastAsia="Calibri"/>
          <w:sz w:val="24"/>
          <w:szCs w:val="24"/>
        </w:rPr>
        <w:t>uía</w:t>
      </w:r>
      <w:r w:rsidRPr="001A7AE3">
        <w:rPr>
          <w:rFonts w:eastAsia="Calibri"/>
          <w:sz w:val="24"/>
          <w:szCs w:val="24"/>
        </w:rPr>
        <w:t xml:space="preserve"> falta cuando el resultado causado sea las lesiones menos graves del art. 147.2 C</w:t>
      </w:r>
      <w:r w:rsidR="00524691">
        <w:rPr>
          <w:rFonts w:eastAsia="Calibri"/>
          <w:sz w:val="24"/>
          <w:szCs w:val="24"/>
        </w:rPr>
        <w:t>P (art</w:t>
      </w:r>
      <w:r w:rsidRPr="001A7AE3">
        <w:rPr>
          <w:rFonts w:eastAsia="Calibri"/>
          <w:sz w:val="24"/>
          <w:szCs w:val="24"/>
        </w:rPr>
        <w:t>. 621.1 CP). Por su parte, la imprudencia leve no conlleva</w:t>
      </w:r>
      <w:r w:rsidR="00524691">
        <w:rPr>
          <w:rFonts w:eastAsia="Calibri"/>
          <w:sz w:val="24"/>
          <w:szCs w:val="24"/>
        </w:rPr>
        <w:t>ba</w:t>
      </w:r>
      <w:r w:rsidRPr="001A7AE3">
        <w:rPr>
          <w:rFonts w:eastAsia="Calibri"/>
          <w:sz w:val="24"/>
          <w:szCs w:val="24"/>
        </w:rPr>
        <w:t xml:space="preserve"> responsabi</w:t>
      </w:r>
      <w:r w:rsidR="00524691">
        <w:rPr>
          <w:rFonts w:eastAsia="Calibri"/>
          <w:sz w:val="24"/>
          <w:szCs w:val="24"/>
        </w:rPr>
        <w:t>lidad penal, salvo cuando suponía</w:t>
      </w:r>
      <w:r w:rsidRPr="001A7AE3">
        <w:rPr>
          <w:rFonts w:eastAsia="Calibri"/>
          <w:sz w:val="24"/>
          <w:szCs w:val="24"/>
        </w:rPr>
        <w:t xml:space="preserve"> la lesión de bienes tan importantes como la vida o la integridad física (falta de homicidio por imprudencia leve: art. 621, 2 CP</w:t>
      </w:r>
      <w:r w:rsidR="00524691">
        <w:rPr>
          <w:rFonts w:eastAsia="Calibri"/>
          <w:sz w:val="24"/>
          <w:szCs w:val="24"/>
        </w:rPr>
        <w:t xml:space="preserve">; </w:t>
      </w:r>
      <w:r w:rsidRPr="001A7AE3">
        <w:rPr>
          <w:rFonts w:eastAsia="Calibri"/>
          <w:sz w:val="24"/>
          <w:szCs w:val="24"/>
        </w:rPr>
        <w:t>falta de lesiones por imprudencia leve: art. 621.3 CP). Estas últimas darían lugar a juicios de faltas, reservando la calificación de delito para aquellos casos en que se detecta “ab initio” un elemento de riesgo nítidamente delictivo</w:t>
      </w:r>
      <w:r w:rsidRPr="001A7AE3">
        <w:rPr>
          <w:rFonts w:eastAsia="Calibri"/>
          <w:sz w:val="24"/>
          <w:szCs w:val="24"/>
          <w:vertAlign w:val="superscript"/>
        </w:rPr>
        <w:footnoteReference w:id="32"/>
      </w:r>
      <w:r w:rsidRPr="001A7AE3">
        <w:rPr>
          <w:rFonts w:eastAsia="Calibri"/>
          <w:sz w:val="24"/>
          <w:szCs w:val="24"/>
        </w:rPr>
        <w:t>.</w:t>
      </w:r>
    </w:p>
    <w:p w:rsidR="00524691" w:rsidRDefault="001A7AE3" w:rsidP="00524691">
      <w:pPr>
        <w:spacing w:after="200" w:line="360" w:lineRule="auto"/>
        <w:ind w:firstLine="426"/>
        <w:jc w:val="both"/>
        <w:rPr>
          <w:rFonts w:eastAsia="Calibri"/>
          <w:sz w:val="24"/>
          <w:szCs w:val="24"/>
        </w:rPr>
      </w:pPr>
      <w:r w:rsidRPr="001A7AE3">
        <w:rPr>
          <w:rFonts w:eastAsia="Calibri"/>
          <w:color w:val="000000"/>
          <w:sz w:val="24"/>
          <w:szCs w:val="24"/>
        </w:rPr>
        <w:t>En este sentido, la STS 1604/2001, de 18 de septiembre (fundamento de derecho segundo) establece que: “</w:t>
      </w:r>
      <w:r w:rsidRPr="001A7AE3">
        <w:rPr>
          <w:rFonts w:eastAsia="Calibri"/>
          <w:i/>
          <w:iCs/>
          <w:color w:val="000000"/>
          <w:sz w:val="24"/>
          <w:szCs w:val="24"/>
        </w:rPr>
        <w:t xml:space="preserve">Mientras que en la infracción de la norma de cuidado se contiene el desvalor de la acción, es en la resultancia de la acción imprudente donde </w:t>
      </w:r>
      <w:r w:rsidRPr="001A7AE3">
        <w:rPr>
          <w:rFonts w:eastAsia="Calibri"/>
          <w:i/>
          <w:iCs/>
          <w:color w:val="000000"/>
          <w:sz w:val="24"/>
          <w:szCs w:val="24"/>
        </w:rPr>
        <w:lastRenderedPageBreak/>
        <w:t xml:space="preserve">reside el desvalor del resultado. Desvaloración que en uno y otro caso admite gradaciones y niveles de los que depende la distinción entre el delito y la falta. En efecto en el delito de imprudencia con resultado de muerte (art. 142.1 CP) es necesario que la imprudencia sea grave, </w:t>
      </w:r>
      <w:r w:rsidRPr="001A7AE3">
        <w:rPr>
          <w:rFonts w:eastAsia="Calibri"/>
          <w:bCs/>
          <w:i/>
          <w:iCs/>
          <w:color w:val="000000"/>
          <w:sz w:val="24"/>
          <w:szCs w:val="24"/>
        </w:rPr>
        <w:t>convirtiéndose en la falta del art. 621.2 CP cuando la imprudencia es leve</w:t>
      </w:r>
      <w:r w:rsidRPr="001A7AE3">
        <w:rPr>
          <w:rFonts w:eastAsia="Calibri"/>
          <w:bCs/>
          <w:color w:val="000000"/>
          <w:sz w:val="24"/>
          <w:szCs w:val="24"/>
        </w:rPr>
        <w:t>”.</w:t>
      </w:r>
    </w:p>
    <w:p w:rsidR="001A7AE3" w:rsidRPr="00524691" w:rsidRDefault="001A7AE3" w:rsidP="00524691">
      <w:pPr>
        <w:spacing w:after="200" w:line="360" w:lineRule="auto"/>
        <w:ind w:firstLine="426"/>
        <w:jc w:val="both"/>
        <w:rPr>
          <w:rFonts w:eastAsia="Calibri"/>
          <w:sz w:val="24"/>
          <w:szCs w:val="24"/>
        </w:rPr>
      </w:pPr>
      <w:r w:rsidRPr="001A7AE3">
        <w:rPr>
          <w:rFonts w:eastAsia="Calibri"/>
          <w:sz w:val="24"/>
          <w:szCs w:val="24"/>
        </w:rPr>
        <w:t xml:space="preserve">Así, los supuestos de homicidio y lesiones imprudentes que recogía el ACP serían los siguientes: </w:t>
      </w:r>
    </w:p>
    <w:p w:rsidR="001A7AE3" w:rsidRPr="001A7AE3" w:rsidRDefault="001A7AE3" w:rsidP="004A4320">
      <w:pPr>
        <w:spacing w:after="200" w:line="360" w:lineRule="auto"/>
        <w:ind w:left="426" w:firstLine="141"/>
        <w:jc w:val="both"/>
        <w:rPr>
          <w:rFonts w:eastAsia="Calibri"/>
          <w:sz w:val="24"/>
          <w:szCs w:val="24"/>
        </w:rPr>
      </w:pPr>
      <w:r w:rsidRPr="001A7AE3">
        <w:rPr>
          <w:rFonts w:eastAsia="Calibri"/>
          <w:sz w:val="24"/>
          <w:szCs w:val="24"/>
        </w:rPr>
        <w:t>a) Delitos:</w:t>
      </w:r>
    </w:p>
    <w:p w:rsidR="001A7AE3" w:rsidRPr="001A7AE3" w:rsidRDefault="001A7AE3" w:rsidP="004A4320">
      <w:pPr>
        <w:spacing w:after="200" w:line="360" w:lineRule="auto"/>
        <w:ind w:left="426" w:firstLine="283"/>
        <w:jc w:val="both"/>
        <w:rPr>
          <w:rFonts w:eastAsia="Calibri"/>
          <w:sz w:val="24"/>
          <w:szCs w:val="24"/>
        </w:rPr>
      </w:pPr>
      <w:r w:rsidRPr="001A7AE3">
        <w:rPr>
          <w:rFonts w:eastAsia="Calibri"/>
          <w:sz w:val="24"/>
          <w:szCs w:val="24"/>
        </w:rPr>
        <w:t>i. Homicidio por imprudencia grave (art. 142)</w:t>
      </w:r>
    </w:p>
    <w:p w:rsidR="001A7AE3" w:rsidRPr="001A7AE3" w:rsidRDefault="001A7AE3" w:rsidP="004A4320">
      <w:pPr>
        <w:spacing w:after="200" w:line="360" w:lineRule="auto"/>
        <w:ind w:left="426" w:firstLine="283"/>
        <w:jc w:val="both"/>
        <w:rPr>
          <w:rFonts w:eastAsia="Calibri"/>
          <w:sz w:val="24"/>
          <w:szCs w:val="24"/>
        </w:rPr>
      </w:pPr>
      <w:r w:rsidRPr="001A7AE3">
        <w:rPr>
          <w:rFonts w:eastAsia="Calibri"/>
          <w:sz w:val="24"/>
          <w:szCs w:val="24"/>
        </w:rPr>
        <w:t>ii. Aborto por imprudencia grave (art. 146)</w:t>
      </w:r>
    </w:p>
    <w:p w:rsidR="001A7AE3" w:rsidRPr="001A7AE3" w:rsidRDefault="001A7AE3" w:rsidP="004A4320">
      <w:pPr>
        <w:spacing w:after="200" w:line="360" w:lineRule="auto"/>
        <w:ind w:left="426" w:firstLine="283"/>
        <w:jc w:val="both"/>
        <w:rPr>
          <w:rFonts w:eastAsia="Calibri"/>
          <w:sz w:val="24"/>
          <w:szCs w:val="24"/>
        </w:rPr>
      </w:pPr>
      <w:r w:rsidRPr="001A7AE3">
        <w:rPr>
          <w:rFonts w:eastAsia="Calibri"/>
          <w:sz w:val="24"/>
          <w:szCs w:val="24"/>
        </w:rPr>
        <w:t>iii. Lesiones graves por imprudencia grave (art. 152)</w:t>
      </w:r>
    </w:p>
    <w:p w:rsidR="001A7AE3" w:rsidRPr="001A7AE3" w:rsidRDefault="001A7AE3" w:rsidP="004A4320">
      <w:pPr>
        <w:spacing w:after="200" w:line="360" w:lineRule="auto"/>
        <w:ind w:left="426" w:firstLine="283"/>
        <w:jc w:val="both"/>
        <w:rPr>
          <w:rFonts w:eastAsia="Calibri"/>
          <w:sz w:val="24"/>
          <w:szCs w:val="24"/>
        </w:rPr>
      </w:pPr>
      <w:r w:rsidRPr="001A7AE3">
        <w:rPr>
          <w:rFonts w:eastAsia="Calibri"/>
          <w:sz w:val="24"/>
          <w:szCs w:val="24"/>
        </w:rPr>
        <w:t>iv. Lesiones al feto por imprudencia grave (art. 158)</w:t>
      </w:r>
    </w:p>
    <w:p w:rsidR="001A7AE3" w:rsidRPr="001A7AE3" w:rsidRDefault="001A7AE3" w:rsidP="004A4320">
      <w:pPr>
        <w:spacing w:after="200" w:line="360" w:lineRule="auto"/>
        <w:ind w:left="426" w:firstLine="283"/>
        <w:jc w:val="both"/>
        <w:rPr>
          <w:rFonts w:eastAsia="Calibri"/>
          <w:sz w:val="24"/>
          <w:szCs w:val="24"/>
        </w:rPr>
      </w:pPr>
      <w:r w:rsidRPr="001A7AE3">
        <w:rPr>
          <w:rFonts w:eastAsia="Calibri"/>
          <w:sz w:val="24"/>
          <w:szCs w:val="24"/>
        </w:rPr>
        <w:t>v. Daños superiores a 80.000 euros por imprudencia grave (art. 267)</w:t>
      </w:r>
    </w:p>
    <w:p w:rsidR="001A7AE3" w:rsidRPr="001A7AE3" w:rsidRDefault="001A7AE3" w:rsidP="004A4320">
      <w:pPr>
        <w:spacing w:after="200" w:line="360" w:lineRule="auto"/>
        <w:ind w:left="426" w:firstLine="141"/>
        <w:jc w:val="both"/>
        <w:rPr>
          <w:rFonts w:eastAsia="Calibri"/>
          <w:sz w:val="24"/>
          <w:szCs w:val="24"/>
        </w:rPr>
      </w:pPr>
      <w:r w:rsidRPr="001A7AE3">
        <w:rPr>
          <w:rFonts w:eastAsia="Calibri"/>
          <w:sz w:val="24"/>
          <w:szCs w:val="24"/>
        </w:rPr>
        <w:t>b)  Faltas:</w:t>
      </w:r>
    </w:p>
    <w:p w:rsidR="001A7AE3" w:rsidRPr="001A7AE3" w:rsidRDefault="001A7AE3" w:rsidP="004A4320">
      <w:pPr>
        <w:spacing w:after="200" w:line="360" w:lineRule="auto"/>
        <w:ind w:left="426" w:firstLine="283"/>
        <w:jc w:val="both"/>
        <w:rPr>
          <w:rFonts w:eastAsia="Calibri"/>
          <w:sz w:val="24"/>
          <w:szCs w:val="24"/>
        </w:rPr>
      </w:pPr>
      <w:r w:rsidRPr="001A7AE3">
        <w:rPr>
          <w:rFonts w:eastAsia="Calibri"/>
          <w:sz w:val="24"/>
          <w:szCs w:val="24"/>
        </w:rPr>
        <w:t>i. Lesiones del art. 147.2 por imprudencia grave (art. 621.1)</w:t>
      </w:r>
    </w:p>
    <w:p w:rsidR="001A7AE3" w:rsidRPr="001A7AE3" w:rsidRDefault="001A7AE3" w:rsidP="004A4320">
      <w:pPr>
        <w:spacing w:after="200" w:line="360" w:lineRule="auto"/>
        <w:ind w:left="426" w:firstLine="283"/>
        <w:jc w:val="both"/>
        <w:rPr>
          <w:rFonts w:eastAsia="Calibri"/>
          <w:sz w:val="24"/>
          <w:szCs w:val="24"/>
        </w:rPr>
      </w:pPr>
      <w:r w:rsidRPr="001A7AE3">
        <w:rPr>
          <w:rFonts w:eastAsia="Calibri"/>
          <w:sz w:val="24"/>
          <w:szCs w:val="24"/>
        </w:rPr>
        <w:t>ii. Homicidio por imprudencia leve (art. 621.2)</w:t>
      </w:r>
    </w:p>
    <w:p w:rsidR="001A7AE3" w:rsidRPr="001A7AE3" w:rsidRDefault="001A7AE3" w:rsidP="004A4320">
      <w:pPr>
        <w:spacing w:after="200" w:line="360" w:lineRule="auto"/>
        <w:ind w:left="426" w:firstLine="283"/>
        <w:jc w:val="both"/>
        <w:rPr>
          <w:rFonts w:eastAsia="Calibri"/>
          <w:sz w:val="24"/>
          <w:szCs w:val="24"/>
        </w:rPr>
      </w:pPr>
      <w:r w:rsidRPr="001A7AE3">
        <w:rPr>
          <w:rFonts w:eastAsia="Calibri"/>
          <w:sz w:val="24"/>
          <w:szCs w:val="24"/>
        </w:rPr>
        <w:t>iii. Lesiones constitutivas de delito por imprudencia leve (art. 621.3)</w:t>
      </w:r>
    </w:p>
    <w:p w:rsidR="001A7AE3" w:rsidRPr="001A7AE3" w:rsidRDefault="001A7AE3" w:rsidP="00EA0579">
      <w:pPr>
        <w:spacing w:after="200" w:line="360" w:lineRule="auto"/>
        <w:ind w:left="1134"/>
        <w:jc w:val="both"/>
        <w:rPr>
          <w:rFonts w:eastAsia="Calibri"/>
          <w:b/>
          <w:bCs/>
          <w:sz w:val="24"/>
          <w:szCs w:val="24"/>
        </w:rPr>
      </w:pPr>
      <w:r w:rsidRPr="001A7AE3">
        <w:rPr>
          <w:rFonts w:eastAsia="Calibri"/>
          <w:b/>
          <w:bCs/>
          <w:sz w:val="24"/>
          <w:szCs w:val="24"/>
        </w:rPr>
        <w:t>6.1.1. La imprudencia grave</w:t>
      </w:r>
    </w:p>
    <w:p w:rsidR="00524691" w:rsidRDefault="001A7AE3" w:rsidP="00524691">
      <w:pPr>
        <w:spacing w:after="200" w:line="360" w:lineRule="auto"/>
        <w:ind w:firstLine="426"/>
        <w:jc w:val="both"/>
        <w:rPr>
          <w:rFonts w:eastAsia="Calibri"/>
          <w:color w:val="000000"/>
          <w:sz w:val="24"/>
          <w:szCs w:val="24"/>
        </w:rPr>
      </w:pPr>
      <w:r w:rsidRPr="001A7AE3">
        <w:rPr>
          <w:rFonts w:eastAsia="Calibri"/>
          <w:color w:val="000000"/>
          <w:sz w:val="24"/>
          <w:szCs w:val="24"/>
        </w:rPr>
        <w:t>Siguiendo la línea de lo expuesto, la forma imprudente del delito de homicidio, anterior a la Reforma, se encontraba tipificada en el art. 142.1 del CP, que establecía lo siguiente: “</w:t>
      </w:r>
      <w:r w:rsidRPr="001A7AE3">
        <w:rPr>
          <w:rFonts w:eastAsia="Calibri"/>
          <w:i/>
          <w:iCs/>
          <w:color w:val="000000"/>
          <w:sz w:val="24"/>
          <w:szCs w:val="24"/>
        </w:rPr>
        <w:t>El que por imprudencia grave causare la muerte de otro, será castigado, como reo de homicidio imprudente, con la pena de prisión de uno a cuatro años.</w:t>
      </w:r>
      <w:r w:rsidRPr="001A7AE3">
        <w:rPr>
          <w:rFonts w:eastAsia="Calibri"/>
          <w:color w:val="000000"/>
          <w:sz w:val="24"/>
          <w:szCs w:val="24"/>
        </w:rPr>
        <w:t xml:space="preserve">” </w:t>
      </w:r>
    </w:p>
    <w:p w:rsidR="00524691" w:rsidRDefault="001A7AE3" w:rsidP="00524691">
      <w:pPr>
        <w:spacing w:after="200" w:line="360" w:lineRule="auto"/>
        <w:ind w:firstLine="426"/>
        <w:jc w:val="both"/>
        <w:rPr>
          <w:rFonts w:eastAsia="Calibri"/>
          <w:color w:val="000000"/>
          <w:sz w:val="24"/>
          <w:szCs w:val="24"/>
        </w:rPr>
      </w:pPr>
      <w:r w:rsidRPr="001A7AE3">
        <w:rPr>
          <w:rFonts w:eastAsia="Calibri"/>
          <w:color w:val="000000"/>
          <w:sz w:val="24"/>
          <w:szCs w:val="24"/>
        </w:rPr>
        <w:t>La modalidad imprudente del delito de lesiones, también anterior a la Reforma, se encontraba tipificada en el art. 152.1 del CP, que establecía lo siguiente: “</w:t>
      </w:r>
      <w:r w:rsidRPr="001A7AE3">
        <w:rPr>
          <w:rFonts w:eastAsia="Calibri"/>
          <w:i/>
          <w:iCs/>
          <w:color w:val="000000"/>
          <w:sz w:val="24"/>
          <w:szCs w:val="24"/>
        </w:rPr>
        <w:t xml:space="preserve">El que por imprudencia grave causare alguna de las lesiones previstas en los artículos anteriores será castigado: 1.º Con la pena de prisión de tres a seis meses, si se tratare de las lesiones del artículo 147.1; 2.º Con la pena de prisión de uno a tres años, si se tratare </w:t>
      </w:r>
      <w:r w:rsidRPr="001A7AE3">
        <w:rPr>
          <w:rFonts w:eastAsia="Calibri"/>
          <w:i/>
          <w:iCs/>
          <w:color w:val="000000"/>
          <w:sz w:val="24"/>
          <w:szCs w:val="24"/>
        </w:rPr>
        <w:lastRenderedPageBreak/>
        <w:t>de las lesiones del artículo 149; 3.º Con la pena de prisión de seis meses a dos años, si se tratare de las lesiones del artículo 150.</w:t>
      </w:r>
      <w:r w:rsidRPr="001A7AE3">
        <w:rPr>
          <w:rFonts w:eastAsia="Calibri"/>
          <w:color w:val="000000"/>
          <w:sz w:val="24"/>
          <w:szCs w:val="24"/>
        </w:rPr>
        <w:t>”</w:t>
      </w:r>
    </w:p>
    <w:p w:rsidR="00524691" w:rsidRDefault="001A7AE3" w:rsidP="00524691">
      <w:pPr>
        <w:spacing w:after="200" w:line="360" w:lineRule="auto"/>
        <w:ind w:firstLine="426"/>
        <w:jc w:val="both"/>
        <w:rPr>
          <w:rFonts w:eastAsia="Calibri"/>
          <w:color w:val="000000"/>
          <w:sz w:val="24"/>
          <w:szCs w:val="24"/>
        </w:rPr>
      </w:pPr>
      <w:r w:rsidRPr="001A7AE3">
        <w:rPr>
          <w:rFonts w:eastAsia="Calibri"/>
          <w:color w:val="000000"/>
          <w:sz w:val="24"/>
          <w:szCs w:val="24"/>
        </w:rPr>
        <w:t>También el art. 621.1 del Libro III del CP recogía otra modalidad imprudente, que establecía lo siguiente: “</w:t>
      </w:r>
      <w:r w:rsidRPr="001A7AE3">
        <w:rPr>
          <w:rFonts w:eastAsia="Calibri"/>
          <w:i/>
          <w:iCs/>
          <w:color w:val="000000"/>
          <w:sz w:val="24"/>
          <w:szCs w:val="24"/>
        </w:rPr>
        <w:t>Los que por imprudencia grave causaren alguna de las lesiones previstas en el apartado 2 del artículo 147, serán castigados con la pena de multa de uno a dos meses</w:t>
      </w:r>
      <w:r w:rsidRPr="001A7AE3">
        <w:rPr>
          <w:rFonts w:eastAsia="Calibri"/>
          <w:color w:val="000000"/>
          <w:sz w:val="24"/>
          <w:szCs w:val="24"/>
        </w:rPr>
        <w:t>”. No obstante, la misma sería constitutiva de falta de lesiones.</w:t>
      </w:r>
    </w:p>
    <w:p w:rsidR="00524691" w:rsidRDefault="001A7AE3" w:rsidP="00524691">
      <w:pPr>
        <w:spacing w:after="200" w:line="360" w:lineRule="auto"/>
        <w:ind w:firstLine="426"/>
        <w:jc w:val="both"/>
        <w:rPr>
          <w:rFonts w:eastAsia="Calibri"/>
          <w:color w:val="000000"/>
          <w:sz w:val="24"/>
          <w:szCs w:val="24"/>
        </w:rPr>
      </w:pPr>
      <w:r w:rsidRPr="001A7AE3">
        <w:rPr>
          <w:rFonts w:eastAsia="Calibri"/>
          <w:color w:val="000000"/>
          <w:sz w:val="24"/>
          <w:szCs w:val="24"/>
        </w:rPr>
        <w:t>Además del tipo general de los arts. 142.1 y 152.1 del CP, se establecían tipos agravados en atención a los medios de comisión y a los sujetos que lo cometen, en los apartados siguientes de los mencionados artículos.</w:t>
      </w:r>
    </w:p>
    <w:p w:rsidR="00524691" w:rsidRDefault="001A7AE3" w:rsidP="00524691">
      <w:pPr>
        <w:spacing w:after="200" w:line="360" w:lineRule="auto"/>
        <w:ind w:firstLine="426"/>
        <w:jc w:val="both"/>
        <w:rPr>
          <w:rFonts w:eastAsia="Calibri"/>
          <w:color w:val="000000"/>
          <w:sz w:val="24"/>
          <w:szCs w:val="24"/>
        </w:rPr>
      </w:pPr>
      <w:r w:rsidRPr="001A7AE3">
        <w:rPr>
          <w:rFonts w:eastAsia="Calibri"/>
          <w:color w:val="000000"/>
          <w:sz w:val="24"/>
          <w:szCs w:val="24"/>
        </w:rPr>
        <w:t xml:space="preserve">El primer tipo agravado consiste en la misma acción típica del tipo general, pero empleando un vehículo a motor o ciclomotor. Es en el ámbito de la circulación de los vehículos a motor donde más resultados imprudentes se producen y con mayor frecuencia. Es por ello que el legislador optó por agravar en estos supuestos la pena, aplicando además la privación del derecho a conducir vehículos a motor o ciclomotor de uno a seis años, como pena principal, y así dotar de mayor protección a las víctimas. </w:t>
      </w:r>
    </w:p>
    <w:p w:rsidR="00524691" w:rsidRDefault="001A7AE3" w:rsidP="00524691">
      <w:pPr>
        <w:spacing w:after="200" w:line="360" w:lineRule="auto"/>
        <w:ind w:firstLine="426"/>
        <w:jc w:val="both"/>
        <w:rPr>
          <w:rFonts w:eastAsia="Calibri"/>
          <w:color w:val="000000"/>
          <w:sz w:val="24"/>
          <w:szCs w:val="24"/>
        </w:rPr>
      </w:pPr>
      <w:r w:rsidRPr="001A7AE3">
        <w:rPr>
          <w:rFonts w:eastAsia="Calibri"/>
          <w:color w:val="000000"/>
          <w:sz w:val="24"/>
          <w:szCs w:val="24"/>
        </w:rPr>
        <w:t xml:space="preserve">El segundo tipo agravado, se introdujo de forma novedosa en el </w:t>
      </w:r>
      <w:r w:rsidR="00524691">
        <w:rPr>
          <w:rFonts w:eastAsia="Calibri"/>
          <w:color w:val="000000"/>
          <w:sz w:val="24"/>
          <w:szCs w:val="24"/>
        </w:rPr>
        <w:t>CP</w:t>
      </w:r>
      <w:r w:rsidRPr="001A7AE3">
        <w:rPr>
          <w:rFonts w:eastAsia="Calibri"/>
          <w:color w:val="000000"/>
          <w:sz w:val="24"/>
          <w:szCs w:val="24"/>
        </w:rPr>
        <w:t xml:space="preserve"> de 1995, y también consiste en la misma acción tipificada del tipo general, pero, en este caso, referida al manejo y uso de armas de fuego. El legislador optó por agravar, igualmente, la pena en estos supuestos, aplicando además la privación del derecho a la tenencia o porte de armas de uno a seis años, como pena principal.</w:t>
      </w:r>
    </w:p>
    <w:p w:rsidR="00524691" w:rsidRDefault="001A7AE3" w:rsidP="00524691">
      <w:pPr>
        <w:spacing w:after="200" w:line="360" w:lineRule="auto"/>
        <w:ind w:firstLine="426"/>
        <w:jc w:val="both"/>
        <w:rPr>
          <w:rFonts w:eastAsia="Calibri"/>
          <w:color w:val="000000"/>
          <w:sz w:val="24"/>
          <w:szCs w:val="24"/>
        </w:rPr>
      </w:pPr>
      <w:r w:rsidRPr="001A7AE3">
        <w:rPr>
          <w:rFonts w:eastAsia="Calibri"/>
          <w:bCs/>
          <w:color w:val="000000"/>
          <w:sz w:val="24"/>
          <w:szCs w:val="24"/>
        </w:rPr>
        <w:t>La correspondiente pena privativa de derechos actúa</w:t>
      </w:r>
      <w:r w:rsidR="00524691">
        <w:rPr>
          <w:rFonts w:eastAsia="Calibri"/>
          <w:bCs/>
          <w:color w:val="000000"/>
          <w:sz w:val="24"/>
          <w:szCs w:val="24"/>
        </w:rPr>
        <w:t>, según Suárez-Mira,</w:t>
      </w:r>
      <w:r w:rsidRPr="001A7AE3">
        <w:rPr>
          <w:rFonts w:eastAsia="Calibri"/>
          <w:bCs/>
          <w:color w:val="000000"/>
          <w:sz w:val="24"/>
          <w:szCs w:val="24"/>
        </w:rPr>
        <w:t xml:space="preserve"> como “</w:t>
      </w:r>
      <w:r w:rsidRPr="001A7AE3">
        <w:rPr>
          <w:rFonts w:eastAsia="Calibri"/>
          <w:bCs/>
          <w:i/>
          <w:iCs/>
          <w:color w:val="000000"/>
          <w:sz w:val="24"/>
          <w:szCs w:val="24"/>
        </w:rPr>
        <w:t>previsión preventivo-general y especial dirigida a la evitación del incremento de riesgo en la circulación rodada y en las actividades cinegéticas, deportivas, etcétera</w:t>
      </w:r>
      <w:r w:rsidRPr="001A7AE3">
        <w:rPr>
          <w:rFonts w:eastAsia="Calibri"/>
          <w:bCs/>
          <w:color w:val="000000"/>
          <w:sz w:val="24"/>
          <w:szCs w:val="24"/>
        </w:rPr>
        <w:t>”</w:t>
      </w:r>
      <w:r w:rsidRPr="001A7AE3">
        <w:rPr>
          <w:rFonts w:eastAsia="Calibri"/>
          <w:bCs/>
          <w:color w:val="000000"/>
          <w:sz w:val="24"/>
          <w:szCs w:val="24"/>
          <w:vertAlign w:val="superscript"/>
        </w:rPr>
        <w:footnoteReference w:id="33"/>
      </w:r>
      <w:r w:rsidRPr="001A7AE3">
        <w:rPr>
          <w:rFonts w:eastAsia="Calibri"/>
          <w:bCs/>
          <w:color w:val="000000"/>
          <w:sz w:val="24"/>
          <w:szCs w:val="24"/>
        </w:rPr>
        <w:t>.</w:t>
      </w:r>
    </w:p>
    <w:p w:rsidR="000101D0" w:rsidRDefault="001A7AE3" w:rsidP="000101D0">
      <w:pPr>
        <w:spacing w:after="200" w:line="360" w:lineRule="auto"/>
        <w:ind w:firstLine="426"/>
        <w:jc w:val="both"/>
        <w:rPr>
          <w:rFonts w:eastAsia="Calibri"/>
          <w:color w:val="000000"/>
          <w:sz w:val="24"/>
          <w:szCs w:val="24"/>
        </w:rPr>
      </w:pPr>
      <w:r w:rsidRPr="001A7AE3">
        <w:rPr>
          <w:rFonts w:eastAsia="Calibri"/>
          <w:color w:val="000000"/>
          <w:sz w:val="24"/>
          <w:szCs w:val="24"/>
        </w:rPr>
        <w:t>El tercer tipo agravado atiende al sujeto que lo realiza.</w:t>
      </w:r>
      <w:r w:rsidRPr="001A7AE3">
        <w:rPr>
          <w:rFonts w:eastAsia="Calibri"/>
          <w:bCs/>
          <w:color w:val="000000"/>
          <w:sz w:val="24"/>
          <w:szCs w:val="24"/>
        </w:rPr>
        <w:t xml:space="preserve"> Hablamos así de la imprudencia profesional, la cual, según reciente jurisprudencia, </w:t>
      </w:r>
      <w:r w:rsidRPr="000101D0">
        <w:rPr>
          <w:rFonts w:eastAsia="Calibri"/>
          <w:bCs/>
          <w:iCs/>
          <w:color w:val="000000"/>
          <w:sz w:val="24"/>
          <w:szCs w:val="24"/>
        </w:rPr>
        <w:t xml:space="preserve">supone un plus de antijuricidad consecutivo a la infracción de la “lex artis” y de las precauciones y </w:t>
      </w:r>
      <w:r w:rsidRPr="000101D0">
        <w:rPr>
          <w:rFonts w:eastAsia="Calibri"/>
          <w:bCs/>
          <w:iCs/>
          <w:color w:val="000000"/>
          <w:sz w:val="24"/>
          <w:szCs w:val="24"/>
        </w:rPr>
        <w:lastRenderedPageBreak/>
        <w:t>cautelas más imperdonables e indisculpables a personas que perteneciendo a una actividad profesional deben tener unos conocimientos propios de su actividad</w:t>
      </w:r>
      <w:r w:rsidRPr="000101D0">
        <w:rPr>
          <w:rFonts w:eastAsia="Calibri"/>
          <w:bCs/>
          <w:color w:val="000000"/>
          <w:sz w:val="24"/>
          <w:szCs w:val="24"/>
          <w:vertAlign w:val="superscript"/>
        </w:rPr>
        <w:footnoteReference w:id="34"/>
      </w:r>
      <w:r w:rsidRPr="000101D0">
        <w:rPr>
          <w:rFonts w:eastAsia="Calibri"/>
          <w:bCs/>
          <w:color w:val="000000"/>
          <w:sz w:val="24"/>
          <w:szCs w:val="24"/>
        </w:rPr>
        <w:t>.</w:t>
      </w:r>
      <w:r w:rsidR="00524691">
        <w:rPr>
          <w:rFonts w:eastAsia="Calibri"/>
          <w:color w:val="000000"/>
          <w:sz w:val="24"/>
          <w:szCs w:val="24"/>
        </w:rPr>
        <w:t xml:space="preserve"> </w:t>
      </w:r>
    </w:p>
    <w:p w:rsidR="000101D0" w:rsidRDefault="00524691" w:rsidP="000101D0">
      <w:pPr>
        <w:spacing w:after="200" w:line="360" w:lineRule="auto"/>
        <w:ind w:firstLine="426"/>
        <w:jc w:val="both"/>
        <w:rPr>
          <w:rFonts w:eastAsia="Calibri"/>
          <w:color w:val="000000"/>
          <w:sz w:val="24"/>
          <w:szCs w:val="24"/>
        </w:rPr>
      </w:pPr>
      <w:r>
        <w:rPr>
          <w:rFonts w:eastAsia="Calibri"/>
          <w:color w:val="000000"/>
          <w:sz w:val="24"/>
          <w:szCs w:val="24"/>
        </w:rPr>
        <w:t>En</w:t>
      </w:r>
      <w:r w:rsidR="001A7AE3" w:rsidRPr="001A7AE3">
        <w:rPr>
          <w:rFonts w:eastAsia="Calibri"/>
          <w:color w:val="000000"/>
          <w:sz w:val="24"/>
          <w:szCs w:val="24"/>
        </w:rPr>
        <w:t xml:space="preserve"> esta línea, </w:t>
      </w:r>
      <w:r w:rsidR="001A7AE3" w:rsidRPr="001A7AE3">
        <w:rPr>
          <w:rFonts w:eastAsia="Calibri"/>
          <w:bCs/>
          <w:color w:val="000000"/>
          <w:sz w:val="24"/>
          <w:szCs w:val="24"/>
        </w:rPr>
        <w:t>la STS de 29 de noviembre de 2001 afirma que</w:t>
      </w:r>
      <w:r w:rsidR="000101D0">
        <w:rPr>
          <w:rFonts w:eastAsia="Calibri"/>
          <w:bCs/>
          <w:color w:val="000000"/>
          <w:sz w:val="24"/>
          <w:szCs w:val="24"/>
        </w:rPr>
        <w:t>:</w:t>
      </w:r>
      <w:r w:rsidR="001A7AE3" w:rsidRPr="001A7AE3">
        <w:rPr>
          <w:rFonts w:eastAsia="Calibri"/>
          <w:bCs/>
          <w:color w:val="000000"/>
          <w:sz w:val="24"/>
          <w:szCs w:val="24"/>
        </w:rPr>
        <w:t xml:space="preserve"> “</w:t>
      </w:r>
      <w:r w:rsidR="000101D0">
        <w:rPr>
          <w:rFonts w:eastAsia="Calibri"/>
          <w:bCs/>
          <w:i/>
          <w:iCs/>
          <w:color w:val="000000"/>
          <w:sz w:val="24"/>
          <w:szCs w:val="24"/>
        </w:rPr>
        <w:t>C</w:t>
      </w:r>
      <w:r w:rsidR="001A7AE3" w:rsidRPr="001A7AE3">
        <w:rPr>
          <w:rFonts w:eastAsia="Calibri"/>
          <w:bCs/>
          <w:i/>
          <w:iCs/>
          <w:color w:val="000000"/>
          <w:sz w:val="24"/>
          <w:szCs w:val="24"/>
        </w:rPr>
        <w:t>uando la culpa esté relacionada con la conducta de un profesional, que ha de tener saberes y posibilidades específicas de actuación preventiva de un daño, las reglas socialmente definidas alcanzan un mayor grado de exigencia pues no son ya las comunes que se imponen a cualquier persona, sino que incluyen las del conocimiento y aplicación de los saberes específicos para los que ha recibido una especial preparación y titulación</w:t>
      </w:r>
      <w:r w:rsidR="001A7AE3" w:rsidRPr="001A7AE3">
        <w:rPr>
          <w:rFonts w:eastAsia="Calibri"/>
          <w:bCs/>
          <w:color w:val="000000"/>
          <w:sz w:val="24"/>
          <w:szCs w:val="24"/>
        </w:rPr>
        <w:t>”. Su diferencia con la imprudencia que podíamos llamar “común” es cuantitativa.</w:t>
      </w:r>
    </w:p>
    <w:p w:rsidR="000101D0" w:rsidRDefault="001A7AE3" w:rsidP="000101D0">
      <w:pPr>
        <w:spacing w:after="200" w:line="360" w:lineRule="auto"/>
        <w:ind w:firstLine="426"/>
        <w:jc w:val="both"/>
        <w:rPr>
          <w:rFonts w:eastAsia="Calibri"/>
          <w:color w:val="000000"/>
          <w:sz w:val="24"/>
          <w:szCs w:val="24"/>
        </w:rPr>
      </w:pPr>
      <w:r w:rsidRPr="001A7AE3">
        <w:rPr>
          <w:rFonts w:eastAsia="Calibri"/>
          <w:color w:val="000000"/>
          <w:sz w:val="24"/>
          <w:szCs w:val="24"/>
        </w:rPr>
        <w:t xml:space="preserve">La jurisprudencia apunta aquí la necesidad de distinguir entre imprudencia profesional e imprudencia del profesional. </w:t>
      </w:r>
      <w:r w:rsidR="000101D0">
        <w:rPr>
          <w:rFonts w:eastAsia="Calibri"/>
          <w:color w:val="000000"/>
          <w:sz w:val="24"/>
          <w:szCs w:val="24"/>
        </w:rPr>
        <w:t>Así, l</w:t>
      </w:r>
      <w:r w:rsidRPr="001A7AE3">
        <w:rPr>
          <w:rFonts w:eastAsia="Calibri"/>
          <w:color w:val="000000"/>
          <w:sz w:val="24"/>
          <w:szCs w:val="24"/>
        </w:rPr>
        <w:t xml:space="preserve">a imprudencia profesional se caracteriza por la falta necesaria para el ejercicio de la profesión o la inobservancia de las reglas específicas que sólo obligan a los profesionales en el desempeño de su profesión. De manera que, </w:t>
      </w:r>
      <w:r w:rsidRPr="001A7AE3">
        <w:rPr>
          <w:rFonts w:eastAsia="Calibri"/>
          <w:i/>
          <w:iCs/>
          <w:color w:val="000000"/>
          <w:sz w:val="24"/>
          <w:szCs w:val="24"/>
        </w:rPr>
        <w:t xml:space="preserve">el </w:t>
      </w:r>
      <w:r w:rsidRPr="001A7AE3">
        <w:rPr>
          <w:rFonts w:eastAsia="Calibri"/>
          <w:color w:val="000000"/>
          <w:sz w:val="24"/>
          <w:szCs w:val="24"/>
        </w:rPr>
        <w:t>profesional que se aparte de estas normas específicas, que le obligan a un especial cuidado, merece un mayor reproche en forma de sanción punitiva</w:t>
      </w:r>
      <w:r w:rsidR="000101D0">
        <w:rPr>
          <w:rFonts w:eastAsia="Calibri"/>
          <w:iCs/>
          <w:color w:val="000000"/>
          <w:sz w:val="24"/>
          <w:szCs w:val="24"/>
        </w:rPr>
        <w:t>. Por tanto</w:t>
      </w:r>
      <w:r w:rsidRPr="001A7AE3">
        <w:rPr>
          <w:rFonts w:eastAsia="Calibri"/>
          <w:iCs/>
          <w:color w:val="000000"/>
          <w:sz w:val="24"/>
          <w:szCs w:val="24"/>
        </w:rPr>
        <w:t>,”</w:t>
      </w:r>
      <w:r w:rsidRPr="001A7AE3">
        <w:rPr>
          <w:rFonts w:eastAsia="Calibri"/>
          <w:i/>
          <w:iCs/>
          <w:color w:val="000000"/>
          <w:sz w:val="24"/>
          <w:szCs w:val="24"/>
        </w:rPr>
        <w:t>la imprudencia profesional aparece claramente definida, en aquellos casos en que, se han omitido los conocimientos específicos que sólo tiene el sujeto por su especial formación</w:t>
      </w:r>
      <w:r w:rsidRPr="001A7AE3">
        <w:rPr>
          <w:rFonts w:eastAsia="Calibri"/>
          <w:iCs/>
          <w:color w:val="000000"/>
          <w:sz w:val="24"/>
          <w:szCs w:val="24"/>
        </w:rPr>
        <w:t>”</w:t>
      </w:r>
      <w:r w:rsidRPr="001A7AE3">
        <w:rPr>
          <w:rFonts w:eastAsia="Calibri"/>
          <w:color w:val="000000"/>
          <w:sz w:val="24"/>
          <w:szCs w:val="24"/>
          <w:vertAlign w:val="superscript"/>
        </w:rPr>
        <w:footnoteReference w:id="35"/>
      </w:r>
      <w:r w:rsidRPr="001A7AE3">
        <w:rPr>
          <w:rFonts w:eastAsia="Calibri"/>
          <w:color w:val="000000"/>
          <w:sz w:val="24"/>
          <w:szCs w:val="24"/>
        </w:rPr>
        <w:t>. En el segundo caso, la imprudencia del profesional, siguiendo a</w:t>
      </w:r>
      <w:r w:rsidRPr="001A7AE3">
        <w:rPr>
          <w:rFonts w:eastAsia="Calibri"/>
          <w:sz w:val="24"/>
          <w:szCs w:val="24"/>
        </w:rPr>
        <w:t xml:space="preserve"> </w:t>
      </w:r>
      <w:r w:rsidRPr="001A7AE3">
        <w:rPr>
          <w:rFonts w:eastAsia="Calibri"/>
          <w:color w:val="000000"/>
          <w:sz w:val="24"/>
          <w:szCs w:val="24"/>
        </w:rPr>
        <w:t>Suárez-Mira, “</w:t>
      </w:r>
      <w:r w:rsidRPr="001A7AE3">
        <w:rPr>
          <w:rFonts w:eastAsia="Calibri"/>
          <w:i/>
          <w:iCs/>
          <w:color w:val="000000"/>
          <w:sz w:val="24"/>
          <w:szCs w:val="24"/>
        </w:rPr>
        <w:t>no es más que una imprudencia común cometida por un profesional en el ejercicio de su art, profesión y oficio</w:t>
      </w:r>
      <w:r w:rsidRPr="001A7AE3">
        <w:rPr>
          <w:rFonts w:eastAsia="Calibri"/>
          <w:color w:val="000000"/>
          <w:sz w:val="24"/>
          <w:szCs w:val="24"/>
        </w:rPr>
        <w:t>”</w:t>
      </w:r>
      <w:r w:rsidRPr="001A7AE3">
        <w:rPr>
          <w:rFonts w:eastAsia="Calibri"/>
          <w:color w:val="000000"/>
          <w:sz w:val="24"/>
          <w:szCs w:val="24"/>
          <w:vertAlign w:val="superscript"/>
        </w:rPr>
        <w:footnoteReference w:id="36"/>
      </w:r>
      <w:r w:rsidRPr="001A7AE3">
        <w:rPr>
          <w:rFonts w:eastAsia="Calibri"/>
          <w:color w:val="000000"/>
          <w:sz w:val="24"/>
          <w:szCs w:val="24"/>
        </w:rPr>
        <w:t xml:space="preserve">, aquella imprudencia común del profesional en el ejercicio de su profesión. </w:t>
      </w:r>
    </w:p>
    <w:p w:rsidR="000101D0" w:rsidRDefault="001A7AE3" w:rsidP="000101D0">
      <w:pPr>
        <w:spacing w:after="200" w:line="360" w:lineRule="auto"/>
        <w:ind w:firstLine="426"/>
        <w:jc w:val="both"/>
        <w:rPr>
          <w:rFonts w:eastAsia="Calibri"/>
          <w:color w:val="000000"/>
          <w:sz w:val="24"/>
          <w:szCs w:val="24"/>
        </w:rPr>
      </w:pPr>
      <w:r w:rsidRPr="001A7AE3">
        <w:rPr>
          <w:rFonts w:eastAsia="Calibri"/>
          <w:color w:val="000000"/>
          <w:sz w:val="24"/>
          <w:szCs w:val="24"/>
        </w:rPr>
        <w:t>Por tanto, se agrava la pena para los casos de imprudencia profesional y, además, con carácter acumulativo, se impondrá la inhabilitación especial para el ejercicio de la profesión por un periodo de tres a seis años.</w:t>
      </w:r>
    </w:p>
    <w:p w:rsidR="000101D0" w:rsidRDefault="001A7AE3" w:rsidP="000101D0">
      <w:pPr>
        <w:spacing w:after="200" w:line="360" w:lineRule="auto"/>
        <w:ind w:firstLine="426"/>
        <w:jc w:val="both"/>
        <w:rPr>
          <w:rFonts w:eastAsia="Calibri"/>
          <w:color w:val="000000"/>
          <w:sz w:val="24"/>
          <w:szCs w:val="24"/>
        </w:rPr>
      </w:pPr>
      <w:r w:rsidRPr="001A7AE3">
        <w:rPr>
          <w:rFonts w:eastAsia="Calibri"/>
          <w:color w:val="000000"/>
          <w:sz w:val="24"/>
          <w:szCs w:val="24"/>
        </w:rPr>
        <w:t>Dicho esto, ¿qué ha venido entendiendo nuestra jurisprudencia por imprudencia grave? ¿Qué elementos se han asentado en la jurisprudencia para configurar la gravedad de la imprudencia y diferenciarla así de la modalidad leve?</w:t>
      </w:r>
    </w:p>
    <w:p w:rsidR="000101D0" w:rsidRDefault="001A7AE3" w:rsidP="000101D0">
      <w:pPr>
        <w:spacing w:after="200" w:line="360" w:lineRule="auto"/>
        <w:ind w:firstLine="426"/>
        <w:jc w:val="both"/>
        <w:rPr>
          <w:rFonts w:eastAsia="Calibri"/>
          <w:color w:val="000000"/>
          <w:sz w:val="24"/>
          <w:szCs w:val="24"/>
        </w:rPr>
      </w:pPr>
      <w:r w:rsidRPr="001A7AE3">
        <w:rPr>
          <w:rFonts w:eastAsia="Calibri"/>
          <w:color w:val="000000"/>
          <w:sz w:val="24"/>
          <w:szCs w:val="24"/>
        </w:rPr>
        <w:lastRenderedPageBreak/>
        <w:t xml:space="preserve">Antes que nada, debe producirse un resultado que sea la parte objetiva de un tipo doloso y mediante la conducta del autor (tanto activa como omisiva) se debe infringir una norma de cuidado, cuyo aspecto interno es el deber de advertir la presencia del peligro, y aspecto externo es el deber de comportarse conforme a las normas de cuidado previamente advertida. Además, se requiere que se haya querido la conducta descuidada, pero no el hecho resultante de tal conducta, con conocimiento del peligro o sin él. </w:t>
      </w:r>
    </w:p>
    <w:p w:rsidR="000101D0" w:rsidRDefault="001A7AE3" w:rsidP="000101D0">
      <w:pPr>
        <w:spacing w:after="200" w:line="360" w:lineRule="auto"/>
        <w:ind w:firstLine="426"/>
        <w:jc w:val="both"/>
        <w:rPr>
          <w:rFonts w:eastAsia="Calibri"/>
          <w:color w:val="000000"/>
          <w:sz w:val="24"/>
          <w:szCs w:val="24"/>
        </w:rPr>
      </w:pPr>
      <w:r w:rsidRPr="001A7AE3">
        <w:rPr>
          <w:rFonts w:eastAsia="Calibri"/>
          <w:color w:val="000000"/>
          <w:sz w:val="24"/>
          <w:szCs w:val="24"/>
        </w:rPr>
        <w:t>En esta línea argumental, la STS 844/1999, de 29 de mayo (fundamento de derecho único) establece que: “</w:t>
      </w:r>
      <w:r w:rsidRPr="000101D0">
        <w:rPr>
          <w:rFonts w:eastAsia="Calibri"/>
          <w:i/>
          <w:color w:val="000000"/>
          <w:sz w:val="24"/>
          <w:szCs w:val="24"/>
        </w:rPr>
        <w:t>Existe una imprudencia punible cuando un resultado típico es objetivamente imputable y el autor ha cometido un error sobre el riesgo de su producción a pesar de la posibilidad de conocer tal riesgo</w:t>
      </w:r>
      <w:r w:rsidRPr="001A7AE3">
        <w:rPr>
          <w:rFonts w:eastAsia="Calibri"/>
          <w:color w:val="000000"/>
          <w:sz w:val="24"/>
          <w:szCs w:val="24"/>
        </w:rPr>
        <w:t>”.</w:t>
      </w:r>
    </w:p>
    <w:p w:rsidR="001A7AE3" w:rsidRPr="001A7AE3" w:rsidRDefault="001A7AE3" w:rsidP="000101D0">
      <w:pPr>
        <w:spacing w:after="200" w:line="360" w:lineRule="auto"/>
        <w:ind w:firstLine="426"/>
        <w:jc w:val="both"/>
        <w:rPr>
          <w:rFonts w:eastAsia="Calibri"/>
          <w:color w:val="000000"/>
          <w:sz w:val="24"/>
          <w:szCs w:val="24"/>
        </w:rPr>
      </w:pPr>
      <w:r w:rsidRPr="001A7AE3">
        <w:rPr>
          <w:rFonts w:eastAsia="Calibri"/>
          <w:color w:val="000000"/>
          <w:sz w:val="24"/>
          <w:szCs w:val="24"/>
        </w:rPr>
        <w:t>Así, en relación con las infracciones culposas o por imprudencia, sean delito o falta, existe una consolidada jurisprudencia del TS respecto de los requisitos de la imprudencia, y de la diferencia entre la imprudencia grave y la imprudencia leve (elementos del tipo de lo injusto imprudente):</w:t>
      </w:r>
    </w:p>
    <w:p w:rsidR="001A7AE3" w:rsidRPr="001A7AE3" w:rsidRDefault="001A7AE3" w:rsidP="000101D0">
      <w:pPr>
        <w:spacing w:after="200" w:line="360" w:lineRule="auto"/>
        <w:ind w:left="426"/>
        <w:jc w:val="both"/>
        <w:rPr>
          <w:rFonts w:eastAsia="Calibri"/>
          <w:i/>
          <w:iCs/>
          <w:color w:val="000000"/>
          <w:sz w:val="24"/>
          <w:szCs w:val="24"/>
        </w:rPr>
      </w:pPr>
      <w:r w:rsidRPr="001A7AE3">
        <w:rPr>
          <w:rFonts w:eastAsia="Calibri"/>
          <w:color w:val="000000"/>
          <w:sz w:val="24"/>
          <w:szCs w:val="24"/>
        </w:rPr>
        <w:t>i.</w:t>
      </w:r>
      <w:r w:rsidRPr="001A7AE3">
        <w:rPr>
          <w:rFonts w:eastAsia="Calibri"/>
          <w:i/>
          <w:iCs/>
          <w:color w:val="000000"/>
          <w:sz w:val="24"/>
          <w:szCs w:val="24"/>
        </w:rPr>
        <w:t xml:space="preserve"> "Una acción u omisión voluntaria no maliciosa, o no intencional”.</w:t>
      </w:r>
    </w:p>
    <w:p w:rsidR="001A7AE3" w:rsidRPr="001A7AE3" w:rsidRDefault="001A7AE3" w:rsidP="000101D0">
      <w:pPr>
        <w:spacing w:after="200" w:line="360" w:lineRule="auto"/>
        <w:ind w:left="426"/>
        <w:jc w:val="both"/>
        <w:rPr>
          <w:rFonts w:eastAsia="Calibri"/>
          <w:i/>
          <w:iCs/>
          <w:color w:val="000000"/>
          <w:sz w:val="24"/>
          <w:szCs w:val="24"/>
        </w:rPr>
      </w:pPr>
      <w:r w:rsidRPr="001A7AE3">
        <w:rPr>
          <w:rFonts w:eastAsia="Calibri"/>
          <w:color w:val="000000"/>
          <w:sz w:val="24"/>
          <w:szCs w:val="24"/>
        </w:rPr>
        <w:t>ii.</w:t>
      </w:r>
      <w:r w:rsidRPr="001A7AE3">
        <w:rPr>
          <w:rFonts w:eastAsia="Calibri"/>
          <w:i/>
          <w:iCs/>
          <w:color w:val="000000"/>
          <w:sz w:val="24"/>
          <w:szCs w:val="24"/>
        </w:rPr>
        <w:t xml:space="preserve"> “Una infracción del deber objetivo de cuidado, concretado en normas reglamentarias o impuesto por las normas socioculturales exigibles al ciudadano medio, según común experiencia”.</w:t>
      </w:r>
    </w:p>
    <w:p w:rsidR="001A7AE3" w:rsidRPr="001A7AE3" w:rsidRDefault="001A7AE3" w:rsidP="000101D0">
      <w:pPr>
        <w:spacing w:after="200" w:line="360" w:lineRule="auto"/>
        <w:ind w:left="426"/>
        <w:jc w:val="both"/>
        <w:rPr>
          <w:rFonts w:eastAsia="Calibri"/>
          <w:i/>
          <w:iCs/>
          <w:color w:val="000000"/>
          <w:sz w:val="24"/>
          <w:szCs w:val="24"/>
        </w:rPr>
      </w:pPr>
      <w:r w:rsidRPr="001A7AE3">
        <w:rPr>
          <w:rFonts w:eastAsia="Calibri"/>
          <w:color w:val="000000"/>
          <w:sz w:val="24"/>
          <w:szCs w:val="24"/>
        </w:rPr>
        <w:t>iii.</w:t>
      </w:r>
      <w:r w:rsidRPr="001A7AE3">
        <w:rPr>
          <w:rFonts w:eastAsia="Calibri"/>
          <w:i/>
          <w:iCs/>
          <w:color w:val="000000"/>
          <w:sz w:val="24"/>
          <w:szCs w:val="24"/>
        </w:rPr>
        <w:t xml:space="preserve"> “Un resultado dañoso derivado</w:t>
      </w:r>
      <w:r w:rsidRPr="001A7AE3">
        <w:rPr>
          <w:rFonts w:eastAsia="Calibri"/>
          <w:color w:val="000000"/>
          <w:sz w:val="24"/>
          <w:szCs w:val="24"/>
        </w:rPr>
        <w:t>, que sea de los que trata de evitar la norma de cuidado</w:t>
      </w:r>
      <w:r w:rsidRPr="001A7AE3">
        <w:rPr>
          <w:rFonts w:eastAsia="Calibri"/>
          <w:i/>
          <w:iCs/>
          <w:color w:val="000000"/>
          <w:sz w:val="24"/>
          <w:szCs w:val="24"/>
        </w:rPr>
        <w:t xml:space="preserve"> en adecuada relación de causalidad, </w:t>
      </w:r>
      <w:r w:rsidRPr="001A7AE3">
        <w:rPr>
          <w:rFonts w:eastAsia="Calibri"/>
          <w:color w:val="000000"/>
          <w:sz w:val="24"/>
          <w:szCs w:val="24"/>
        </w:rPr>
        <w:t>entre el proceder descuidado que genere el riesgo y el daño o mal sobrevenido, dentro del ámbito de la imputación objetiva</w:t>
      </w:r>
      <w:r w:rsidRPr="001A7AE3">
        <w:rPr>
          <w:rFonts w:eastAsia="Calibri"/>
          <w:i/>
          <w:iCs/>
          <w:color w:val="000000"/>
          <w:sz w:val="24"/>
          <w:szCs w:val="24"/>
        </w:rPr>
        <w:t xml:space="preserve"> </w:t>
      </w:r>
      <w:r w:rsidRPr="001A7AE3">
        <w:rPr>
          <w:rFonts w:eastAsia="Calibri"/>
          <w:color w:val="000000"/>
          <w:sz w:val="24"/>
          <w:szCs w:val="24"/>
        </w:rPr>
        <w:t>(teoría de la equivalencia de las condiciones)”.</w:t>
      </w:r>
    </w:p>
    <w:p w:rsidR="001A7AE3" w:rsidRPr="001A7AE3" w:rsidRDefault="001A7AE3" w:rsidP="000101D0">
      <w:pPr>
        <w:spacing w:after="200" w:line="360" w:lineRule="auto"/>
        <w:ind w:left="426"/>
        <w:jc w:val="both"/>
        <w:rPr>
          <w:rFonts w:eastAsia="Calibri"/>
          <w:color w:val="000000"/>
          <w:sz w:val="24"/>
          <w:szCs w:val="24"/>
        </w:rPr>
      </w:pPr>
      <w:r w:rsidRPr="001A7AE3">
        <w:rPr>
          <w:rFonts w:eastAsia="Calibri"/>
          <w:color w:val="000000"/>
          <w:sz w:val="24"/>
          <w:szCs w:val="24"/>
        </w:rPr>
        <w:t>iv.</w:t>
      </w:r>
      <w:r w:rsidRPr="001A7AE3">
        <w:rPr>
          <w:rFonts w:eastAsia="Calibri"/>
          <w:i/>
          <w:iCs/>
          <w:color w:val="000000"/>
          <w:sz w:val="24"/>
          <w:szCs w:val="24"/>
        </w:rPr>
        <w:t xml:space="preserve"> “La creación de un riesgo previsible y evitable</w:t>
      </w:r>
      <w:r w:rsidRPr="001A7AE3">
        <w:rPr>
          <w:rFonts w:eastAsia="Calibri"/>
          <w:color w:val="000000"/>
          <w:sz w:val="24"/>
          <w:szCs w:val="24"/>
        </w:rPr>
        <w:t xml:space="preserve"> (imputación objetiva del resultado).”</w:t>
      </w:r>
      <w:r w:rsidRPr="001A7AE3">
        <w:rPr>
          <w:rFonts w:eastAsia="Calibri"/>
          <w:color w:val="000000"/>
          <w:sz w:val="24"/>
          <w:szCs w:val="24"/>
          <w:vertAlign w:val="superscript"/>
        </w:rPr>
        <w:footnoteReference w:id="37"/>
      </w:r>
    </w:p>
    <w:p w:rsidR="001A7AE3" w:rsidRPr="001A7AE3" w:rsidRDefault="001A7AE3" w:rsidP="00EA0579">
      <w:pPr>
        <w:spacing w:after="200" w:line="360" w:lineRule="auto"/>
        <w:jc w:val="both"/>
        <w:rPr>
          <w:rFonts w:eastAsia="Calibri"/>
          <w:color w:val="000000"/>
          <w:sz w:val="24"/>
          <w:szCs w:val="24"/>
        </w:rPr>
      </w:pPr>
      <w:r w:rsidRPr="001A7AE3">
        <w:rPr>
          <w:rFonts w:eastAsia="Calibri"/>
          <w:iCs/>
          <w:color w:val="000000"/>
          <w:sz w:val="24"/>
          <w:szCs w:val="24"/>
        </w:rPr>
        <w:t>“</w:t>
      </w:r>
      <w:r w:rsidRPr="001A7AE3">
        <w:rPr>
          <w:rFonts w:eastAsia="Calibri"/>
          <w:i/>
          <w:iCs/>
          <w:color w:val="000000"/>
          <w:sz w:val="24"/>
          <w:szCs w:val="24"/>
        </w:rPr>
        <w:t>El deber de cuidado, que está en la base de toda imprudencia, puede provenir de un precepto jurídico o de la norma de la común experiencia general, admitida en el desenvolvimiento ordinario de la vida1</w:t>
      </w:r>
      <w:r w:rsidRPr="001A7AE3">
        <w:rPr>
          <w:rFonts w:eastAsia="Calibri"/>
          <w:iCs/>
          <w:color w:val="000000"/>
          <w:sz w:val="24"/>
          <w:szCs w:val="24"/>
        </w:rPr>
        <w:t>”</w:t>
      </w:r>
      <w:r w:rsidRPr="001A7AE3">
        <w:rPr>
          <w:rFonts w:eastAsia="Calibri"/>
          <w:color w:val="000000"/>
          <w:sz w:val="24"/>
          <w:szCs w:val="24"/>
          <w:vertAlign w:val="superscript"/>
        </w:rPr>
        <w:footnoteReference w:id="38"/>
      </w:r>
      <w:r w:rsidRPr="001A7AE3">
        <w:rPr>
          <w:rFonts w:eastAsia="Calibri"/>
          <w:color w:val="000000"/>
          <w:sz w:val="24"/>
          <w:szCs w:val="24"/>
        </w:rPr>
        <w:t>.</w:t>
      </w:r>
    </w:p>
    <w:p w:rsidR="001A7AE3" w:rsidRPr="001A7AE3" w:rsidRDefault="001A7AE3" w:rsidP="00EA0579">
      <w:pPr>
        <w:spacing w:after="200" w:line="360" w:lineRule="auto"/>
        <w:jc w:val="both"/>
        <w:rPr>
          <w:rFonts w:eastAsia="Calibri"/>
          <w:color w:val="000000"/>
          <w:sz w:val="24"/>
          <w:szCs w:val="24"/>
        </w:rPr>
      </w:pPr>
      <w:r w:rsidRPr="001A7AE3">
        <w:rPr>
          <w:rFonts w:eastAsia="Calibri"/>
          <w:color w:val="000000"/>
          <w:sz w:val="24"/>
          <w:szCs w:val="24"/>
        </w:rPr>
        <w:lastRenderedPageBreak/>
        <w:t>Por tanto, una vez llevada a cabo la conducta imprudente habrá que atender a la magnitud del deber de cuidado contravenido para determinar así la gravedad de la imprudencia.</w:t>
      </w:r>
    </w:p>
    <w:p w:rsidR="001A7AE3" w:rsidRPr="001A7AE3" w:rsidRDefault="001A7AE3" w:rsidP="00EA0579">
      <w:pPr>
        <w:spacing w:after="200" w:line="360" w:lineRule="auto"/>
        <w:jc w:val="both"/>
        <w:rPr>
          <w:rFonts w:eastAsia="Calibri"/>
          <w:color w:val="000000"/>
          <w:sz w:val="24"/>
          <w:szCs w:val="24"/>
        </w:rPr>
      </w:pPr>
      <w:r w:rsidRPr="001A7AE3">
        <w:rPr>
          <w:rFonts w:eastAsia="Calibri"/>
          <w:iCs/>
          <w:color w:val="000000"/>
          <w:sz w:val="24"/>
          <w:szCs w:val="24"/>
        </w:rPr>
        <w:t xml:space="preserve">Así, junto a los elementos del tipo de lo injusto imprudente, </w:t>
      </w:r>
      <w:r w:rsidRPr="001A7AE3">
        <w:rPr>
          <w:rFonts w:eastAsia="Calibri"/>
          <w:bCs/>
          <w:color w:val="000000"/>
          <w:sz w:val="24"/>
          <w:szCs w:val="24"/>
        </w:rPr>
        <w:t xml:space="preserve">el TS ha establecido una serie de parámetros para facilitar la determinación de la gravedad de la imprudencia. </w:t>
      </w:r>
      <w:r w:rsidRPr="001A7AE3">
        <w:rPr>
          <w:rFonts w:eastAsia="Calibri"/>
          <w:color w:val="000000"/>
          <w:sz w:val="24"/>
          <w:szCs w:val="24"/>
        </w:rPr>
        <w:t>Esto es, para la determinación de la gravedad de la imprudencia habrá que atender a:</w:t>
      </w:r>
    </w:p>
    <w:p w:rsidR="001A7AE3" w:rsidRPr="001A7AE3" w:rsidRDefault="001A7AE3" w:rsidP="000101D0">
      <w:pPr>
        <w:spacing w:after="200" w:line="360" w:lineRule="auto"/>
        <w:ind w:left="426"/>
        <w:jc w:val="both"/>
        <w:rPr>
          <w:rFonts w:eastAsia="Calibri"/>
          <w:color w:val="000000"/>
          <w:sz w:val="24"/>
          <w:szCs w:val="24"/>
        </w:rPr>
      </w:pPr>
      <w:r w:rsidRPr="001A7AE3">
        <w:rPr>
          <w:rFonts w:eastAsia="Calibri"/>
          <w:color w:val="000000"/>
          <w:sz w:val="24"/>
          <w:szCs w:val="24"/>
        </w:rPr>
        <w:t>a) La peligrosidad de la conducta y la relevancia de la norma infringida: Infracción del deber objetivo de cuidado o diligencia debida, que determina la gravedad de la imprudencia por “</w:t>
      </w:r>
      <w:r w:rsidRPr="001A7AE3">
        <w:rPr>
          <w:rFonts w:eastAsia="Calibri"/>
          <w:i/>
          <w:iCs/>
          <w:color w:val="000000"/>
          <w:sz w:val="24"/>
          <w:szCs w:val="24"/>
        </w:rPr>
        <w:t>la</w:t>
      </w:r>
      <w:r w:rsidRPr="001A7AE3">
        <w:rPr>
          <w:rFonts w:eastAsia="Calibri"/>
          <w:color w:val="000000"/>
          <w:sz w:val="24"/>
          <w:szCs w:val="24"/>
        </w:rPr>
        <w:t xml:space="preserve"> </w:t>
      </w:r>
      <w:r w:rsidRPr="001A7AE3">
        <w:rPr>
          <w:rFonts w:eastAsia="Calibri"/>
          <w:i/>
          <w:iCs/>
          <w:color w:val="000000"/>
          <w:sz w:val="24"/>
          <w:szCs w:val="24"/>
        </w:rPr>
        <w:t>magnitud de la infracción directamente vinculada al grado de riesgo no permitido generado por la conducta activa del imputado con respecto al bien que tutela la norma penal, o al grado de riesgo no controlado cuando tiene el deber de neutralizar los riesgos que afecten al bien jurídico debido a la conducta de terceras personas o a circunstancias meramente causales</w:t>
      </w:r>
      <w:r w:rsidRPr="001A7AE3">
        <w:rPr>
          <w:rFonts w:eastAsia="Calibri"/>
          <w:color w:val="000000"/>
          <w:sz w:val="24"/>
          <w:szCs w:val="24"/>
        </w:rPr>
        <w:t>”</w:t>
      </w:r>
      <w:r w:rsidRPr="001A7AE3">
        <w:rPr>
          <w:rFonts w:eastAsia="Calibri"/>
          <w:color w:val="000000"/>
          <w:sz w:val="24"/>
          <w:szCs w:val="24"/>
          <w:vertAlign w:val="superscript"/>
        </w:rPr>
        <w:footnoteReference w:id="39"/>
      </w:r>
      <w:r w:rsidRPr="001A7AE3">
        <w:rPr>
          <w:rFonts w:eastAsia="Calibri"/>
          <w:color w:val="000000"/>
          <w:sz w:val="24"/>
          <w:szCs w:val="24"/>
        </w:rPr>
        <w:t xml:space="preserve">. </w:t>
      </w:r>
    </w:p>
    <w:p w:rsidR="000101D0" w:rsidRDefault="001A7AE3" w:rsidP="000101D0">
      <w:pPr>
        <w:spacing w:after="200" w:line="360" w:lineRule="auto"/>
        <w:ind w:firstLine="426"/>
        <w:jc w:val="both"/>
        <w:rPr>
          <w:rFonts w:eastAsia="Calibri"/>
          <w:color w:val="000000"/>
          <w:sz w:val="24"/>
          <w:szCs w:val="24"/>
        </w:rPr>
      </w:pPr>
      <w:r w:rsidRPr="001A7AE3">
        <w:rPr>
          <w:rFonts w:eastAsia="Calibri"/>
          <w:color w:val="000000"/>
          <w:sz w:val="24"/>
          <w:szCs w:val="24"/>
        </w:rPr>
        <w:t xml:space="preserve">Así, </w:t>
      </w:r>
      <w:r w:rsidRPr="001A7AE3">
        <w:rPr>
          <w:rFonts w:eastAsia="Calibri"/>
          <w:iCs/>
          <w:color w:val="000000"/>
          <w:sz w:val="24"/>
          <w:szCs w:val="24"/>
        </w:rPr>
        <w:t>se atiende a la importancia de los bienes jurídicos que se ponen en peligro con la conducta del autor y la posibilidad concreta de que se produzca el resultado</w:t>
      </w:r>
      <w:r w:rsidRPr="001A7AE3">
        <w:rPr>
          <w:rFonts w:eastAsia="Calibri"/>
          <w:iCs/>
          <w:color w:val="000000"/>
          <w:sz w:val="24"/>
          <w:szCs w:val="24"/>
          <w:vertAlign w:val="superscript"/>
        </w:rPr>
        <w:footnoteReference w:id="40"/>
      </w:r>
      <w:r w:rsidRPr="001A7AE3">
        <w:rPr>
          <w:rFonts w:eastAsia="Calibri"/>
          <w:color w:val="000000"/>
          <w:sz w:val="24"/>
          <w:szCs w:val="24"/>
        </w:rPr>
        <w:t xml:space="preserve">. En este sentido, la STS de 30 </w:t>
      </w:r>
      <w:r w:rsidR="000101D0">
        <w:rPr>
          <w:rFonts w:eastAsia="Calibri"/>
          <w:color w:val="000000"/>
          <w:sz w:val="24"/>
          <w:szCs w:val="24"/>
        </w:rPr>
        <w:t xml:space="preserve">de noviembre de 2001 afirma que: </w:t>
      </w:r>
      <w:r w:rsidRPr="001A7AE3">
        <w:rPr>
          <w:rFonts w:eastAsia="Calibri"/>
          <w:color w:val="000000"/>
          <w:sz w:val="24"/>
          <w:szCs w:val="24"/>
        </w:rPr>
        <w:t>“</w:t>
      </w:r>
      <w:r w:rsidR="000101D0">
        <w:rPr>
          <w:rFonts w:eastAsia="Calibri"/>
          <w:i/>
          <w:color w:val="000000"/>
          <w:sz w:val="24"/>
          <w:szCs w:val="24"/>
        </w:rPr>
        <w:t>L</w:t>
      </w:r>
      <w:r w:rsidRPr="001A7AE3">
        <w:rPr>
          <w:rFonts w:eastAsia="Calibri"/>
          <w:i/>
          <w:color w:val="000000"/>
          <w:sz w:val="24"/>
          <w:szCs w:val="24"/>
        </w:rPr>
        <w:t>a gravedad de la imprudencia está directamente en relación con la jerarquía de los bienes jurídicos que se ponen en peligro y con la posibilidad concreta de la producción de un resultado lesivo</w:t>
      </w:r>
      <w:r w:rsidRPr="001A7AE3">
        <w:rPr>
          <w:rFonts w:eastAsia="Calibri"/>
          <w:color w:val="000000"/>
          <w:sz w:val="24"/>
          <w:szCs w:val="24"/>
        </w:rPr>
        <w:t>”. En efecto, la gravedad de la imprudencia está directamente en relación con la jerarquía de los bienes jurídicos que se ponen en peligro y con la posibilidad concreta de la producción del resultado lesivo. En otras palabras, “</w:t>
      </w:r>
      <w:r w:rsidRPr="001A7AE3">
        <w:rPr>
          <w:rFonts w:eastAsia="Calibri"/>
          <w:i/>
          <w:iCs/>
          <w:color w:val="000000"/>
          <w:sz w:val="24"/>
          <w:szCs w:val="24"/>
        </w:rPr>
        <w:t>cuando la acción del autor genera un peligro para un bien jurídico importante en condiciones en las que la posibilidad de producción del resultado son considerables, la imprudencia debe ser calificada de grave</w:t>
      </w:r>
      <w:r w:rsidRPr="001A7AE3">
        <w:rPr>
          <w:rFonts w:eastAsia="Calibri"/>
          <w:color w:val="000000"/>
          <w:sz w:val="24"/>
          <w:szCs w:val="24"/>
        </w:rPr>
        <w:t>”</w:t>
      </w:r>
      <w:r w:rsidRPr="001A7AE3">
        <w:rPr>
          <w:rFonts w:eastAsia="Calibri"/>
          <w:color w:val="000000"/>
          <w:sz w:val="24"/>
          <w:szCs w:val="24"/>
          <w:vertAlign w:val="superscript"/>
        </w:rPr>
        <w:footnoteReference w:id="41"/>
      </w:r>
      <w:r w:rsidRPr="001A7AE3">
        <w:rPr>
          <w:rFonts w:eastAsia="Calibri"/>
          <w:color w:val="000000"/>
          <w:sz w:val="24"/>
          <w:szCs w:val="24"/>
        </w:rPr>
        <w:t>.</w:t>
      </w:r>
    </w:p>
    <w:p w:rsidR="001A7AE3" w:rsidRPr="001A7AE3" w:rsidRDefault="001A7AE3" w:rsidP="000101D0">
      <w:pPr>
        <w:spacing w:after="200" w:line="360" w:lineRule="auto"/>
        <w:ind w:firstLine="426"/>
        <w:jc w:val="both"/>
        <w:rPr>
          <w:rFonts w:eastAsia="Calibri"/>
          <w:color w:val="000000"/>
          <w:sz w:val="24"/>
          <w:szCs w:val="24"/>
        </w:rPr>
      </w:pPr>
      <w:r w:rsidRPr="001A7AE3">
        <w:rPr>
          <w:rFonts w:eastAsia="Calibri"/>
          <w:color w:val="000000"/>
          <w:sz w:val="24"/>
          <w:szCs w:val="24"/>
        </w:rPr>
        <w:lastRenderedPageBreak/>
        <w:t>Por otra parte, la gravedad de la imprudencia no disminuye cuando, una vez realizada la conducta peligrosa, el autor hace intentos de impedir el resultado lesivo, sin conseguir su evitación. En este sentido, la STS de 30 de noviembre de 2011 afirma que</w:t>
      </w:r>
      <w:r w:rsidR="000101D0">
        <w:rPr>
          <w:rFonts w:eastAsia="Calibri"/>
          <w:color w:val="000000"/>
          <w:sz w:val="24"/>
          <w:szCs w:val="24"/>
        </w:rPr>
        <w:t>:</w:t>
      </w:r>
      <w:r w:rsidRPr="001A7AE3">
        <w:rPr>
          <w:rFonts w:eastAsia="Calibri"/>
          <w:color w:val="000000"/>
          <w:sz w:val="24"/>
          <w:szCs w:val="24"/>
        </w:rPr>
        <w:t xml:space="preserve"> “</w:t>
      </w:r>
      <w:r w:rsidR="000101D0">
        <w:rPr>
          <w:rFonts w:eastAsia="Calibri"/>
          <w:i/>
          <w:color w:val="000000"/>
          <w:sz w:val="24"/>
          <w:szCs w:val="24"/>
        </w:rPr>
        <w:t>E</w:t>
      </w:r>
      <w:r w:rsidRPr="001A7AE3">
        <w:rPr>
          <w:rFonts w:eastAsia="Calibri"/>
          <w:i/>
          <w:color w:val="000000"/>
          <w:sz w:val="24"/>
          <w:szCs w:val="24"/>
        </w:rPr>
        <w:t>l propósito del autor de controlar lo que ya resulta incontrolable para él no compensa el desvalor de la acción expresado en la creación del peligro jurídicamente desaprobado</w:t>
      </w:r>
      <w:r w:rsidRPr="001A7AE3">
        <w:rPr>
          <w:rFonts w:eastAsia="Calibri"/>
          <w:color w:val="000000"/>
          <w:sz w:val="24"/>
          <w:szCs w:val="24"/>
        </w:rPr>
        <w:t>”</w:t>
      </w:r>
      <w:r w:rsidRPr="001A7AE3">
        <w:rPr>
          <w:rFonts w:eastAsia="Calibri"/>
          <w:color w:val="000000"/>
          <w:sz w:val="24"/>
          <w:szCs w:val="24"/>
          <w:vertAlign w:val="superscript"/>
        </w:rPr>
        <w:footnoteReference w:id="42"/>
      </w:r>
      <w:r w:rsidRPr="001A7AE3">
        <w:rPr>
          <w:rFonts w:eastAsia="Calibri"/>
          <w:color w:val="000000"/>
          <w:sz w:val="24"/>
          <w:szCs w:val="24"/>
        </w:rPr>
        <w:t>.</w:t>
      </w:r>
    </w:p>
    <w:p w:rsidR="001A7AE3" w:rsidRPr="000101D0" w:rsidRDefault="001A7AE3" w:rsidP="000101D0">
      <w:pPr>
        <w:spacing w:after="200" w:line="360" w:lineRule="auto"/>
        <w:ind w:left="426"/>
        <w:jc w:val="both"/>
        <w:rPr>
          <w:rFonts w:eastAsia="Calibri"/>
          <w:color w:val="000000"/>
          <w:sz w:val="24"/>
          <w:szCs w:val="24"/>
        </w:rPr>
      </w:pPr>
      <w:r w:rsidRPr="001A7AE3">
        <w:rPr>
          <w:rFonts w:eastAsia="Calibri"/>
          <w:color w:val="000000"/>
          <w:sz w:val="24"/>
          <w:szCs w:val="24"/>
        </w:rPr>
        <w:t>b) El grado de desviación entre la conducta y el cuidado debido: Infracción del deber subjetivo de cuidado o diligencia debida, que determina la gravedad de la imprudencia por “</w:t>
      </w:r>
      <w:r w:rsidRPr="001A7AE3">
        <w:rPr>
          <w:rFonts w:eastAsia="Calibri"/>
          <w:i/>
          <w:iCs/>
          <w:color w:val="000000"/>
          <w:sz w:val="24"/>
          <w:szCs w:val="24"/>
        </w:rPr>
        <w:t>el grado de previsibilidad o de cognoscibilidad de la situación de riesgo, atendiendo para ello a las circunstancias del caso concreto</w:t>
      </w:r>
      <w:r w:rsidRPr="001A7AE3">
        <w:rPr>
          <w:rFonts w:eastAsia="Calibri"/>
          <w:color w:val="000000"/>
          <w:sz w:val="24"/>
          <w:szCs w:val="24"/>
        </w:rPr>
        <w:t>”</w:t>
      </w:r>
      <w:r w:rsidRPr="001A7AE3">
        <w:rPr>
          <w:rFonts w:eastAsia="Calibri"/>
          <w:color w:val="000000"/>
          <w:sz w:val="24"/>
          <w:szCs w:val="24"/>
          <w:vertAlign w:val="superscript"/>
        </w:rPr>
        <w:footnoteReference w:id="43"/>
      </w:r>
      <w:r w:rsidRPr="001A7AE3">
        <w:rPr>
          <w:rFonts w:eastAsia="Calibri"/>
          <w:color w:val="000000"/>
          <w:sz w:val="24"/>
          <w:szCs w:val="24"/>
        </w:rPr>
        <w:t>.</w:t>
      </w:r>
      <w:r w:rsidRPr="001A7AE3">
        <w:rPr>
          <w:rFonts w:eastAsia="Calibri"/>
          <w:bCs/>
          <w:color w:val="000000"/>
          <w:sz w:val="24"/>
          <w:szCs w:val="24"/>
        </w:rPr>
        <w:t xml:space="preserve"> Así, </w:t>
      </w:r>
      <w:r w:rsidRPr="001A7AE3">
        <w:rPr>
          <w:rFonts w:eastAsia="Calibri"/>
          <w:bCs/>
          <w:iCs/>
          <w:color w:val="000000"/>
          <w:sz w:val="24"/>
          <w:szCs w:val="24"/>
        </w:rPr>
        <w:t>cuando se observase dejación de las previsiones que exige la más elemental cautela, la imprudencia será grave, mientras que en caso de omisión de la atención normalmente debida, la imprudencia será leve</w:t>
      </w:r>
      <w:r w:rsidRPr="001A7AE3">
        <w:rPr>
          <w:rFonts w:eastAsia="Calibri"/>
          <w:bCs/>
          <w:color w:val="000000"/>
          <w:sz w:val="24"/>
          <w:szCs w:val="24"/>
          <w:vertAlign w:val="superscript"/>
        </w:rPr>
        <w:footnoteReference w:id="44"/>
      </w:r>
      <w:r w:rsidRPr="001A7AE3">
        <w:rPr>
          <w:rFonts w:eastAsia="Calibri"/>
          <w:bCs/>
          <w:color w:val="000000"/>
          <w:sz w:val="24"/>
          <w:szCs w:val="24"/>
        </w:rPr>
        <w:t>.</w:t>
      </w:r>
    </w:p>
    <w:p w:rsidR="000101D0" w:rsidRDefault="001A7AE3" w:rsidP="000101D0">
      <w:pPr>
        <w:spacing w:after="200" w:line="360" w:lineRule="auto"/>
        <w:ind w:firstLine="426"/>
        <w:jc w:val="both"/>
        <w:rPr>
          <w:rFonts w:eastAsia="Calibri"/>
          <w:color w:val="000000"/>
          <w:sz w:val="24"/>
          <w:szCs w:val="24"/>
        </w:rPr>
      </w:pPr>
      <w:r w:rsidRPr="001A7AE3">
        <w:rPr>
          <w:rFonts w:eastAsia="Calibri"/>
          <w:color w:val="000000"/>
          <w:sz w:val="24"/>
          <w:szCs w:val="24"/>
        </w:rPr>
        <w:t>Por tanto, la diferencia entre la imprudencia grave y leve radica en el grado de  inobservancia del cuidado objetivamente debido, que nos permite valorar la gravedad de la imprudencia. En esta línea, dice la sentencia 966/2003, de 4 de julio: “</w:t>
      </w:r>
      <w:r w:rsidRPr="001A7AE3">
        <w:rPr>
          <w:rFonts w:eastAsia="Calibri"/>
          <w:i/>
          <w:iCs/>
          <w:color w:val="000000"/>
          <w:sz w:val="24"/>
          <w:szCs w:val="24"/>
        </w:rPr>
        <w:t>El criterio fundamental para distinguir entre ambas clases de imprudencia ha de estar en la mayor o menor intensidad o importancia del deber de cuidado infringido, ya que la infracción de tal deber constituye el núcleo central acerca del cual gira todo el concepto de imprudencia punible</w:t>
      </w:r>
      <w:r w:rsidRPr="001A7AE3">
        <w:rPr>
          <w:rFonts w:eastAsia="Calibri"/>
          <w:color w:val="000000"/>
          <w:sz w:val="24"/>
          <w:szCs w:val="24"/>
        </w:rPr>
        <w:t>”.</w:t>
      </w:r>
    </w:p>
    <w:p w:rsidR="000101D0" w:rsidRDefault="001A7AE3" w:rsidP="00916DC4">
      <w:pPr>
        <w:spacing w:line="360" w:lineRule="auto"/>
        <w:ind w:firstLine="426"/>
        <w:jc w:val="both"/>
        <w:rPr>
          <w:rFonts w:eastAsia="Calibri"/>
          <w:color w:val="000000"/>
          <w:sz w:val="24"/>
          <w:szCs w:val="24"/>
        </w:rPr>
      </w:pPr>
      <w:r w:rsidRPr="001A7AE3">
        <w:rPr>
          <w:rFonts w:eastAsia="Calibri"/>
          <w:bCs/>
          <w:color w:val="000000"/>
          <w:sz w:val="24"/>
          <w:szCs w:val="24"/>
        </w:rPr>
        <w:t xml:space="preserve">A su vez, la imprudencia puede ser consciente (o con representación) o inconsciente (o sin representación) en función de si el sujeto observó la posibilidad del resultado </w:t>
      </w:r>
      <w:r w:rsidRPr="000101D0">
        <w:rPr>
          <w:rFonts w:eastAsia="Calibri"/>
          <w:bCs/>
          <w:color w:val="000000"/>
          <w:sz w:val="24"/>
          <w:szCs w:val="24"/>
        </w:rPr>
        <w:t xml:space="preserve">dañoso. En esta última, </w:t>
      </w:r>
      <w:r w:rsidRPr="000101D0">
        <w:rPr>
          <w:rFonts w:eastAsia="Calibri"/>
          <w:bCs/>
          <w:iCs/>
          <w:color w:val="000000"/>
          <w:sz w:val="24"/>
          <w:szCs w:val="24"/>
        </w:rPr>
        <w:t>se infringe voluntariamente el deber de advertir el riesgo mientras que en la culpa consciente se infringe de la misma manera el deber de evitar el riesgo advertido</w:t>
      </w:r>
      <w:r w:rsidRPr="000101D0">
        <w:rPr>
          <w:rFonts w:eastAsia="Calibri"/>
          <w:bCs/>
          <w:iCs/>
          <w:color w:val="000000"/>
          <w:sz w:val="24"/>
          <w:szCs w:val="24"/>
          <w:vertAlign w:val="superscript"/>
        </w:rPr>
        <w:footnoteReference w:id="45"/>
      </w:r>
      <w:r w:rsidRPr="000101D0">
        <w:rPr>
          <w:rFonts w:eastAsia="Calibri"/>
          <w:bCs/>
          <w:color w:val="000000"/>
          <w:sz w:val="24"/>
          <w:szCs w:val="24"/>
        </w:rPr>
        <w:t>.</w:t>
      </w:r>
    </w:p>
    <w:p w:rsidR="000101D0" w:rsidRDefault="001A7AE3" w:rsidP="000101D0">
      <w:pPr>
        <w:spacing w:after="200" w:line="360" w:lineRule="auto"/>
        <w:ind w:firstLine="426"/>
        <w:jc w:val="both"/>
        <w:rPr>
          <w:rFonts w:eastAsia="Calibri"/>
          <w:color w:val="000000"/>
          <w:sz w:val="24"/>
          <w:szCs w:val="24"/>
        </w:rPr>
      </w:pPr>
      <w:r w:rsidRPr="001A7AE3">
        <w:rPr>
          <w:rFonts w:eastAsia="Calibri"/>
          <w:color w:val="000000"/>
          <w:sz w:val="24"/>
          <w:szCs w:val="24"/>
        </w:rPr>
        <w:lastRenderedPageBreak/>
        <w:t xml:space="preserve">Así, algunos autores entienden que, el nivel más alto de la imprudencia está en la llamada ''culpa con previsión”, frontera con el dolo eventual, es decir, cuando el sujeto ha previsto el resultado delictivo y pese a ello ha actuado en la confianza de que no habrá de producirse y rechazándolo para el supuesto de que pudiera presentarse. </w:t>
      </w:r>
    </w:p>
    <w:p w:rsidR="000101D0" w:rsidRDefault="001A7AE3" w:rsidP="000101D0">
      <w:pPr>
        <w:spacing w:after="200" w:line="360" w:lineRule="auto"/>
        <w:ind w:firstLine="426"/>
        <w:jc w:val="both"/>
        <w:rPr>
          <w:rFonts w:eastAsia="Calibri"/>
          <w:color w:val="000000"/>
          <w:sz w:val="24"/>
          <w:szCs w:val="24"/>
        </w:rPr>
      </w:pPr>
      <w:r w:rsidRPr="001A7AE3">
        <w:rPr>
          <w:rFonts w:eastAsia="Calibri"/>
          <w:color w:val="000000"/>
          <w:sz w:val="24"/>
          <w:szCs w:val="24"/>
        </w:rPr>
        <w:t xml:space="preserve">En el vértice opuesto se encuentra la “culpa sin previsión” o culpa por descuido o por olvido, frontera con el caso fortuito, en que el sujeto no prevé ese resultado típico, pero tenía el deber de haberlo previsto porque en esas mismas circunstancias un ciudadano de similares condiciones personales lo habría previsto. </w:t>
      </w:r>
    </w:p>
    <w:p w:rsidR="000101D0" w:rsidRDefault="001A7AE3" w:rsidP="000101D0">
      <w:pPr>
        <w:spacing w:after="200" w:line="360" w:lineRule="auto"/>
        <w:ind w:firstLine="426"/>
        <w:jc w:val="both"/>
        <w:rPr>
          <w:rFonts w:eastAsia="Calibri"/>
          <w:color w:val="000000"/>
          <w:sz w:val="24"/>
          <w:szCs w:val="24"/>
        </w:rPr>
      </w:pPr>
      <w:r w:rsidRPr="001A7AE3">
        <w:rPr>
          <w:rFonts w:eastAsia="Calibri"/>
          <w:color w:val="000000"/>
          <w:sz w:val="24"/>
          <w:szCs w:val="24"/>
        </w:rPr>
        <w:t>Sin embargo, aparte de las dificultades prácticas que, por lo general, se plantean para saber si una persona ha previsto o no un resultado que es consecuencia de su propio comportamiento, lo cierto es que tampoco este criterio sirve para distinguir la imprudencia grave de la leve, pues hay casos en los que la no previsión revela una conducta de desidia o abandono de sus deberes por parte del sujeto, que hace especialmente reprochable su conducta y obliga a calificarla como imprudencia grave. De modo que hay que estar a las circunstancias del caso concreto, que son las que sirven de guía para calificar una conducta imprudente como grave o como leve.</w:t>
      </w:r>
    </w:p>
    <w:p w:rsidR="001A7AE3" w:rsidRPr="001A7AE3" w:rsidRDefault="001A7AE3" w:rsidP="000101D0">
      <w:pPr>
        <w:spacing w:after="200" w:line="360" w:lineRule="auto"/>
        <w:ind w:firstLine="426"/>
        <w:jc w:val="both"/>
        <w:rPr>
          <w:rFonts w:eastAsia="Calibri"/>
          <w:color w:val="000000"/>
          <w:sz w:val="24"/>
          <w:szCs w:val="24"/>
        </w:rPr>
      </w:pPr>
      <w:r w:rsidRPr="001A7AE3">
        <w:rPr>
          <w:rFonts w:eastAsia="Calibri"/>
          <w:color w:val="000000"/>
          <w:sz w:val="24"/>
          <w:szCs w:val="24"/>
        </w:rPr>
        <w:t xml:space="preserve">En síntesis, </w:t>
      </w:r>
      <w:r w:rsidRPr="001A7AE3">
        <w:rPr>
          <w:rFonts w:eastAsia="Calibri"/>
          <w:bCs/>
          <w:color w:val="000000"/>
          <w:sz w:val="24"/>
          <w:szCs w:val="24"/>
        </w:rPr>
        <w:t xml:space="preserve">la imprudencia grave, </w:t>
      </w:r>
      <w:r w:rsidR="000101D0">
        <w:rPr>
          <w:rFonts w:eastAsia="Calibri"/>
          <w:bCs/>
          <w:color w:val="000000"/>
          <w:sz w:val="24"/>
          <w:szCs w:val="24"/>
        </w:rPr>
        <w:t>según Suárez-Mira</w:t>
      </w:r>
      <w:r w:rsidRPr="001A7AE3">
        <w:rPr>
          <w:rFonts w:eastAsia="Calibri"/>
          <w:bCs/>
          <w:color w:val="000000"/>
          <w:sz w:val="24"/>
          <w:szCs w:val="24"/>
        </w:rPr>
        <w:t>, “</w:t>
      </w:r>
      <w:r w:rsidRPr="001A7AE3">
        <w:rPr>
          <w:rFonts w:eastAsia="Calibri"/>
          <w:bCs/>
          <w:i/>
          <w:iCs/>
          <w:color w:val="000000"/>
          <w:sz w:val="24"/>
          <w:szCs w:val="24"/>
        </w:rPr>
        <w:t>consiste en la falta de adopción de las precauciones más rudimentarias, la ausencia absoluta de cautela o el olvido total de las más elementales normas de previsión y cuidado</w:t>
      </w:r>
      <w:r w:rsidRPr="001A7AE3">
        <w:rPr>
          <w:rFonts w:eastAsia="Calibri"/>
          <w:bCs/>
          <w:color w:val="000000"/>
          <w:sz w:val="24"/>
          <w:szCs w:val="24"/>
        </w:rPr>
        <w:t>”</w:t>
      </w:r>
      <w:r w:rsidRPr="001A7AE3">
        <w:rPr>
          <w:rFonts w:eastAsia="Calibri"/>
          <w:bCs/>
          <w:color w:val="000000"/>
          <w:sz w:val="24"/>
          <w:szCs w:val="24"/>
          <w:vertAlign w:val="superscript"/>
        </w:rPr>
        <w:footnoteReference w:id="46"/>
      </w:r>
      <w:r w:rsidRPr="001A7AE3">
        <w:rPr>
          <w:rFonts w:eastAsia="Calibri"/>
          <w:bCs/>
          <w:color w:val="000000"/>
          <w:sz w:val="24"/>
          <w:szCs w:val="24"/>
        </w:rPr>
        <w:t>.</w:t>
      </w:r>
      <w:r w:rsidRPr="001A7AE3">
        <w:rPr>
          <w:rFonts w:eastAsia="Calibri"/>
          <w:color w:val="000000"/>
          <w:sz w:val="24"/>
          <w:szCs w:val="24"/>
        </w:rPr>
        <w:t xml:space="preserve"> Se caracteriza, en suma, la imprudencia grave por “</w:t>
      </w:r>
      <w:r w:rsidRPr="001A7AE3">
        <w:rPr>
          <w:rFonts w:eastAsia="Calibri"/>
          <w:i/>
          <w:iCs/>
          <w:color w:val="000000"/>
          <w:sz w:val="24"/>
          <w:szCs w:val="24"/>
        </w:rPr>
        <w:t>imprevisiones que eran fácilmente asequibles y vulgarmente previsibles, así como por la desatención grosera relevante de lo que es exigible a cualquier persona”</w:t>
      </w:r>
      <w:r w:rsidRPr="001A7AE3">
        <w:rPr>
          <w:rFonts w:eastAsia="Calibri"/>
          <w:i/>
          <w:iCs/>
          <w:color w:val="000000"/>
          <w:sz w:val="24"/>
          <w:szCs w:val="24"/>
          <w:vertAlign w:val="superscript"/>
        </w:rPr>
        <w:footnoteReference w:id="47"/>
      </w:r>
      <w:r w:rsidRPr="001A7AE3">
        <w:rPr>
          <w:rFonts w:eastAsia="Calibri"/>
          <w:i/>
          <w:iCs/>
          <w:color w:val="000000"/>
          <w:sz w:val="24"/>
          <w:szCs w:val="24"/>
        </w:rPr>
        <w:t>.</w:t>
      </w:r>
    </w:p>
    <w:p w:rsidR="001A7AE3" w:rsidRPr="001A7AE3" w:rsidRDefault="001A7AE3" w:rsidP="00EA0579">
      <w:pPr>
        <w:spacing w:after="200" w:line="360" w:lineRule="auto"/>
        <w:ind w:left="1134"/>
        <w:jc w:val="both"/>
        <w:rPr>
          <w:rFonts w:eastAsia="Calibri"/>
          <w:b/>
          <w:bCs/>
          <w:sz w:val="24"/>
          <w:szCs w:val="24"/>
        </w:rPr>
      </w:pPr>
      <w:r w:rsidRPr="001A7AE3">
        <w:rPr>
          <w:rFonts w:eastAsia="Calibri"/>
          <w:b/>
          <w:bCs/>
          <w:sz w:val="24"/>
          <w:szCs w:val="24"/>
        </w:rPr>
        <w:t>6.1.2. La imprudencia leve</w:t>
      </w:r>
    </w:p>
    <w:p w:rsidR="001D56D9" w:rsidRDefault="001A7AE3" w:rsidP="001D56D9">
      <w:pPr>
        <w:spacing w:after="200" w:line="360" w:lineRule="auto"/>
        <w:ind w:firstLine="426"/>
        <w:jc w:val="both"/>
        <w:rPr>
          <w:rFonts w:eastAsia="Calibri"/>
          <w:sz w:val="24"/>
          <w:szCs w:val="24"/>
        </w:rPr>
      </w:pPr>
      <w:r w:rsidRPr="001A7AE3">
        <w:rPr>
          <w:rFonts w:eastAsia="Calibri"/>
          <w:sz w:val="24"/>
          <w:szCs w:val="24"/>
        </w:rPr>
        <w:t>En el art. 621.2 del ACP, se encontraba tipificado el homicidio por imprudencia leve, dentro del Título I, del Libro III, titulado “faltas contra las personas”, estableciendo lo siguiente: “</w:t>
      </w:r>
      <w:r w:rsidRPr="001A7AE3">
        <w:rPr>
          <w:rFonts w:eastAsia="Calibri"/>
          <w:i/>
          <w:iCs/>
          <w:sz w:val="24"/>
          <w:szCs w:val="24"/>
        </w:rPr>
        <w:t>Los que por imprudencia leve causaren la muerte de otra persona, serán castigados con la pena de multa de uno a dos meses</w:t>
      </w:r>
      <w:r w:rsidRPr="001A7AE3">
        <w:rPr>
          <w:rFonts w:eastAsia="Calibri"/>
          <w:sz w:val="24"/>
          <w:szCs w:val="24"/>
        </w:rPr>
        <w:t>”.</w:t>
      </w:r>
    </w:p>
    <w:p w:rsidR="001D56D9" w:rsidRDefault="001A7AE3" w:rsidP="001D56D9">
      <w:pPr>
        <w:spacing w:after="200" w:line="360" w:lineRule="auto"/>
        <w:ind w:firstLine="426"/>
        <w:jc w:val="both"/>
        <w:rPr>
          <w:rFonts w:eastAsia="Calibri"/>
          <w:sz w:val="24"/>
          <w:szCs w:val="24"/>
        </w:rPr>
      </w:pPr>
      <w:r w:rsidRPr="001A7AE3">
        <w:rPr>
          <w:rFonts w:eastAsia="Calibri"/>
          <w:sz w:val="24"/>
          <w:szCs w:val="24"/>
        </w:rPr>
        <w:lastRenderedPageBreak/>
        <w:t>En el apartado tercero de este mismo artículo se encontraban tipificadas las lesiones por imprudencia leve, estableciendo lo siguiente: “</w:t>
      </w:r>
      <w:r w:rsidRPr="001A7AE3">
        <w:rPr>
          <w:rFonts w:eastAsia="Calibri"/>
          <w:i/>
          <w:iCs/>
          <w:sz w:val="24"/>
          <w:szCs w:val="24"/>
        </w:rPr>
        <w:t>Los que por imprudencia leve causaran lesión constitutiva de delito serán castigados con pena de multa de diez a treinta días</w:t>
      </w:r>
      <w:r w:rsidRPr="001A7AE3">
        <w:rPr>
          <w:rFonts w:eastAsia="Calibri"/>
          <w:sz w:val="24"/>
          <w:szCs w:val="24"/>
        </w:rPr>
        <w:t>”.</w:t>
      </w:r>
    </w:p>
    <w:p w:rsidR="001D56D9" w:rsidRDefault="001A7AE3" w:rsidP="001D56D9">
      <w:pPr>
        <w:spacing w:after="200" w:line="360" w:lineRule="auto"/>
        <w:ind w:firstLine="426"/>
        <w:jc w:val="both"/>
        <w:rPr>
          <w:rFonts w:eastAsia="Calibri"/>
          <w:sz w:val="24"/>
          <w:szCs w:val="24"/>
        </w:rPr>
      </w:pPr>
      <w:r w:rsidRPr="001A7AE3">
        <w:rPr>
          <w:rFonts w:eastAsia="Calibri"/>
          <w:sz w:val="24"/>
          <w:szCs w:val="24"/>
        </w:rPr>
        <w:t>Por su parte, en los dos apartados siguientes del mencionado artículo se establecían tipos agravados en atención a los medios de comisión, e</w:t>
      </w:r>
      <w:r w:rsidR="001D56D9">
        <w:rPr>
          <w:rFonts w:eastAsia="Calibri"/>
          <w:sz w:val="24"/>
          <w:szCs w:val="24"/>
        </w:rPr>
        <w:t>s decir, cuando el resultado hubiese</w:t>
      </w:r>
      <w:r w:rsidRPr="001A7AE3">
        <w:rPr>
          <w:rFonts w:eastAsia="Calibri"/>
          <w:sz w:val="24"/>
          <w:szCs w:val="24"/>
        </w:rPr>
        <w:t xml:space="preserve"> sido la consecuencia lógica del empleo de un vehículo a motor o ciclomotor, o como consecuencia del manejo y uso de armas. El legislador optó por agravar, igualmente, la pena en estos supuestos, aplicando además la privación del derecho a conducir vehículos a motor o ciclomotor y del derecho a la tenencia o porte de armas, respectivamente, de tres meses a un año.</w:t>
      </w:r>
    </w:p>
    <w:p w:rsidR="001D56D9" w:rsidRDefault="001A7AE3" w:rsidP="001D56D9">
      <w:pPr>
        <w:spacing w:after="200" w:line="360" w:lineRule="auto"/>
        <w:ind w:firstLine="426"/>
        <w:jc w:val="both"/>
        <w:rPr>
          <w:rFonts w:eastAsia="Calibri"/>
          <w:sz w:val="24"/>
          <w:szCs w:val="24"/>
        </w:rPr>
      </w:pPr>
      <w:r w:rsidRPr="001A7AE3">
        <w:rPr>
          <w:rFonts w:eastAsia="Calibri"/>
          <w:sz w:val="24"/>
          <w:szCs w:val="24"/>
        </w:rPr>
        <w:t>No obstante, y a diferencia de los delitos de homicidio y lesiones por imprudencia, no se agrava la pena en atención a los sujetos que la comete, esto es, la imprudencia profesional.</w:t>
      </w:r>
    </w:p>
    <w:p w:rsidR="001D56D9" w:rsidRDefault="001A7AE3" w:rsidP="001D56D9">
      <w:pPr>
        <w:spacing w:after="200" w:line="360" w:lineRule="auto"/>
        <w:ind w:firstLine="426"/>
        <w:jc w:val="both"/>
        <w:rPr>
          <w:rFonts w:eastAsia="Calibri"/>
          <w:sz w:val="24"/>
          <w:szCs w:val="24"/>
        </w:rPr>
      </w:pPr>
      <w:r w:rsidRPr="001A7AE3">
        <w:rPr>
          <w:rFonts w:eastAsia="Calibri"/>
          <w:sz w:val="24"/>
          <w:szCs w:val="24"/>
        </w:rPr>
        <w:t>Por último, el apartado sexto hace referencia expresa a la necesidad de denuncia de la persona agraviada o de su representante legal, para que las infracciones tipificadas en este artículo sean perseguibles.</w:t>
      </w:r>
    </w:p>
    <w:p w:rsidR="001D56D9" w:rsidRDefault="001A7AE3" w:rsidP="001D56D9">
      <w:pPr>
        <w:spacing w:after="200" w:line="360" w:lineRule="auto"/>
        <w:ind w:firstLine="426"/>
        <w:jc w:val="both"/>
        <w:rPr>
          <w:rFonts w:eastAsia="Calibri"/>
          <w:sz w:val="24"/>
          <w:szCs w:val="24"/>
        </w:rPr>
      </w:pPr>
      <w:r w:rsidRPr="001A7AE3">
        <w:rPr>
          <w:rFonts w:eastAsia="Calibri"/>
          <w:sz w:val="24"/>
          <w:szCs w:val="24"/>
        </w:rPr>
        <w:t>Dicho esto, en términos del TS, con la finalidad de diferenciar la imprudencia leve de la impru</w:t>
      </w:r>
      <w:r w:rsidR="001D56D9">
        <w:rPr>
          <w:rFonts w:eastAsia="Calibri"/>
          <w:sz w:val="24"/>
          <w:szCs w:val="24"/>
        </w:rPr>
        <w:t>dencia grave, disponía que habría</w:t>
      </w:r>
      <w:r w:rsidRPr="001A7AE3">
        <w:rPr>
          <w:rFonts w:eastAsia="Calibri"/>
          <w:sz w:val="24"/>
          <w:szCs w:val="24"/>
        </w:rPr>
        <w:t xml:space="preserve"> de atenderse a los siguientes criterios: “</w:t>
      </w:r>
      <w:r w:rsidRPr="001A7AE3">
        <w:rPr>
          <w:rFonts w:eastAsia="Calibri"/>
          <w:i/>
          <w:iCs/>
          <w:sz w:val="24"/>
          <w:szCs w:val="24"/>
        </w:rPr>
        <w:t>1º- La mayor o menor falta de diligencia mostrada en la acción u omisión constituyente de la conducta delictiva, es decir, en la omisión del cuidado que se ha de tener en el obrar; 2º- La mayor o menor previsibilidad del evento que sea el resultado; 3º- La mayor o menor intensidad de la infracción del deber de cuidado, quedando tal intensidad referida a que las normas de cuidado infringidas sean o no tan elementales como para entender que las respetaría el menos diligente de los ciudadanos (grave) o un ciudadano cuidadoso (leve)”</w:t>
      </w:r>
      <w:r w:rsidRPr="001A7AE3">
        <w:rPr>
          <w:rFonts w:eastAsia="Calibri"/>
          <w:i/>
          <w:iCs/>
          <w:sz w:val="24"/>
          <w:szCs w:val="24"/>
          <w:vertAlign w:val="superscript"/>
        </w:rPr>
        <w:footnoteReference w:id="48"/>
      </w:r>
      <w:r w:rsidRPr="001A7AE3">
        <w:rPr>
          <w:rFonts w:eastAsia="Calibri"/>
          <w:i/>
          <w:iCs/>
          <w:sz w:val="24"/>
          <w:szCs w:val="24"/>
        </w:rPr>
        <w:t>.</w:t>
      </w:r>
    </w:p>
    <w:p w:rsidR="001D56D9" w:rsidRDefault="001A7AE3" w:rsidP="001D56D9">
      <w:pPr>
        <w:spacing w:after="200" w:line="360" w:lineRule="auto"/>
        <w:ind w:firstLine="426"/>
        <w:jc w:val="both"/>
        <w:rPr>
          <w:rFonts w:eastAsia="Calibri"/>
          <w:sz w:val="24"/>
          <w:szCs w:val="24"/>
        </w:rPr>
      </w:pPr>
      <w:r w:rsidRPr="001A7AE3">
        <w:rPr>
          <w:rFonts w:eastAsia="Calibri"/>
          <w:sz w:val="24"/>
          <w:szCs w:val="24"/>
        </w:rPr>
        <w:t>Igualmente, la STS 1841/2000 de 1 de diciembre (fundamento de derecho segundo), establece que para distinguir ambas modalidades se deberá de tener en cuanta: “</w:t>
      </w:r>
      <w:r w:rsidRPr="001A7AE3">
        <w:rPr>
          <w:rFonts w:eastAsia="Calibri"/>
          <w:i/>
          <w:iCs/>
          <w:sz w:val="24"/>
          <w:szCs w:val="24"/>
        </w:rPr>
        <w:t xml:space="preserve">a) La mayor o menor falta de diligencia mostrada en la acción u omisión </w:t>
      </w:r>
      <w:r w:rsidRPr="001A7AE3">
        <w:rPr>
          <w:rFonts w:eastAsia="Calibri"/>
          <w:i/>
          <w:iCs/>
          <w:sz w:val="24"/>
          <w:szCs w:val="24"/>
        </w:rPr>
        <w:lastRenderedPageBreak/>
        <w:t>constituyente de la conducta delictiva, es decir, en la omisión del cuidado que se ha de tener en el obrar; b) La mayor o menor previsibilidad del evento que sea el resultado y; c) El mayor o menor grado de infracción por el agente del deber de cuidado que según las normas socio culturales vigentes de él se esperaba”</w:t>
      </w:r>
      <w:r w:rsidRPr="001A7AE3">
        <w:rPr>
          <w:rFonts w:eastAsia="Calibri"/>
          <w:sz w:val="24"/>
          <w:szCs w:val="24"/>
        </w:rPr>
        <w:t>.</w:t>
      </w:r>
    </w:p>
    <w:p w:rsidR="001D56D9" w:rsidRDefault="001A7AE3" w:rsidP="001D56D9">
      <w:pPr>
        <w:spacing w:after="200" w:line="360" w:lineRule="auto"/>
        <w:ind w:firstLine="426"/>
        <w:jc w:val="both"/>
        <w:rPr>
          <w:rFonts w:eastAsia="Calibri"/>
          <w:sz w:val="24"/>
          <w:szCs w:val="24"/>
        </w:rPr>
      </w:pPr>
      <w:r w:rsidRPr="001A7AE3">
        <w:rPr>
          <w:rFonts w:eastAsia="Calibri"/>
          <w:sz w:val="24"/>
          <w:szCs w:val="24"/>
        </w:rPr>
        <w:t xml:space="preserve">Atendiendo al grado de infracción del deber de cuidado omitido, como explicábamos anteriormente, la imprudencia sería grave si se omite las más elementales normas de cuidado y leve en caso de tratarse de una falta de atención de poca entidad a las normas de cuidado. </w:t>
      </w:r>
    </w:p>
    <w:p w:rsidR="001D56D9" w:rsidRDefault="001A7AE3" w:rsidP="001D56D9">
      <w:pPr>
        <w:spacing w:after="200" w:line="360" w:lineRule="auto"/>
        <w:ind w:firstLine="426"/>
        <w:jc w:val="both"/>
        <w:rPr>
          <w:rFonts w:eastAsia="Calibri"/>
          <w:sz w:val="24"/>
          <w:szCs w:val="24"/>
        </w:rPr>
      </w:pPr>
      <w:r w:rsidRPr="001A7AE3">
        <w:rPr>
          <w:rFonts w:eastAsia="Calibri"/>
          <w:sz w:val="24"/>
          <w:szCs w:val="24"/>
        </w:rPr>
        <w:t>Además, la valoración de la entidad de la negligencia, en el proceso de discriminación entre una y otra modalidad de imprudencia, se realizaría en atención a las circunstancias concurrentes en cada caso. Si bien, no se trata de si la exclusión de alguna de esas circunstancias habría excluido hipotéticamente el siniestro, sino de que la conducta del recurrente generó un riesgo no permitido que explica la producción del siniestro y a la que el mismo es imputable. Así, resulta “</w:t>
      </w:r>
      <w:r w:rsidRPr="001A7AE3">
        <w:rPr>
          <w:rFonts w:eastAsia="Calibri"/>
          <w:i/>
          <w:sz w:val="24"/>
          <w:szCs w:val="24"/>
        </w:rPr>
        <w:t>necesaria una valoración de las circunstancias concurrentes en el momento del accidente que permitan determinar cuál fue la actitud de la recurrente y cuál deba ser la valoración social del riesgo creado</w:t>
      </w:r>
      <w:r w:rsidRPr="001A7AE3">
        <w:rPr>
          <w:rFonts w:eastAsia="Calibri"/>
          <w:sz w:val="24"/>
          <w:szCs w:val="24"/>
        </w:rPr>
        <w:t>”</w:t>
      </w:r>
      <w:r w:rsidRPr="001A7AE3">
        <w:rPr>
          <w:rFonts w:eastAsia="Calibri"/>
          <w:sz w:val="24"/>
          <w:szCs w:val="24"/>
          <w:vertAlign w:val="superscript"/>
        </w:rPr>
        <w:footnoteReference w:id="49"/>
      </w:r>
      <w:r w:rsidRPr="001A7AE3">
        <w:rPr>
          <w:rFonts w:eastAsia="Calibri"/>
          <w:sz w:val="24"/>
          <w:szCs w:val="24"/>
        </w:rPr>
        <w:t>.</w:t>
      </w:r>
    </w:p>
    <w:p w:rsidR="001D56D9" w:rsidRDefault="001A7AE3" w:rsidP="001D56D9">
      <w:pPr>
        <w:spacing w:after="200" w:line="360" w:lineRule="auto"/>
        <w:ind w:firstLine="426"/>
        <w:jc w:val="both"/>
        <w:rPr>
          <w:rFonts w:eastAsia="Calibri"/>
          <w:sz w:val="24"/>
          <w:szCs w:val="24"/>
        </w:rPr>
      </w:pPr>
      <w:r w:rsidRPr="001A7AE3">
        <w:rPr>
          <w:rFonts w:eastAsia="Calibri"/>
          <w:sz w:val="24"/>
          <w:szCs w:val="24"/>
        </w:rPr>
        <w:t xml:space="preserve">No hay que perder de vista que la configuración de la imprudencia penal se realiza sobre todas las facetas de la actividad humana. </w:t>
      </w:r>
    </w:p>
    <w:p w:rsidR="001A7AE3" w:rsidRPr="001A7AE3" w:rsidRDefault="001A7AE3" w:rsidP="001D56D9">
      <w:pPr>
        <w:spacing w:after="200" w:line="360" w:lineRule="auto"/>
        <w:ind w:firstLine="426"/>
        <w:jc w:val="both"/>
        <w:rPr>
          <w:rFonts w:eastAsia="Calibri"/>
          <w:sz w:val="24"/>
          <w:szCs w:val="24"/>
        </w:rPr>
      </w:pPr>
      <w:r w:rsidRPr="001A7AE3">
        <w:rPr>
          <w:rFonts w:eastAsia="Calibri"/>
          <w:sz w:val="24"/>
          <w:szCs w:val="24"/>
        </w:rPr>
        <w:t>En teoría, la incriminación de la imprudencia pudiera parecer tarea sencilla, limitándonos a aplicar los criterios doctrinales y jurisprudenciales. No obstante, lo cierto es que la realidad práctica es mucho más compleja, y determinar la gravedad de la imprudencia puede llegar a resultar una labor tediosa.</w:t>
      </w:r>
    </w:p>
    <w:p w:rsidR="001A7AE3" w:rsidRPr="001A7AE3" w:rsidRDefault="001A7AE3" w:rsidP="00EA0579">
      <w:pPr>
        <w:spacing w:after="200" w:line="360" w:lineRule="auto"/>
        <w:ind w:left="567"/>
        <w:jc w:val="both"/>
        <w:rPr>
          <w:rFonts w:eastAsia="Calibri"/>
          <w:b/>
          <w:bCs/>
          <w:sz w:val="24"/>
          <w:szCs w:val="24"/>
        </w:rPr>
      </w:pPr>
      <w:r w:rsidRPr="001A7AE3">
        <w:rPr>
          <w:rFonts w:eastAsia="Calibri"/>
          <w:b/>
          <w:bCs/>
          <w:sz w:val="24"/>
          <w:szCs w:val="24"/>
        </w:rPr>
        <w:t>6.2. Regulación actual</w:t>
      </w:r>
    </w:p>
    <w:p w:rsidR="006C39CF" w:rsidRDefault="001A7AE3" w:rsidP="006C39CF">
      <w:pPr>
        <w:spacing w:after="200" w:line="360" w:lineRule="auto"/>
        <w:ind w:firstLine="426"/>
        <w:jc w:val="both"/>
        <w:rPr>
          <w:rFonts w:eastAsia="Calibri"/>
          <w:bCs/>
          <w:sz w:val="24"/>
          <w:szCs w:val="24"/>
        </w:rPr>
      </w:pPr>
      <w:r w:rsidRPr="001A7AE3">
        <w:rPr>
          <w:rFonts w:eastAsia="Calibri"/>
          <w:bCs/>
          <w:sz w:val="24"/>
          <w:szCs w:val="24"/>
        </w:rPr>
        <w:t>Los delitos de homicidio y lesiones imprudentes han sufrido una importante modificación derivada de la eliminación del Libro III del CP y, por consiguiente, de la supresión de las faltas, como consecuencia de la despenalización de algunas de ellas, de su conversión en ilícitos civiles administrativos o de su transformación en delitos leves.</w:t>
      </w:r>
    </w:p>
    <w:p w:rsidR="006C39CF" w:rsidRDefault="001A7AE3" w:rsidP="006C39CF">
      <w:pPr>
        <w:spacing w:after="200" w:line="360" w:lineRule="auto"/>
        <w:ind w:firstLine="426"/>
        <w:jc w:val="both"/>
        <w:rPr>
          <w:rFonts w:eastAsia="Calibri"/>
          <w:bCs/>
          <w:sz w:val="24"/>
          <w:szCs w:val="24"/>
        </w:rPr>
      </w:pPr>
      <w:r w:rsidRPr="001A7AE3">
        <w:rPr>
          <w:rFonts w:eastAsia="Calibri"/>
          <w:bCs/>
          <w:sz w:val="24"/>
          <w:szCs w:val="24"/>
        </w:rPr>
        <w:lastRenderedPageBreak/>
        <w:t>Así, la falta de homicidio por imprudencia leve (art. 621.2 CP) se reconduce hacia la vía jurisdiccional civil, de manera que, sólo constituirá delito el homicidio por imprudencia grave (art. 142.1 CP) y el homicidio por imprudencia menos grave (art. 142.2 CP) que entra a formar parte del catálogo de delitos leves.</w:t>
      </w:r>
    </w:p>
    <w:p w:rsidR="006C39CF" w:rsidRDefault="001A7AE3" w:rsidP="006C39CF">
      <w:pPr>
        <w:spacing w:after="200" w:line="360" w:lineRule="auto"/>
        <w:ind w:firstLine="426"/>
        <w:jc w:val="both"/>
        <w:rPr>
          <w:rFonts w:eastAsia="Calibri"/>
          <w:bCs/>
          <w:sz w:val="24"/>
          <w:szCs w:val="24"/>
        </w:rPr>
      </w:pPr>
      <w:r w:rsidRPr="001A7AE3">
        <w:rPr>
          <w:rFonts w:eastAsia="Calibri"/>
          <w:bCs/>
          <w:sz w:val="24"/>
          <w:szCs w:val="24"/>
        </w:rPr>
        <w:t>Respecto a las lesiones sucede lo mismo, al expulsar la Reforma del ámbito penal aquellas causadas por imprudencia leve (art. 621.1 y 3 CP) y la sucesiva incorporación de las lesiones causadas por imprudencia menos grave (art. 152.2 CP), junto a las lesiones causadas por imprudencia grave (art. 152.1 CP), se reenumeran los apartados de la anterior redacción del precepto.</w:t>
      </w:r>
    </w:p>
    <w:p w:rsidR="0096292E" w:rsidRDefault="001A7AE3" w:rsidP="006C39CF">
      <w:pPr>
        <w:spacing w:after="200" w:line="360" w:lineRule="auto"/>
        <w:ind w:firstLine="426"/>
        <w:jc w:val="both"/>
        <w:rPr>
          <w:rFonts w:eastAsia="Calibri"/>
          <w:bCs/>
          <w:sz w:val="24"/>
          <w:szCs w:val="24"/>
        </w:rPr>
      </w:pPr>
      <w:r w:rsidRPr="001A7AE3">
        <w:rPr>
          <w:rFonts w:eastAsia="Calibri"/>
          <w:bCs/>
          <w:sz w:val="24"/>
          <w:szCs w:val="24"/>
        </w:rPr>
        <w:t>La Reforma introduce un nuevo término en la configuración jurídico-penal de la responsabilidad por imprudencia. Junto a la imprudencia grave, que en todo caso dará lugar a responsabilidad penal si el resultado producido es constitutivo de una lesión que requiera para su sanidad al menos tratamiento médico o quirúrgico, o cause un menoscabo a la salud de mayor entidad, y de la leve, en todo caso impune desde la perspectiva penal, sea cual sea el resultado y la afección a la salud que se hayan producido, estará la imprudencia menos grave, que solo tendrá consecuencias jurídico-penales si el menoscabo a la salud producido fuese alguno de los especialmente graves previstos en los arts. 149 o 150 CP.</w:t>
      </w:r>
    </w:p>
    <w:p w:rsidR="006C39CF" w:rsidRPr="0096292E" w:rsidRDefault="0096292E" w:rsidP="0096292E">
      <w:pPr>
        <w:tabs>
          <w:tab w:val="left" w:pos="2250"/>
        </w:tabs>
        <w:rPr>
          <w:rFonts w:eastAsia="Calibri"/>
          <w:sz w:val="24"/>
          <w:szCs w:val="24"/>
        </w:rPr>
      </w:pPr>
      <w:r>
        <w:rPr>
          <w:rFonts w:eastAsia="Calibri"/>
          <w:sz w:val="24"/>
          <w:szCs w:val="24"/>
        </w:rPr>
        <w:tab/>
      </w:r>
    </w:p>
    <w:p w:rsidR="006C39CF" w:rsidRDefault="001A7AE3" w:rsidP="006C39CF">
      <w:pPr>
        <w:spacing w:after="200" w:line="360" w:lineRule="auto"/>
        <w:ind w:firstLine="426"/>
        <w:jc w:val="both"/>
        <w:rPr>
          <w:rFonts w:eastAsia="Calibri"/>
          <w:bCs/>
          <w:sz w:val="24"/>
          <w:szCs w:val="24"/>
        </w:rPr>
      </w:pPr>
      <w:r w:rsidRPr="001A7AE3">
        <w:rPr>
          <w:rFonts w:eastAsia="Calibri"/>
          <w:bCs/>
          <w:sz w:val="24"/>
          <w:szCs w:val="24"/>
        </w:rPr>
        <w:t>La imprudencia menos grave constituye un ejemplo de la nueva categoría de delitos leves, que viene a ser un sucedáneo de las antiguas faltas. Por tanto, esta inédita figura se incardina, conforme a los arts. 13 y 33 CP.</w:t>
      </w:r>
    </w:p>
    <w:p w:rsidR="006C39CF" w:rsidRDefault="001A7AE3" w:rsidP="006C39CF">
      <w:pPr>
        <w:spacing w:after="200" w:line="360" w:lineRule="auto"/>
        <w:ind w:firstLine="426"/>
        <w:jc w:val="both"/>
        <w:rPr>
          <w:rFonts w:eastAsia="Calibri"/>
          <w:bCs/>
          <w:sz w:val="24"/>
          <w:szCs w:val="24"/>
        </w:rPr>
      </w:pPr>
      <w:r w:rsidRPr="001A7AE3">
        <w:rPr>
          <w:rFonts w:eastAsia="Calibri"/>
          <w:sz w:val="24"/>
          <w:szCs w:val="24"/>
        </w:rPr>
        <w:t>Conforme al art. 13 CP los delitos, según su gravedad, pueden clasificarse, tras la Reforma de 2015, como graves, menos graves o leves, atendiendo a la pena que con arreglo a la calificación se señale.</w:t>
      </w:r>
    </w:p>
    <w:p w:rsidR="006C39CF" w:rsidRDefault="001A7AE3" w:rsidP="006C39CF">
      <w:pPr>
        <w:spacing w:after="200" w:line="360" w:lineRule="auto"/>
        <w:ind w:firstLine="426"/>
        <w:jc w:val="both"/>
        <w:rPr>
          <w:rFonts w:eastAsia="Calibri"/>
          <w:bCs/>
          <w:sz w:val="24"/>
          <w:szCs w:val="24"/>
        </w:rPr>
      </w:pPr>
      <w:r w:rsidRPr="001A7AE3">
        <w:rPr>
          <w:rFonts w:eastAsia="Calibri"/>
          <w:bCs/>
          <w:sz w:val="24"/>
          <w:szCs w:val="24"/>
        </w:rPr>
        <w:t>A tenor del art.13.3 CP “</w:t>
      </w:r>
      <w:r w:rsidRPr="001A7AE3">
        <w:rPr>
          <w:rFonts w:eastAsia="Calibri"/>
          <w:bCs/>
          <w:i/>
          <w:iCs/>
          <w:sz w:val="24"/>
          <w:szCs w:val="24"/>
        </w:rPr>
        <w:t>son delitos leves las infracciones que la ley castiga con pena leve</w:t>
      </w:r>
      <w:r w:rsidRPr="001A7AE3">
        <w:rPr>
          <w:rFonts w:eastAsia="Calibri"/>
          <w:bCs/>
          <w:sz w:val="24"/>
          <w:szCs w:val="24"/>
        </w:rPr>
        <w:t>”, y a tenor del art. 13.4 CP “</w:t>
      </w:r>
      <w:r w:rsidRPr="001A7AE3">
        <w:rPr>
          <w:rFonts w:eastAsia="Calibri"/>
          <w:bCs/>
          <w:i/>
          <w:iCs/>
          <w:sz w:val="24"/>
          <w:szCs w:val="24"/>
        </w:rPr>
        <w:t>cuando la pena, por su extensión, pueda considerarse como leve y como menos grave, el delito se considerará, en todo caso, como leve</w:t>
      </w:r>
      <w:r w:rsidRPr="001A7AE3">
        <w:rPr>
          <w:rFonts w:eastAsia="Calibri"/>
          <w:bCs/>
          <w:sz w:val="24"/>
          <w:szCs w:val="24"/>
        </w:rPr>
        <w:t xml:space="preserve">”. </w:t>
      </w:r>
    </w:p>
    <w:p w:rsidR="006C39CF" w:rsidRDefault="001A7AE3" w:rsidP="006C39CF">
      <w:pPr>
        <w:spacing w:after="200" w:line="360" w:lineRule="auto"/>
        <w:ind w:firstLine="426"/>
        <w:jc w:val="both"/>
        <w:rPr>
          <w:rFonts w:eastAsia="Calibri"/>
          <w:bCs/>
          <w:sz w:val="24"/>
          <w:szCs w:val="24"/>
        </w:rPr>
      </w:pPr>
      <w:r w:rsidRPr="001A7AE3">
        <w:rPr>
          <w:rFonts w:eastAsia="Calibri"/>
          <w:bCs/>
          <w:sz w:val="24"/>
          <w:szCs w:val="24"/>
        </w:rPr>
        <w:t xml:space="preserve">La graduación de las penas se contempla en el art. 33 CP. En su apartado tercero, considera penas menos graves tanto, la prisión de tres meses hasta cinco años, la </w:t>
      </w:r>
      <w:r w:rsidRPr="001A7AE3">
        <w:rPr>
          <w:rFonts w:eastAsia="Calibri"/>
          <w:bCs/>
          <w:sz w:val="24"/>
          <w:szCs w:val="24"/>
        </w:rPr>
        <w:lastRenderedPageBreak/>
        <w:t>privación del derecho a conducir vehículos a motor o ciclomotor de un año y un día a ocho años, la privación del derecho a la tenencia y porte de armas de un año y un día a ocho años, así como la multa de más de tres meses. En su apartado cuarto, considera penas leves, la privación del derecho a conducir vehículos a motor y ciclomotor de tres meses a un año, la privación del derecho a la tenencia y porte de armas de tres meses a un año y la multa de hasta tres meses.</w:t>
      </w:r>
    </w:p>
    <w:p w:rsidR="006C39CF" w:rsidRDefault="001A7AE3" w:rsidP="006C39CF">
      <w:pPr>
        <w:spacing w:after="200" w:line="360" w:lineRule="auto"/>
        <w:ind w:firstLine="426"/>
        <w:jc w:val="both"/>
        <w:rPr>
          <w:rFonts w:eastAsia="Calibri"/>
          <w:bCs/>
          <w:sz w:val="24"/>
          <w:szCs w:val="24"/>
        </w:rPr>
      </w:pPr>
      <w:r w:rsidRPr="001A7AE3">
        <w:rPr>
          <w:rFonts w:eastAsia="Calibri"/>
          <w:sz w:val="24"/>
          <w:szCs w:val="24"/>
        </w:rPr>
        <w:t>En los delitos de homicidio por imprudencia las penas son de prisión de uno a cuatro años para la grave y de multa de tres a dieciocho a meses para la menos grave.</w:t>
      </w:r>
    </w:p>
    <w:p w:rsidR="006C39CF" w:rsidRDefault="001A7AE3" w:rsidP="006C39CF">
      <w:pPr>
        <w:spacing w:after="200" w:line="360" w:lineRule="auto"/>
        <w:ind w:firstLine="426"/>
        <w:jc w:val="both"/>
        <w:rPr>
          <w:rFonts w:eastAsia="Calibri"/>
          <w:bCs/>
          <w:sz w:val="24"/>
          <w:szCs w:val="24"/>
        </w:rPr>
      </w:pPr>
      <w:r w:rsidRPr="001A7AE3">
        <w:rPr>
          <w:rFonts w:eastAsia="Calibri"/>
          <w:sz w:val="24"/>
          <w:szCs w:val="24"/>
        </w:rPr>
        <w:t>En los delitos de lesiones las penas son de prisión de tres meses o multa de seis meses para la imprudencia grave y de multa de tres meses para la menos grave.</w:t>
      </w:r>
    </w:p>
    <w:p w:rsidR="001A7AE3" w:rsidRPr="006C39CF" w:rsidRDefault="001A7AE3" w:rsidP="006C39CF">
      <w:pPr>
        <w:spacing w:after="200" w:line="360" w:lineRule="auto"/>
        <w:ind w:firstLine="426"/>
        <w:jc w:val="both"/>
        <w:rPr>
          <w:rFonts w:eastAsia="Calibri"/>
          <w:bCs/>
          <w:sz w:val="24"/>
          <w:szCs w:val="24"/>
        </w:rPr>
      </w:pPr>
      <w:r w:rsidRPr="001A7AE3">
        <w:rPr>
          <w:rFonts w:eastAsia="Calibri"/>
          <w:sz w:val="24"/>
          <w:szCs w:val="24"/>
        </w:rPr>
        <w:t>Con arreglo a dicha penalización los distintos delitos han de considerarse:</w:t>
      </w:r>
    </w:p>
    <w:p w:rsidR="001A7AE3" w:rsidRPr="001A7AE3" w:rsidRDefault="001A7AE3" w:rsidP="00486CE9">
      <w:pPr>
        <w:spacing w:after="200" w:line="360" w:lineRule="auto"/>
        <w:ind w:left="567"/>
        <w:jc w:val="both"/>
        <w:rPr>
          <w:rFonts w:eastAsia="Calibri"/>
          <w:sz w:val="24"/>
          <w:szCs w:val="24"/>
        </w:rPr>
      </w:pPr>
      <w:r w:rsidRPr="001A7AE3">
        <w:rPr>
          <w:rFonts w:eastAsia="Calibri"/>
          <w:sz w:val="24"/>
          <w:szCs w:val="24"/>
        </w:rPr>
        <w:t>a) Como menos graves los delitos de homicidio y lesiones, ambos por imprudencia grave.</w:t>
      </w:r>
    </w:p>
    <w:p w:rsidR="001A7AE3" w:rsidRPr="001A7AE3" w:rsidRDefault="001A7AE3" w:rsidP="00486CE9">
      <w:pPr>
        <w:spacing w:after="200" w:line="360" w:lineRule="auto"/>
        <w:ind w:left="567"/>
        <w:jc w:val="both"/>
        <w:rPr>
          <w:rFonts w:eastAsia="Calibri"/>
          <w:sz w:val="24"/>
          <w:szCs w:val="24"/>
        </w:rPr>
      </w:pPr>
      <w:r w:rsidRPr="001A7AE3">
        <w:rPr>
          <w:rFonts w:eastAsia="Calibri"/>
          <w:sz w:val="24"/>
          <w:szCs w:val="24"/>
        </w:rPr>
        <w:t xml:space="preserve">b) Como leves los delitos de homicidio y lesiones, ambos por imprudencia menos grave. </w:t>
      </w:r>
    </w:p>
    <w:p w:rsidR="001A7AE3" w:rsidRPr="001A7AE3" w:rsidRDefault="001A7AE3" w:rsidP="00486CE9">
      <w:pPr>
        <w:spacing w:after="200" w:line="360" w:lineRule="auto"/>
        <w:ind w:left="567"/>
        <w:jc w:val="both"/>
        <w:rPr>
          <w:rFonts w:eastAsia="Calibri"/>
          <w:sz w:val="24"/>
          <w:szCs w:val="24"/>
        </w:rPr>
      </w:pPr>
      <w:r w:rsidRPr="001A7AE3">
        <w:rPr>
          <w:rFonts w:eastAsia="Calibri"/>
          <w:sz w:val="24"/>
          <w:szCs w:val="24"/>
        </w:rPr>
        <w:t>c) Conductas que se mantienen con igual regulación:</w:t>
      </w:r>
    </w:p>
    <w:p w:rsidR="001A7AE3" w:rsidRPr="001A7AE3" w:rsidRDefault="001A7AE3" w:rsidP="00486CE9">
      <w:pPr>
        <w:spacing w:after="200" w:line="360" w:lineRule="auto"/>
        <w:ind w:left="709"/>
        <w:jc w:val="both"/>
        <w:rPr>
          <w:rFonts w:eastAsia="Calibri"/>
          <w:sz w:val="24"/>
          <w:szCs w:val="24"/>
        </w:rPr>
      </w:pPr>
      <w:r w:rsidRPr="001A7AE3">
        <w:rPr>
          <w:rFonts w:eastAsia="Calibri"/>
          <w:sz w:val="24"/>
          <w:szCs w:val="24"/>
        </w:rPr>
        <w:t>i. Aborto por imprudencia grave (art. 146 CP).</w:t>
      </w:r>
    </w:p>
    <w:p w:rsidR="001A7AE3" w:rsidRPr="001A7AE3" w:rsidRDefault="001A7AE3" w:rsidP="00486CE9">
      <w:pPr>
        <w:spacing w:after="200" w:line="360" w:lineRule="auto"/>
        <w:ind w:left="709"/>
        <w:jc w:val="both"/>
        <w:rPr>
          <w:rFonts w:eastAsia="Calibri"/>
          <w:sz w:val="24"/>
          <w:szCs w:val="24"/>
        </w:rPr>
      </w:pPr>
      <w:r w:rsidRPr="001A7AE3">
        <w:rPr>
          <w:rFonts w:eastAsia="Calibri"/>
          <w:sz w:val="24"/>
          <w:szCs w:val="24"/>
        </w:rPr>
        <w:t xml:space="preserve">ii. Lesiones al feto por imprudencia grave (art. 158 CP). </w:t>
      </w:r>
    </w:p>
    <w:p w:rsidR="001A7AE3" w:rsidRPr="001A7AE3" w:rsidRDefault="001A7AE3" w:rsidP="00486CE9">
      <w:pPr>
        <w:spacing w:after="200" w:line="360" w:lineRule="auto"/>
        <w:ind w:left="709"/>
        <w:jc w:val="both"/>
        <w:rPr>
          <w:rFonts w:eastAsia="Calibri"/>
          <w:sz w:val="24"/>
          <w:szCs w:val="24"/>
        </w:rPr>
      </w:pPr>
      <w:r w:rsidRPr="001A7AE3">
        <w:rPr>
          <w:rFonts w:eastAsia="Calibri"/>
          <w:sz w:val="24"/>
          <w:szCs w:val="24"/>
        </w:rPr>
        <w:t xml:space="preserve">iii. Daños superiores a 80.000 euros  por imprudencia grave (art. 267 CP). </w:t>
      </w:r>
    </w:p>
    <w:p w:rsidR="001A7AE3" w:rsidRPr="001A7AE3" w:rsidRDefault="001A7AE3" w:rsidP="00486CE9">
      <w:pPr>
        <w:spacing w:after="200" w:line="360" w:lineRule="auto"/>
        <w:ind w:left="567"/>
        <w:jc w:val="both"/>
        <w:rPr>
          <w:rFonts w:eastAsia="Calibri"/>
          <w:sz w:val="24"/>
          <w:szCs w:val="24"/>
        </w:rPr>
      </w:pPr>
      <w:r w:rsidRPr="001A7AE3">
        <w:rPr>
          <w:rFonts w:eastAsia="Calibri"/>
          <w:sz w:val="24"/>
          <w:szCs w:val="24"/>
        </w:rPr>
        <w:t>d) Conductas que quedan fuera del Código Penal:</w:t>
      </w:r>
    </w:p>
    <w:p w:rsidR="001A7AE3" w:rsidRPr="001A7AE3" w:rsidRDefault="001A7AE3" w:rsidP="00486CE9">
      <w:pPr>
        <w:spacing w:after="200" w:line="360" w:lineRule="auto"/>
        <w:ind w:left="709"/>
        <w:jc w:val="both"/>
        <w:rPr>
          <w:rFonts w:eastAsia="Calibri"/>
          <w:sz w:val="24"/>
          <w:szCs w:val="24"/>
        </w:rPr>
      </w:pPr>
      <w:r w:rsidRPr="001A7AE3">
        <w:rPr>
          <w:rFonts w:eastAsia="Calibri"/>
          <w:sz w:val="24"/>
          <w:szCs w:val="24"/>
        </w:rPr>
        <w:t>i. Supuestos de imprudencia leve.</w:t>
      </w:r>
    </w:p>
    <w:p w:rsidR="001A7AE3" w:rsidRPr="001A7AE3" w:rsidRDefault="001A7AE3" w:rsidP="00486CE9">
      <w:pPr>
        <w:spacing w:after="200" w:line="360" w:lineRule="auto"/>
        <w:ind w:left="709"/>
        <w:jc w:val="both"/>
        <w:rPr>
          <w:rFonts w:eastAsia="Calibri"/>
          <w:sz w:val="24"/>
          <w:szCs w:val="24"/>
        </w:rPr>
      </w:pPr>
      <w:r w:rsidRPr="001A7AE3">
        <w:rPr>
          <w:rFonts w:eastAsia="Calibri"/>
          <w:sz w:val="24"/>
          <w:szCs w:val="24"/>
        </w:rPr>
        <w:t>ii. Supuestos de lesiones de los arts. 147 1, 158 y 146 CP cometida por imprudencia menos grave.</w:t>
      </w:r>
    </w:p>
    <w:p w:rsidR="001A7AE3" w:rsidRPr="001A7AE3" w:rsidRDefault="001A7AE3" w:rsidP="00486CE9">
      <w:pPr>
        <w:spacing w:after="200" w:line="360" w:lineRule="auto"/>
        <w:ind w:left="709"/>
        <w:jc w:val="both"/>
        <w:rPr>
          <w:rFonts w:eastAsia="Calibri"/>
          <w:sz w:val="24"/>
          <w:szCs w:val="24"/>
        </w:rPr>
      </w:pPr>
      <w:r w:rsidRPr="001A7AE3">
        <w:rPr>
          <w:rFonts w:eastAsia="Calibri"/>
          <w:sz w:val="24"/>
          <w:szCs w:val="24"/>
        </w:rPr>
        <w:t>iii. Daños de cuantía igual o inferior a 80.000 euros por imprudencia grave.</w:t>
      </w:r>
    </w:p>
    <w:p w:rsidR="001A7AE3" w:rsidRPr="001A7AE3" w:rsidRDefault="001A7AE3" w:rsidP="00486CE9">
      <w:pPr>
        <w:spacing w:after="200" w:line="360" w:lineRule="auto"/>
        <w:ind w:left="709"/>
        <w:jc w:val="both"/>
        <w:rPr>
          <w:rFonts w:eastAsia="Calibri"/>
          <w:sz w:val="24"/>
          <w:szCs w:val="24"/>
        </w:rPr>
      </w:pPr>
      <w:r w:rsidRPr="001A7AE3">
        <w:rPr>
          <w:rFonts w:eastAsia="Calibri"/>
          <w:sz w:val="24"/>
          <w:szCs w:val="24"/>
        </w:rPr>
        <w:t>iv. Daños por cualquier otra imprudencia cualquiera que sea su cuantía.</w:t>
      </w:r>
    </w:p>
    <w:p w:rsidR="001A7AE3" w:rsidRPr="001A7AE3" w:rsidRDefault="001A7AE3" w:rsidP="00EA0579">
      <w:pPr>
        <w:spacing w:after="200" w:line="360" w:lineRule="auto"/>
        <w:jc w:val="both"/>
        <w:rPr>
          <w:rFonts w:eastAsia="Calibri"/>
          <w:sz w:val="24"/>
          <w:szCs w:val="24"/>
        </w:rPr>
      </w:pPr>
      <w:r w:rsidRPr="001A7AE3">
        <w:rPr>
          <w:rFonts w:eastAsia="Calibri"/>
          <w:sz w:val="24"/>
          <w:szCs w:val="24"/>
        </w:rPr>
        <w:lastRenderedPageBreak/>
        <w:t xml:space="preserve">Por tanto, se modifica el art. 142 CP relativo al homicidio imprudente, que queda redactado como sigue: </w:t>
      </w:r>
    </w:p>
    <w:p w:rsidR="0096292E" w:rsidRDefault="001A7AE3" w:rsidP="0096292E">
      <w:pPr>
        <w:spacing w:after="200" w:line="360" w:lineRule="auto"/>
        <w:ind w:firstLine="426"/>
        <w:jc w:val="both"/>
        <w:rPr>
          <w:rFonts w:eastAsia="Calibri"/>
          <w:i/>
          <w:sz w:val="24"/>
          <w:szCs w:val="24"/>
        </w:rPr>
      </w:pPr>
      <w:r w:rsidRPr="001A7AE3">
        <w:rPr>
          <w:rFonts w:eastAsia="Calibri"/>
          <w:sz w:val="24"/>
          <w:szCs w:val="24"/>
        </w:rPr>
        <w:t>“</w:t>
      </w:r>
      <w:r w:rsidRPr="001A7AE3">
        <w:rPr>
          <w:rFonts w:eastAsia="Calibri"/>
          <w:i/>
          <w:sz w:val="24"/>
          <w:szCs w:val="24"/>
        </w:rPr>
        <w:t>1. El que por imprudencia grave causare la muerte de otro, será castigado, como reo de homicidio imprudente, con la pena de prisión de uno a cuatro años.</w:t>
      </w:r>
    </w:p>
    <w:p w:rsidR="0096292E" w:rsidRDefault="001A7AE3" w:rsidP="0096292E">
      <w:pPr>
        <w:spacing w:after="200" w:line="360" w:lineRule="auto"/>
        <w:ind w:firstLine="426"/>
        <w:jc w:val="both"/>
        <w:rPr>
          <w:rFonts w:eastAsia="Calibri"/>
          <w:i/>
          <w:sz w:val="24"/>
          <w:szCs w:val="24"/>
        </w:rPr>
      </w:pPr>
      <w:r w:rsidRPr="001A7AE3">
        <w:rPr>
          <w:rFonts w:eastAsia="Calibri"/>
          <w:i/>
          <w:sz w:val="24"/>
          <w:szCs w:val="24"/>
        </w:rPr>
        <w:t>Si el homicidio imprudente se hubiera cometido utilizando un vehículo a motor o un ciclomotor, se impondrá asimismo la pena de privación del derecho a conducir vehículos a motor y ciclomotores de uno a seis años.</w:t>
      </w:r>
    </w:p>
    <w:p w:rsidR="0096292E" w:rsidRDefault="001A7AE3" w:rsidP="0096292E">
      <w:pPr>
        <w:spacing w:after="200" w:line="360" w:lineRule="auto"/>
        <w:ind w:firstLine="426"/>
        <w:jc w:val="both"/>
        <w:rPr>
          <w:rFonts w:eastAsia="Calibri"/>
          <w:i/>
          <w:sz w:val="24"/>
          <w:szCs w:val="24"/>
        </w:rPr>
      </w:pPr>
      <w:r w:rsidRPr="001A7AE3">
        <w:rPr>
          <w:rFonts w:eastAsia="Calibri"/>
          <w:i/>
          <w:sz w:val="24"/>
          <w:szCs w:val="24"/>
        </w:rPr>
        <w:t>Si el homicidio imprudente se hubiera cometido utilizando un arma de fuego, se impondrá también la pena de privación del derecho al porte o tenencia de armas por tiempo de uno a seis años.</w:t>
      </w:r>
    </w:p>
    <w:p w:rsidR="0096292E" w:rsidRDefault="001A7AE3" w:rsidP="0096292E">
      <w:pPr>
        <w:spacing w:after="200" w:line="360" w:lineRule="auto"/>
        <w:ind w:firstLine="426"/>
        <w:jc w:val="both"/>
        <w:rPr>
          <w:rFonts w:eastAsia="Calibri"/>
          <w:i/>
          <w:sz w:val="24"/>
          <w:szCs w:val="24"/>
        </w:rPr>
      </w:pPr>
      <w:r w:rsidRPr="001A7AE3">
        <w:rPr>
          <w:rFonts w:eastAsia="Calibri"/>
          <w:i/>
          <w:sz w:val="24"/>
          <w:szCs w:val="24"/>
        </w:rPr>
        <w:t>Si el homicidio se hubiera cometido por imprudencia profesional, se impondrá además la pena de inhabilitación especial para el ejercicio de la profesión, oficio o cargo por un período de tres a seis años.</w:t>
      </w:r>
    </w:p>
    <w:p w:rsidR="0096292E" w:rsidRDefault="001A7AE3" w:rsidP="0096292E">
      <w:pPr>
        <w:spacing w:after="200" w:line="360" w:lineRule="auto"/>
        <w:ind w:firstLine="426"/>
        <w:jc w:val="both"/>
        <w:rPr>
          <w:rFonts w:eastAsia="Calibri"/>
          <w:i/>
          <w:sz w:val="24"/>
          <w:szCs w:val="24"/>
        </w:rPr>
      </w:pPr>
      <w:r w:rsidRPr="001A7AE3">
        <w:rPr>
          <w:rFonts w:eastAsia="Calibri"/>
          <w:i/>
          <w:sz w:val="24"/>
          <w:szCs w:val="24"/>
        </w:rPr>
        <w:t>2. El que por imprudencia menos grave causare la muerte de otro, será castigado con la pena de multa de tres meses a dieciocho meses.</w:t>
      </w:r>
    </w:p>
    <w:p w:rsidR="0096292E" w:rsidRDefault="001A7AE3" w:rsidP="0096292E">
      <w:pPr>
        <w:spacing w:after="200" w:line="360" w:lineRule="auto"/>
        <w:ind w:firstLine="426"/>
        <w:jc w:val="both"/>
        <w:rPr>
          <w:rFonts w:eastAsia="Calibri"/>
          <w:i/>
          <w:sz w:val="24"/>
          <w:szCs w:val="24"/>
        </w:rPr>
      </w:pPr>
      <w:r w:rsidRPr="001A7AE3">
        <w:rPr>
          <w:rFonts w:eastAsia="Calibri"/>
          <w:i/>
          <w:sz w:val="24"/>
          <w:szCs w:val="24"/>
        </w:rPr>
        <w:t>Si el homicidio se hubiera cometido utilizando un vehículo a motor o un ciclomotor, se podrá imponer también la pena de privación del derecho a conducir vehículos a motor y ciclomotores de tres a dieciocho meses.</w:t>
      </w:r>
    </w:p>
    <w:p w:rsidR="0096292E" w:rsidRDefault="001A7AE3" w:rsidP="0096292E">
      <w:pPr>
        <w:spacing w:after="200" w:line="360" w:lineRule="auto"/>
        <w:ind w:firstLine="426"/>
        <w:jc w:val="both"/>
        <w:rPr>
          <w:rFonts w:eastAsia="Calibri"/>
          <w:i/>
          <w:sz w:val="24"/>
          <w:szCs w:val="24"/>
        </w:rPr>
      </w:pPr>
      <w:r w:rsidRPr="001A7AE3">
        <w:rPr>
          <w:rFonts w:eastAsia="Calibri"/>
          <w:i/>
          <w:sz w:val="24"/>
          <w:szCs w:val="24"/>
        </w:rPr>
        <w:t>Si el homicidio se hubiera cometido utilizando un arma de fuego, se podrá imponer también la pena de privación del derecho al porte o tenencia de armas por tiempo de tres a dieciocho meses.</w:t>
      </w:r>
    </w:p>
    <w:p w:rsidR="001A7AE3" w:rsidRPr="0096292E" w:rsidRDefault="001A7AE3" w:rsidP="0096292E">
      <w:pPr>
        <w:spacing w:after="200" w:line="360" w:lineRule="auto"/>
        <w:ind w:firstLine="426"/>
        <w:jc w:val="both"/>
        <w:rPr>
          <w:rFonts w:eastAsia="Calibri"/>
          <w:i/>
          <w:sz w:val="24"/>
          <w:szCs w:val="24"/>
        </w:rPr>
      </w:pPr>
      <w:r w:rsidRPr="001A7AE3">
        <w:rPr>
          <w:rFonts w:eastAsia="Calibri"/>
          <w:i/>
          <w:sz w:val="24"/>
          <w:szCs w:val="24"/>
        </w:rPr>
        <w:t>El delito previsto en este apartado sólo será perseguible mediante denuncia de la persona agraviada o de su representante legal</w:t>
      </w:r>
      <w:r w:rsidRPr="001A7AE3">
        <w:rPr>
          <w:rFonts w:eastAsia="Calibri"/>
          <w:sz w:val="24"/>
          <w:szCs w:val="24"/>
        </w:rPr>
        <w:t>”.</w:t>
      </w:r>
    </w:p>
    <w:p w:rsidR="001A7AE3" w:rsidRPr="001A7AE3" w:rsidRDefault="001A7AE3" w:rsidP="0096292E">
      <w:pPr>
        <w:spacing w:after="200" w:line="360" w:lineRule="auto"/>
        <w:ind w:firstLine="284"/>
        <w:jc w:val="both"/>
        <w:rPr>
          <w:rFonts w:eastAsia="Calibri"/>
          <w:sz w:val="24"/>
          <w:szCs w:val="24"/>
        </w:rPr>
      </w:pPr>
      <w:r w:rsidRPr="001A7AE3">
        <w:rPr>
          <w:rFonts w:eastAsia="Calibri"/>
          <w:sz w:val="24"/>
          <w:szCs w:val="24"/>
        </w:rPr>
        <w:t>En la misma línea, se modifica el art. 152 CP relativos a las lesiones imprudentes, que queda redactado como sigue:</w:t>
      </w:r>
    </w:p>
    <w:p w:rsidR="001A7AE3" w:rsidRPr="001A7AE3" w:rsidRDefault="001A7AE3" w:rsidP="0096292E">
      <w:pPr>
        <w:spacing w:after="200" w:line="360" w:lineRule="auto"/>
        <w:ind w:firstLine="426"/>
        <w:jc w:val="both"/>
        <w:rPr>
          <w:rFonts w:eastAsia="Calibri"/>
          <w:i/>
          <w:sz w:val="24"/>
          <w:szCs w:val="24"/>
        </w:rPr>
      </w:pPr>
      <w:r w:rsidRPr="001A7AE3">
        <w:rPr>
          <w:rFonts w:eastAsia="Calibri"/>
          <w:sz w:val="24"/>
          <w:szCs w:val="24"/>
        </w:rPr>
        <w:t>“</w:t>
      </w:r>
      <w:r w:rsidRPr="001A7AE3">
        <w:rPr>
          <w:rFonts w:eastAsia="Calibri"/>
          <w:i/>
          <w:sz w:val="24"/>
          <w:szCs w:val="24"/>
        </w:rPr>
        <w:t>1. El que por imprudencia grave causare alguna de las lesiones previstas en los artículos anteriores será castigado, en atención al riesgo creado y el resultado producido:</w:t>
      </w:r>
    </w:p>
    <w:p w:rsidR="001A7AE3" w:rsidRPr="001A7AE3" w:rsidRDefault="001A7AE3" w:rsidP="0096292E">
      <w:pPr>
        <w:spacing w:after="200" w:line="360" w:lineRule="auto"/>
        <w:ind w:left="426"/>
        <w:jc w:val="both"/>
        <w:rPr>
          <w:rFonts w:eastAsia="Calibri"/>
          <w:i/>
          <w:sz w:val="24"/>
          <w:szCs w:val="24"/>
        </w:rPr>
      </w:pPr>
      <w:r w:rsidRPr="001A7AE3">
        <w:rPr>
          <w:rFonts w:eastAsia="Calibri"/>
          <w:i/>
          <w:sz w:val="24"/>
          <w:szCs w:val="24"/>
        </w:rPr>
        <w:lastRenderedPageBreak/>
        <w:t>1.º Con la pena de prisión de tres a seis meses o multa de seis a dieciocho meses, si se tratare de las lesiones del apartado 1 del artículo 147.</w:t>
      </w:r>
    </w:p>
    <w:p w:rsidR="001A7AE3" w:rsidRPr="001A7AE3" w:rsidRDefault="001A7AE3" w:rsidP="0096292E">
      <w:pPr>
        <w:spacing w:after="200" w:line="360" w:lineRule="auto"/>
        <w:ind w:left="426"/>
        <w:jc w:val="both"/>
        <w:rPr>
          <w:rFonts w:eastAsia="Calibri"/>
          <w:i/>
          <w:sz w:val="24"/>
          <w:szCs w:val="24"/>
        </w:rPr>
      </w:pPr>
      <w:r w:rsidRPr="001A7AE3">
        <w:rPr>
          <w:rFonts w:eastAsia="Calibri"/>
          <w:i/>
          <w:sz w:val="24"/>
          <w:szCs w:val="24"/>
        </w:rPr>
        <w:t>2.º Con la pena de prisión de uno a tres años, si se tratare de las lesiones del artículo 149.</w:t>
      </w:r>
    </w:p>
    <w:p w:rsidR="001A7AE3" w:rsidRPr="001A7AE3" w:rsidRDefault="001A7AE3" w:rsidP="0096292E">
      <w:pPr>
        <w:spacing w:after="200" w:line="360" w:lineRule="auto"/>
        <w:ind w:left="426"/>
        <w:jc w:val="both"/>
        <w:rPr>
          <w:rFonts w:eastAsia="Calibri"/>
          <w:i/>
          <w:sz w:val="24"/>
          <w:szCs w:val="24"/>
        </w:rPr>
      </w:pPr>
      <w:r w:rsidRPr="001A7AE3">
        <w:rPr>
          <w:rFonts w:eastAsia="Calibri"/>
          <w:i/>
          <w:sz w:val="24"/>
          <w:szCs w:val="24"/>
        </w:rPr>
        <w:t>3.º Con la pena de prisión de seis meses a dos años, si se tratare de las lesiones del artículo 150.</w:t>
      </w:r>
    </w:p>
    <w:p w:rsidR="0096292E" w:rsidRDefault="001A7AE3" w:rsidP="0096292E">
      <w:pPr>
        <w:spacing w:after="200" w:line="360" w:lineRule="auto"/>
        <w:ind w:firstLine="426"/>
        <w:jc w:val="both"/>
        <w:rPr>
          <w:rFonts w:eastAsia="Calibri"/>
          <w:i/>
          <w:sz w:val="24"/>
          <w:szCs w:val="24"/>
        </w:rPr>
      </w:pPr>
      <w:r w:rsidRPr="001A7AE3">
        <w:rPr>
          <w:rFonts w:eastAsia="Calibri"/>
          <w:i/>
          <w:sz w:val="24"/>
          <w:szCs w:val="24"/>
        </w:rPr>
        <w:t>Si los hechos se hubieran cometido utilizando un vehículo a motor o un ciclomotor, se impondrá asimismo la pena de privación del derecho a conducir vehículos a motor y ciclomotores de uno a cuatro años.</w:t>
      </w:r>
    </w:p>
    <w:p w:rsidR="0096292E" w:rsidRDefault="001A7AE3" w:rsidP="0096292E">
      <w:pPr>
        <w:spacing w:after="200" w:line="360" w:lineRule="auto"/>
        <w:ind w:firstLine="426"/>
        <w:jc w:val="both"/>
        <w:rPr>
          <w:rFonts w:eastAsia="Calibri"/>
          <w:i/>
          <w:sz w:val="24"/>
          <w:szCs w:val="24"/>
        </w:rPr>
      </w:pPr>
      <w:r w:rsidRPr="001A7AE3">
        <w:rPr>
          <w:rFonts w:eastAsia="Calibri"/>
          <w:i/>
          <w:sz w:val="24"/>
          <w:szCs w:val="24"/>
        </w:rPr>
        <w:t>Si las lesiones se hubieran causado utilizando un arma de fuego, se impondrá también la pena de privación del derecho al porte o tenencia de armas por tiempo de uno a cuatro años.</w:t>
      </w:r>
    </w:p>
    <w:p w:rsidR="0096292E" w:rsidRDefault="001A7AE3" w:rsidP="0096292E">
      <w:pPr>
        <w:spacing w:after="200" w:line="360" w:lineRule="auto"/>
        <w:ind w:firstLine="426"/>
        <w:jc w:val="both"/>
        <w:rPr>
          <w:rFonts w:eastAsia="Calibri"/>
          <w:i/>
          <w:sz w:val="24"/>
          <w:szCs w:val="24"/>
        </w:rPr>
      </w:pPr>
      <w:r w:rsidRPr="001A7AE3">
        <w:rPr>
          <w:rFonts w:eastAsia="Calibri"/>
          <w:i/>
          <w:sz w:val="24"/>
          <w:szCs w:val="24"/>
        </w:rPr>
        <w:t>Si las lesiones hubieran sido cometidas por imprudencia profesional, se impondrá además la pena de inhabilitación especial para el ejercicio de la profesión, oficio o cargo por un período de seis meses a cuatro años.</w:t>
      </w:r>
    </w:p>
    <w:p w:rsidR="0096292E" w:rsidRDefault="001A7AE3" w:rsidP="0096292E">
      <w:pPr>
        <w:spacing w:after="200" w:line="360" w:lineRule="auto"/>
        <w:ind w:firstLine="426"/>
        <w:jc w:val="both"/>
        <w:rPr>
          <w:rFonts w:eastAsia="Calibri"/>
          <w:i/>
          <w:sz w:val="24"/>
          <w:szCs w:val="24"/>
        </w:rPr>
      </w:pPr>
      <w:r w:rsidRPr="001A7AE3">
        <w:rPr>
          <w:rFonts w:eastAsia="Calibri"/>
          <w:i/>
          <w:sz w:val="24"/>
          <w:szCs w:val="24"/>
        </w:rPr>
        <w:t>2. El que por imprudencia menos grave causare alguna de las lesiones a que se refieren los artículos 149 y 150 será castigado con una pena de multa de tres meses a doce meses.</w:t>
      </w:r>
    </w:p>
    <w:p w:rsidR="0096292E" w:rsidRDefault="001A7AE3" w:rsidP="0096292E">
      <w:pPr>
        <w:spacing w:after="200" w:line="360" w:lineRule="auto"/>
        <w:ind w:firstLine="426"/>
        <w:jc w:val="both"/>
        <w:rPr>
          <w:rFonts w:eastAsia="Calibri"/>
          <w:i/>
          <w:sz w:val="24"/>
          <w:szCs w:val="24"/>
        </w:rPr>
      </w:pPr>
      <w:r w:rsidRPr="001A7AE3">
        <w:rPr>
          <w:rFonts w:eastAsia="Calibri"/>
          <w:i/>
          <w:sz w:val="24"/>
          <w:szCs w:val="24"/>
        </w:rPr>
        <w:t>Si los hechos se hubieran cometido utilizando un vehículo a motor o un ciclomotor, se podrá imponer también la pena de privación del derecho a conducir vehículos a motor y ciclomotores de tres meses a un año.</w:t>
      </w:r>
    </w:p>
    <w:p w:rsidR="0096292E" w:rsidRDefault="001A7AE3" w:rsidP="0096292E">
      <w:pPr>
        <w:spacing w:after="200" w:line="360" w:lineRule="auto"/>
        <w:ind w:firstLine="426"/>
        <w:jc w:val="both"/>
        <w:rPr>
          <w:rFonts w:eastAsia="Calibri"/>
          <w:i/>
          <w:sz w:val="24"/>
          <w:szCs w:val="24"/>
        </w:rPr>
      </w:pPr>
      <w:r w:rsidRPr="001A7AE3">
        <w:rPr>
          <w:rFonts w:eastAsia="Calibri"/>
          <w:i/>
          <w:sz w:val="24"/>
          <w:szCs w:val="24"/>
        </w:rPr>
        <w:t>Si las lesiones se hubieran causado utilizando un arma de fuego, se podrá imponer también la pena de privación del derecho al porte o tenencia de armas por tiempo de tres meses a un año.</w:t>
      </w:r>
    </w:p>
    <w:p w:rsidR="0096292E" w:rsidRDefault="001A7AE3" w:rsidP="0096292E">
      <w:pPr>
        <w:spacing w:after="200" w:line="360" w:lineRule="auto"/>
        <w:ind w:firstLine="426"/>
        <w:jc w:val="both"/>
        <w:rPr>
          <w:rFonts w:eastAsia="Calibri"/>
          <w:i/>
          <w:sz w:val="24"/>
          <w:szCs w:val="24"/>
        </w:rPr>
      </w:pPr>
      <w:r w:rsidRPr="001A7AE3">
        <w:rPr>
          <w:rFonts w:eastAsia="Calibri"/>
          <w:i/>
          <w:sz w:val="24"/>
          <w:szCs w:val="24"/>
        </w:rPr>
        <w:t>El delito previsto en este apartado sólo será perseguible mediante denuncia de la persona agraviada o de su representante legal”</w:t>
      </w:r>
      <w:r w:rsidRPr="001A7AE3">
        <w:rPr>
          <w:rFonts w:eastAsia="Calibri"/>
          <w:sz w:val="24"/>
          <w:szCs w:val="24"/>
        </w:rPr>
        <w:t>.</w:t>
      </w:r>
    </w:p>
    <w:p w:rsidR="001A7AE3" w:rsidRPr="0096292E" w:rsidRDefault="001A7AE3" w:rsidP="0096292E">
      <w:pPr>
        <w:spacing w:after="200" w:line="360" w:lineRule="auto"/>
        <w:ind w:firstLine="426"/>
        <w:jc w:val="both"/>
        <w:rPr>
          <w:rFonts w:eastAsia="Calibri"/>
          <w:i/>
          <w:sz w:val="24"/>
          <w:szCs w:val="24"/>
        </w:rPr>
      </w:pPr>
      <w:r w:rsidRPr="001A7AE3">
        <w:rPr>
          <w:rFonts w:eastAsia="Calibri"/>
          <w:sz w:val="24"/>
          <w:szCs w:val="24"/>
        </w:rPr>
        <w:t>De la regulación anterior cabe extraer las siguientes conclusiones sobre las modificaciones en el tratamiento de los delitos imprudentes cometidos en relación al sistema anterior a la Reforma:</w:t>
      </w:r>
    </w:p>
    <w:p w:rsidR="001A7AE3" w:rsidRPr="001A7AE3" w:rsidRDefault="001A7AE3" w:rsidP="00486CE9">
      <w:pPr>
        <w:spacing w:after="200" w:line="360" w:lineRule="auto"/>
        <w:ind w:left="567"/>
        <w:jc w:val="both"/>
        <w:rPr>
          <w:rFonts w:eastAsia="Calibri"/>
          <w:sz w:val="24"/>
          <w:szCs w:val="24"/>
        </w:rPr>
      </w:pPr>
      <w:r w:rsidRPr="001A7AE3">
        <w:rPr>
          <w:rFonts w:eastAsia="Calibri"/>
          <w:sz w:val="24"/>
          <w:szCs w:val="24"/>
        </w:rPr>
        <w:lastRenderedPageBreak/>
        <w:t>a) Respecto al delito de homicidio imprudente:</w:t>
      </w:r>
    </w:p>
    <w:p w:rsidR="001A7AE3" w:rsidRPr="001A7AE3" w:rsidRDefault="001A7AE3" w:rsidP="00486CE9">
      <w:pPr>
        <w:spacing w:after="200" w:line="360" w:lineRule="auto"/>
        <w:ind w:left="709"/>
        <w:jc w:val="both"/>
        <w:rPr>
          <w:rFonts w:eastAsia="Calibri"/>
          <w:sz w:val="24"/>
          <w:szCs w:val="24"/>
        </w:rPr>
      </w:pPr>
      <w:r w:rsidRPr="001A7AE3">
        <w:rPr>
          <w:rFonts w:eastAsia="Calibri"/>
          <w:sz w:val="24"/>
          <w:szCs w:val="24"/>
        </w:rPr>
        <w:t>i. Es punible el cometido por imprudencia grave, sin necesidad de denuncia previa.</w:t>
      </w:r>
    </w:p>
    <w:p w:rsidR="001A7AE3" w:rsidRPr="001A7AE3" w:rsidRDefault="001A7AE3" w:rsidP="00486CE9">
      <w:pPr>
        <w:spacing w:after="200" w:line="360" w:lineRule="auto"/>
        <w:ind w:left="709"/>
        <w:jc w:val="both"/>
        <w:rPr>
          <w:rFonts w:eastAsia="Calibri"/>
          <w:sz w:val="24"/>
          <w:szCs w:val="24"/>
        </w:rPr>
      </w:pPr>
      <w:r w:rsidRPr="001A7AE3">
        <w:rPr>
          <w:rFonts w:eastAsia="Calibri"/>
          <w:sz w:val="24"/>
          <w:szCs w:val="24"/>
        </w:rPr>
        <w:t>ii. Es punible el cometido por imprudencia menos grave, con necesidad de denuncia de la persona agraviada o de su representante legal.</w:t>
      </w:r>
    </w:p>
    <w:p w:rsidR="001A7AE3" w:rsidRPr="001A7AE3" w:rsidRDefault="001A7AE3" w:rsidP="00486CE9">
      <w:pPr>
        <w:spacing w:after="200" w:line="360" w:lineRule="auto"/>
        <w:ind w:left="567"/>
        <w:jc w:val="both"/>
        <w:rPr>
          <w:rFonts w:eastAsia="Calibri"/>
          <w:sz w:val="24"/>
          <w:szCs w:val="24"/>
        </w:rPr>
      </w:pPr>
      <w:r w:rsidRPr="001A7AE3">
        <w:rPr>
          <w:rFonts w:eastAsia="Calibri"/>
          <w:sz w:val="24"/>
          <w:szCs w:val="24"/>
        </w:rPr>
        <w:t>b) Respecto a los delitos de lesiones imprudentes:</w:t>
      </w:r>
    </w:p>
    <w:p w:rsidR="001A7AE3" w:rsidRPr="001A7AE3" w:rsidRDefault="001A7AE3" w:rsidP="00486CE9">
      <w:pPr>
        <w:spacing w:after="200" w:line="360" w:lineRule="auto"/>
        <w:ind w:left="709"/>
        <w:jc w:val="both"/>
        <w:rPr>
          <w:rFonts w:eastAsia="Calibri"/>
          <w:sz w:val="24"/>
          <w:szCs w:val="24"/>
        </w:rPr>
      </w:pPr>
      <w:r w:rsidRPr="001A7AE3">
        <w:rPr>
          <w:rFonts w:eastAsia="Calibri"/>
          <w:sz w:val="24"/>
          <w:szCs w:val="24"/>
        </w:rPr>
        <w:t>i. Es punible el cometido por imprudencia grave, sin necesidad de denuncia previa con distintas penas según los resultados producidos.</w:t>
      </w:r>
    </w:p>
    <w:p w:rsidR="001A7AE3" w:rsidRPr="001A7AE3" w:rsidRDefault="001A7AE3" w:rsidP="00486CE9">
      <w:pPr>
        <w:spacing w:after="200" w:line="360" w:lineRule="auto"/>
        <w:ind w:left="709"/>
        <w:jc w:val="both"/>
        <w:rPr>
          <w:rFonts w:eastAsia="Calibri"/>
          <w:sz w:val="24"/>
          <w:szCs w:val="24"/>
        </w:rPr>
      </w:pPr>
      <w:r w:rsidRPr="001A7AE3">
        <w:rPr>
          <w:rFonts w:eastAsia="Calibri"/>
          <w:sz w:val="24"/>
          <w:szCs w:val="24"/>
        </w:rPr>
        <w:t>ii. Es punible el cometido por imprudencia menos grave, siempre y cuando hayan producido el resultado de los arts. 149 y 150 CP (se excluyen los del art. 147 CP) con necesidad de denuncia de la persona agraviada o de su representante legal.</w:t>
      </w:r>
    </w:p>
    <w:p w:rsidR="001A7AE3" w:rsidRPr="001A7AE3" w:rsidRDefault="001A7AE3" w:rsidP="00EA0579">
      <w:pPr>
        <w:tabs>
          <w:tab w:val="left" w:pos="1134"/>
        </w:tabs>
        <w:spacing w:after="200" w:line="360" w:lineRule="auto"/>
        <w:ind w:left="1134"/>
        <w:jc w:val="both"/>
        <w:rPr>
          <w:rFonts w:eastAsia="Calibri"/>
          <w:b/>
          <w:bCs/>
          <w:sz w:val="24"/>
          <w:szCs w:val="24"/>
        </w:rPr>
      </w:pPr>
      <w:r w:rsidRPr="001A7AE3">
        <w:rPr>
          <w:rFonts w:eastAsia="Calibri"/>
          <w:b/>
          <w:bCs/>
          <w:sz w:val="24"/>
          <w:szCs w:val="24"/>
        </w:rPr>
        <w:t>6.2.1. La imprudencia grave</w:t>
      </w:r>
    </w:p>
    <w:p w:rsidR="00486CE9" w:rsidRDefault="001A7AE3" w:rsidP="00486CE9">
      <w:pPr>
        <w:tabs>
          <w:tab w:val="left" w:pos="1134"/>
        </w:tabs>
        <w:spacing w:after="200" w:line="360" w:lineRule="auto"/>
        <w:ind w:firstLine="426"/>
        <w:jc w:val="both"/>
        <w:rPr>
          <w:rFonts w:eastAsia="Calibri"/>
          <w:sz w:val="24"/>
          <w:szCs w:val="24"/>
        </w:rPr>
      </w:pPr>
      <w:r w:rsidRPr="001A7AE3">
        <w:rPr>
          <w:rFonts w:eastAsia="Calibri"/>
          <w:sz w:val="24"/>
          <w:szCs w:val="24"/>
        </w:rPr>
        <w:t xml:space="preserve">El 20 de septiembre de 2013, se aprobó por el Consejo de Ministros el proyecto de Ley Orgánica por la que se modifica la Ley Orgánica 10/1995, de 23 de noviembre, del Código Penal. </w:t>
      </w:r>
    </w:p>
    <w:p w:rsidR="00486CE9" w:rsidRDefault="001A7AE3" w:rsidP="00486CE9">
      <w:pPr>
        <w:tabs>
          <w:tab w:val="left" w:pos="1134"/>
        </w:tabs>
        <w:spacing w:after="200" w:line="360" w:lineRule="auto"/>
        <w:ind w:firstLine="426"/>
        <w:jc w:val="both"/>
        <w:rPr>
          <w:rFonts w:eastAsia="Calibri"/>
          <w:sz w:val="24"/>
          <w:szCs w:val="24"/>
        </w:rPr>
      </w:pPr>
      <w:r w:rsidRPr="001A7AE3">
        <w:rPr>
          <w:rFonts w:eastAsia="Calibri"/>
          <w:sz w:val="24"/>
          <w:szCs w:val="24"/>
        </w:rPr>
        <w:t>Parece curiosa la primera redacción que del art. 142 CP propone el Consejo de Ministros en su remisión a las Cortes:</w:t>
      </w:r>
    </w:p>
    <w:p w:rsidR="00486CE9" w:rsidRDefault="001A7AE3" w:rsidP="00486CE9">
      <w:pPr>
        <w:tabs>
          <w:tab w:val="left" w:pos="1134"/>
        </w:tabs>
        <w:spacing w:after="200" w:line="360" w:lineRule="auto"/>
        <w:ind w:firstLine="426"/>
        <w:jc w:val="both"/>
        <w:rPr>
          <w:rFonts w:eastAsia="Calibri"/>
          <w:sz w:val="24"/>
          <w:szCs w:val="24"/>
        </w:rPr>
      </w:pPr>
      <w:r w:rsidRPr="001A7AE3">
        <w:rPr>
          <w:rFonts w:eastAsia="Calibri"/>
          <w:sz w:val="24"/>
          <w:szCs w:val="24"/>
        </w:rPr>
        <w:t>"</w:t>
      </w:r>
      <w:r w:rsidRPr="001A7AE3">
        <w:rPr>
          <w:rFonts w:eastAsia="Calibri"/>
          <w:i/>
          <w:iCs/>
          <w:sz w:val="24"/>
          <w:szCs w:val="24"/>
        </w:rPr>
        <w:t>1. El que por imprudencia grave causare la muerte de otro, será castigado, como reo de homicidio imprudente, con la pena de prisión de uno a cuatro años.</w:t>
      </w:r>
    </w:p>
    <w:p w:rsidR="00486CE9" w:rsidRDefault="001A7AE3" w:rsidP="00486CE9">
      <w:pPr>
        <w:tabs>
          <w:tab w:val="left" w:pos="1134"/>
        </w:tabs>
        <w:spacing w:after="200" w:line="360" w:lineRule="auto"/>
        <w:ind w:firstLine="426"/>
        <w:jc w:val="both"/>
        <w:rPr>
          <w:rFonts w:eastAsia="Calibri"/>
          <w:sz w:val="24"/>
          <w:szCs w:val="24"/>
        </w:rPr>
      </w:pPr>
      <w:r w:rsidRPr="001A7AE3">
        <w:rPr>
          <w:rFonts w:eastAsia="Calibri"/>
          <w:i/>
          <w:iCs/>
          <w:sz w:val="24"/>
          <w:szCs w:val="24"/>
        </w:rPr>
        <w:t>2. En el caso de utilización de vehículo de motor o ciclomotor, para la valoración de la gravedad de la imprudencia se valorará en particular:</w:t>
      </w:r>
    </w:p>
    <w:p w:rsidR="00486CE9" w:rsidRDefault="001A7AE3" w:rsidP="00486CE9">
      <w:pPr>
        <w:tabs>
          <w:tab w:val="left" w:pos="426"/>
          <w:tab w:val="left" w:pos="1134"/>
        </w:tabs>
        <w:spacing w:after="200" w:line="360" w:lineRule="auto"/>
        <w:ind w:left="426"/>
        <w:jc w:val="both"/>
        <w:rPr>
          <w:rFonts w:eastAsia="Calibri"/>
          <w:sz w:val="24"/>
          <w:szCs w:val="24"/>
        </w:rPr>
      </w:pPr>
      <w:r w:rsidRPr="001A7AE3">
        <w:rPr>
          <w:rFonts w:eastAsia="Calibri"/>
          <w:i/>
          <w:iCs/>
          <w:sz w:val="24"/>
          <w:szCs w:val="24"/>
        </w:rPr>
        <w:t>- La gravedad del riesgo no permitido creado y, en particular, si el mismo constituye una infracción grave o muy grave conforme a lo dispuesto en la Ley sobre Tráfico, Circulación de Vehículos a Motor y Seguridad Vial.</w:t>
      </w:r>
    </w:p>
    <w:p w:rsidR="001A7AE3" w:rsidRPr="00486CE9" w:rsidRDefault="001A7AE3" w:rsidP="00486CE9">
      <w:pPr>
        <w:tabs>
          <w:tab w:val="left" w:pos="426"/>
          <w:tab w:val="left" w:pos="1134"/>
        </w:tabs>
        <w:spacing w:after="200" w:line="360" w:lineRule="auto"/>
        <w:ind w:left="426"/>
        <w:jc w:val="both"/>
        <w:rPr>
          <w:rFonts w:eastAsia="Calibri"/>
          <w:sz w:val="24"/>
          <w:szCs w:val="24"/>
        </w:rPr>
      </w:pPr>
      <w:r w:rsidRPr="001A7AE3">
        <w:rPr>
          <w:rFonts w:eastAsia="Calibri"/>
          <w:i/>
          <w:iCs/>
          <w:sz w:val="24"/>
          <w:szCs w:val="24"/>
        </w:rPr>
        <w:t>- La relevancia del riesgo creado en el contexto concreto en el que se lleva a cabo la conducta peligrosa.</w:t>
      </w:r>
    </w:p>
    <w:p w:rsidR="00486CE9" w:rsidRDefault="001A7AE3" w:rsidP="00486CE9">
      <w:pPr>
        <w:tabs>
          <w:tab w:val="left" w:pos="1134"/>
        </w:tabs>
        <w:spacing w:after="200" w:line="360" w:lineRule="auto"/>
        <w:ind w:firstLine="426"/>
        <w:jc w:val="both"/>
        <w:rPr>
          <w:rFonts w:eastAsia="Calibri"/>
          <w:i/>
          <w:iCs/>
          <w:sz w:val="24"/>
          <w:szCs w:val="24"/>
        </w:rPr>
      </w:pPr>
      <w:r w:rsidRPr="001A7AE3">
        <w:rPr>
          <w:rFonts w:eastAsia="Calibri"/>
          <w:i/>
          <w:iCs/>
          <w:sz w:val="24"/>
          <w:szCs w:val="24"/>
        </w:rPr>
        <w:lastRenderedPageBreak/>
        <w:t>En estos casos, cuando los hechos cometidos sean además constitutivos de alguno o alguno de los delitos castigados en el Capítulo IV del Título XVII, será aplicable lo dispuesto en el artículo 382.</w:t>
      </w:r>
    </w:p>
    <w:p w:rsidR="00486CE9" w:rsidRDefault="001A7AE3" w:rsidP="00486CE9">
      <w:pPr>
        <w:tabs>
          <w:tab w:val="left" w:pos="1134"/>
        </w:tabs>
        <w:spacing w:after="200" w:line="360" w:lineRule="auto"/>
        <w:ind w:firstLine="426"/>
        <w:jc w:val="both"/>
        <w:rPr>
          <w:rFonts w:eastAsia="Calibri"/>
          <w:i/>
          <w:iCs/>
          <w:sz w:val="24"/>
          <w:szCs w:val="24"/>
        </w:rPr>
      </w:pPr>
      <w:r w:rsidRPr="001A7AE3">
        <w:rPr>
          <w:rFonts w:eastAsia="Calibri"/>
          <w:i/>
          <w:iCs/>
          <w:sz w:val="24"/>
          <w:szCs w:val="24"/>
        </w:rPr>
        <w:t>3. Cuando el homicidio imprudente sea cometido utilizando un vehículo a motor o un ciclomotor, se impondrá asimismo la pena de privación del derecho a conducir vehículos a motor y ciclomotores de uno a seis años, y será aplicable lo dispuesto en el artículo 385 bis.</w:t>
      </w:r>
    </w:p>
    <w:p w:rsidR="00486CE9" w:rsidRDefault="001A7AE3" w:rsidP="00486CE9">
      <w:pPr>
        <w:tabs>
          <w:tab w:val="left" w:pos="1134"/>
        </w:tabs>
        <w:spacing w:after="200" w:line="360" w:lineRule="auto"/>
        <w:ind w:firstLine="426"/>
        <w:jc w:val="both"/>
        <w:rPr>
          <w:rFonts w:eastAsia="Calibri"/>
          <w:i/>
          <w:iCs/>
          <w:sz w:val="24"/>
          <w:szCs w:val="24"/>
        </w:rPr>
      </w:pPr>
      <w:r w:rsidRPr="001A7AE3">
        <w:rPr>
          <w:rFonts w:eastAsia="Calibri"/>
          <w:i/>
          <w:iCs/>
          <w:sz w:val="24"/>
          <w:szCs w:val="24"/>
        </w:rPr>
        <w:t>Si el homicidio imprudente se hubiera cometido utilizando un arma de fuego, se impondrá también la pena privación del derecho al porte o tenencia de armas por tiempo de uno a seis años.</w:t>
      </w:r>
    </w:p>
    <w:p w:rsidR="00486CE9" w:rsidRDefault="001A7AE3" w:rsidP="00486CE9">
      <w:pPr>
        <w:tabs>
          <w:tab w:val="left" w:pos="1134"/>
        </w:tabs>
        <w:spacing w:after="200" w:line="360" w:lineRule="auto"/>
        <w:ind w:firstLine="426"/>
        <w:jc w:val="both"/>
        <w:rPr>
          <w:rFonts w:eastAsia="Calibri"/>
          <w:i/>
          <w:iCs/>
          <w:sz w:val="24"/>
          <w:szCs w:val="24"/>
        </w:rPr>
      </w:pPr>
      <w:r w:rsidRPr="001A7AE3">
        <w:rPr>
          <w:rFonts w:eastAsia="Calibri"/>
          <w:i/>
          <w:iCs/>
          <w:sz w:val="24"/>
          <w:szCs w:val="24"/>
        </w:rPr>
        <w:t>4. Cuando el homicidio fuere cometido por imprudencia profesional, se impondrá además la pena de inhabilitación especial para el ejercicio de la profesión, oficio o cargo por un período de tres a seis años</w:t>
      </w:r>
      <w:r w:rsidR="00486CE9">
        <w:rPr>
          <w:rFonts w:eastAsia="Calibri"/>
          <w:sz w:val="24"/>
          <w:szCs w:val="24"/>
        </w:rPr>
        <w:t>".</w:t>
      </w:r>
    </w:p>
    <w:p w:rsidR="00486CE9" w:rsidRDefault="001A7AE3" w:rsidP="00486CE9">
      <w:pPr>
        <w:tabs>
          <w:tab w:val="left" w:pos="1134"/>
        </w:tabs>
        <w:spacing w:after="200" w:line="360" w:lineRule="auto"/>
        <w:ind w:firstLine="426"/>
        <w:jc w:val="both"/>
        <w:rPr>
          <w:rFonts w:eastAsia="Calibri"/>
          <w:i/>
          <w:iCs/>
          <w:sz w:val="24"/>
          <w:szCs w:val="24"/>
        </w:rPr>
      </w:pPr>
      <w:r w:rsidRPr="001A7AE3">
        <w:rPr>
          <w:rFonts w:eastAsia="Calibri"/>
          <w:sz w:val="24"/>
          <w:szCs w:val="24"/>
        </w:rPr>
        <w:t>Con esta nueva redacción del delito de homicidio por imprudencia grave, ni el tipo general ni su pena se ven modificados. Tampoco se ven modificados el delito de homicidio por imprudencia profesional, ni el tipo agravado consistente en el empleo de armas de fuego. Por el contrario, sí se ve modifico el delito de homicidio imprudente cometido utilizando un vehículo a motor o ciclomotor.</w:t>
      </w:r>
    </w:p>
    <w:p w:rsidR="00486CE9" w:rsidRDefault="001A7AE3" w:rsidP="00486CE9">
      <w:pPr>
        <w:tabs>
          <w:tab w:val="left" w:pos="1134"/>
        </w:tabs>
        <w:spacing w:after="200" w:line="360" w:lineRule="auto"/>
        <w:ind w:firstLine="426"/>
        <w:jc w:val="both"/>
        <w:rPr>
          <w:rFonts w:eastAsia="Calibri"/>
          <w:i/>
          <w:iCs/>
          <w:sz w:val="24"/>
          <w:szCs w:val="24"/>
        </w:rPr>
      </w:pPr>
      <w:r w:rsidRPr="001A7AE3">
        <w:rPr>
          <w:rFonts w:eastAsia="Calibri"/>
          <w:sz w:val="24"/>
          <w:szCs w:val="24"/>
        </w:rPr>
        <w:t>Propone el legislador con esta modificación una nueva valoración de la gravedad de la imprudencia en los casos de utilización de vehículos a motor</w:t>
      </w:r>
      <w:r w:rsidR="00486CE9">
        <w:rPr>
          <w:rFonts w:eastAsia="Calibri"/>
          <w:sz w:val="24"/>
          <w:szCs w:val="24"/>
        </w:rPr>
        <w:t>. Nos preguntamos, ¿p</w:t>
      </w:r>
      <w:r w:rsidRPr="001A7AE3">
        <w:rPr>
          <w:rFonts w:eastAsia="Calibri"/>
          <w:sz w:val="24"/>
          <w:szCs w:val="24"/>
        </w:rPr>
        <w:t>udo la Fiscalía General del Estado haber incidido en este novedoso cambio legislativo, donde la gravedad de la imprudencia ahora se valoraría de modo distinto en el ámbito de la circulación? El hecho de establecer nuevos criterios para valorar la gravedad de la imprudencia únicamente en el ámbito de la circulación carece de justificación, ¿no parecería más lógico optar por criterios para todo tipo de imprudencia?</w:t>
      </w:r>
    </w:p>
    <w:p w:rsidR="00486CE9" w:rsidRDefault="001A7AE3" w:rsidP="00486CE9">
      <w:pPr>
        <w:tabs>
          <w:tab w:val="left" w:pos="1134"/>
        </w:tabs>
        <w:spacing w:after="200" w:line="360" w:lineRule="auto"/>
        <w:ind w:firstLine="426"/>
        <w:jc w:val="both"/>
        <w:rPr>
          <w:rFonts w:eastAsia="Calibri"/>
          <w:i/>
          <w:iCs/>
          <w:sz w:val="24"/>
          <w:szCs w:val="24"/>
        </w:rPr>
      </w:pPr>
      <w:r w:rsidRPr="001A7AE3">
        <w:rPr>
          <w:rFonts w:eastAsia="Calibri"/>
          <w:sz w:val="24"/>
          <w:szCs w:val="24"/>
        </w:rPr>
        <w:t xml:space="preserve">En este sentido, la circular 10/2011 de la Fiscalía General del Estado discute los criterios para la unidad de actuación especializada del Ministerio Fiscal en materia de seguridad vial, entendiendo que </w:t>
      </w:r>
      <w:r w:rsidR="00486CE9">
        <w:rPr>
          <w:rFonts w:eastAsia="Calibri"/>
          <w:sz w:val="24"/>
          <w:szCs w:val="24"/>
        </w:rPr>
        <w:t>“</w:t>
      </w:r>
      <w:r w:rsidRPr="001A7AE3">
        <w:rPr>
          <w:rFonts w:eastAsia="Calibri"/>
          <w:i/>
          <w:iCs/>
          <w:sz w:val="24"/>
          <w:szCs w:val="24"/>
        </w:rPr>
        <w:t>la seguridad vial debe abordarse como el conjunto de condiciones de seguridad garantizadas normativamente y orientadas a la tutela anticipada de los bienes jurídicos fundamentales</w:t>
      </w:r>
      <w:r w:rsidR="00486CE9">
        <w:rPr>
          <w:rFonts w:eastAsia="Calibri"/>
          <w:i/>
          <w:iCs/>
          <w:sz w:val="24"/>
          <w:szCs w:val="24"/>
        </w:rPr>
        <w:t>”</w:t>
      </w:r>
      <w:r w:rsidRPr="001A7AE3">
        <w:rPr>
          <w:rFonts w:eastAsia="Calibri"/>
          <w:sz w:val="24"/>
          <w:szCs w:val="24"/>
        </w:rPr>
        <w:t>.</w:t>
      </w:r>
    </w:p>
    <w:p w:rsidR="00486CE9" w:rsidRDefault="001A7AE3" w:rsidP="00486CE9">
      <w:pPr>
        <w:tabs>
          <w:tab w:val="left" w:pos="1134"/>
        </w:tabs>
        <w:spacing w:after="200" w:line="360" w:lineRule="auto"/>
        <w:ind w:firstLine="426"/>
        <w:jc w:val="both"/>
        <w:rPr>
          <w:rFonts w:eastAsia="Calibri"/>
          <w:i/>
          <w:iCs/>
          <w:sz w:val="24"/>
          <w:szCs w:val="24"/>
        </w:rPr>
      </w:pPr>
      <w:r w:rsidRPr="001A7AE3">
        <w:rPr>
          <w:rFonts w:eastAsia="Calibri"/>
          <w:sz w:val="24"/>
          <w:szCs w:val="24"/>
        </w:rPr>
        <w:lastRenderedPageBreak/>
        <w:t xml:space="preserve">El régimen procesal de intervención del Ministerio Fiscal variaba dependiendo, si la imprudencia era constitutiva de falta o de delito. Por un lado, la imprudencia constitutiva de falta exigía como requisito de procedibilidad la denuncia del agraviado o de su representante legal, pudiendo denunciar el Ministerio Fiscal de oficio, si fuere menor de edad, incapaz o una persona desvalida. Por </w:t>
      </w:r>
      <w:r w:rsidR="004A4320">
        <w:rPr>
          <w:rFonts w:eastAsia="Calibri"/>
          <w:sz w:val="24"/>
          <w:szCs w:val="24"/>
        </w:rPr>
        <w:t>otra parte</w:t>
      </w:r>
      <w:r w:rsidRPr="001A7AE3">
        <w:rPr>
          <w:rFonts w:eastAsia="Calibri"/>
          <w:sz w:val="24"/>
          <w:szCs w:val="24"/>
        </w:rPr>
        <w:t>, serían perseguibles de oficio, todos los comportamientos que constituyan un delito que afecte a bienes jurídicos personales, así, en las imprudencias graves generadoras de muerte el Ministerio Fiscal actúa de manera preceptiva.</w:t>
      </w:r>
      <w:r w:rsidR="004A4320">
        <w:rPr>
          <w:rFonts w:eastAsia="Calibri"/>
          <w:i/>
          <w:iCs/>
          <w:sz w:val="24"/>
          <w:szCs w:val="24"/>
        </w:rPr>
        <w:t xml:space="preserve"> </w:t>
      </w:r>
      <w:r w:rsidRPr="001A7AE3">
        <w:rPr>
          <w:rFonts w:eastAsia="Calibri"/>
          <w:sz w:val="24"/>
          <w:szCs w:val="24"/>
        </w:rPr>
        <w:t>En esta línea, desde la Fiscalía General del Estado, se han ido publicando Circulares e Instrucciones</w:t>
      </w:r>
      <w:r w:rsidRPr="001A7AE3">
        <w:rPr>
          <w:rFonts w:eastAsia="Calibri"/>
          <w:sz w:val="24"/>
          <w:szCs w:val="24"/>
          <w:vertAlign w:val="superscript"/>
        </w:rPr>
        <w:footnoteReference w:id="50"/>
      </w:r>
      <w:r w:rsidRPr="001A7AE3">
        <w:rPr>
          <w:rFonts w:eastAsia="Calibri"/>
          <w:sz w:val="24"/>
          <w:szCs w:val="24"/>
        </w:rPr>
        <w:t>.</w:t>
      </w:r>
    </w:p>
    <w:p w:rsidR="00486CE9" w:rsidRDefault="001A7AE3" w:rsidP="00486CE9">
      <w:pPr>
        <w:tabs>
          <w:tab w:val="left" w:pos="1134"/>
        </w:tabs>
        <w:spacing w:after="200" w:line="360" w:lineRule="auto"/>
        <w:ind w:firstLine="426"/>
        <w:jc w:val="both"/>
        <w:rPr>
          <w:rFonts w:eastAsia="Calibri"/>
          <w:i/>
          <w:iCs/>
          <w:sz w:val="24"/>
          <w:szCs w:val="24"/>
        </w:rPr>
      </w:pPr>
      <w:r w:rsidRPr="001A7AE3">
        <w:rPr>
          <w:rFonts w:eastAsia="Calibri"/>
          <w:sz w:val="24"/>
          <w:szCs w:val="24"/>
        </w:rPr>
        <w:t>Por otro lado, la nueva redacción y sobre todo, los nuevos criterios de valoración rompen con aquellos de los que la jurisprudencia se ha ido dotando para definir lo que se entiende por imprudencia grave. Además, dichos criterios distan mucho de la jurisprudencia consolidada en el Tribunal Supremo</w:t>
      </w:r>
      <w:r w:rsidR="00486CE9">
        <w:rPr>
          <w:rStyle w:val="Refdenotaalpie"/>
          <w:rFonts w:eastAsia="Calibri"/>
          <w:sz w:val="24"/>
          <w:szCs w:val="24"/>
        </w:rPr>
        <w:footnoteReference w:id="51"/>
      </w:r>
      <w:r w:rsidR="00486CE9">
        <w:rPr>
          <w:rFonts w:eastAsia="Calibri"/>
          <w:sz w:val="24"/>
          <w:szCs w:val="24"/>
        </w:rPr>
        <w:t>.</w:t>
      </w:r>
      <w:r w:rsidRPr="001A7AE3">
        <w:rPr>
          <w:rFonts w:eastAsia="Calibri"/>
          <w:sz w:val="24"/>
          <w:szCs w:val="24"/>
        </w:rPr>
        <w:t xml:space="preserve"> </w:t>
      </w:r>
    </w:p>
    <w:p w:rsidR="00486CE9" w:rsidRDefault="001A7AE3" w:rsidP="00486CE9">
      <w:pPr>
        <w:tabs>
          <w:tab w:val="left" w:pos="1134"/>
        </w:tabs>
        <w:spacing w:after="200" w:line="360" w:lineRule="auto"/>
        <w:ind w:firstLine="426"/>
        <w:jc w:val="both"/>
        <w:rPr>
          <w:rFonts w:eastAsia="Calibri"/>
          <w:i/>
          <w:iCs/>
          <w:sz w:val="24"/>
          <w:szCs w:val="24"/>
        </w:rPr>
      </w:pPr>
      <w:r w:rsidRPr="001A7AE3">
        <w:rPr>
          <w:rFonts w:eastAsia="Calibri"/>
          <w:sz w:val="24"/>
          <w:szCs w:val="24"/>
        </w:rPr>
        <w:t>Por último, se remite a una lista tasada de infracciones de la Ley sobre Tráfico, Circulación de Vehículos a motor y Seguridad vial. Este punto resulta de gran relevancia en cuanto afecta a la discrecionalidad del juez. En este sentido el ámbito de actuación de los jueces en las imprudencias cometidas en la esfera de la circulación de vehículos a motor se tendrían que limitar a determinar la gravedad de la imprudencia conforme a dicha ley.</w:t>
      </w:r>
    </w:p>
    <w:p w:rsidR="00486CE9" w:rsidRDefault="001A7AE3" w:rsidP="00486CE9">
      <w:pPr>
        <w:tabs>
          <w:tab w:val="left" w:pos="1134"/>
        </w:tabs>
        <w:spacing w:after="200" w:line="360" w:lineRule="auto"/>
        <w:ind w:firstLine="426"/>
        <w:jc w:val="both"/>
        <w:rPr>
          <w:rFonts w:eastAsia="Calibri"/>
          <w:i/>
          <w:iCs/>
          <w:sz w:val="24"/>
          <w:szCs w:val="24"/>
        </w:rPr>
      </w:pPr>
      <w:r w:rsidRPr="001A7AE3">
        <w:rPr>
          <w:rFonts w:eastAsia="Calibri"/>
          <w:sz w:val="24"/>
          <w:szCs w:val="24"/>
        </w:rPr>
        <w:lastRenderedPageBreak/>
        <w:t>De esta manera el Ministerio público encontraría fundamentación legal para su participación en los procesos de homicidio o lesiones por imprudencia, en este ámbito.</w:t>
      </w:r>
    </w:p>
    <w:p w:rsidR="00486CE9" w:rsidRDefault="001A7AE3" w:rsidP="00486CE9">
      <w:pPr>
        <w:tabs>
          <w:tab w:val="left" w:pos="1134"/>
        </w:tabs>
        <w:spacing w:after="200" w:line="360" w:lineRule="auto"/>
        <w:ind w:firstLine="426"/>
        <w:jc w:val="both"/>
        <w:rPr>
          <w:rFonts w:eastAsia="Calibri"/>
          <w:i/>
          <w:iCs/>
          <w:sz w:val="24"/>
          <w:szCs w:val="24"/>
        </w:rPr>
      </w:pPr>
      <w:r w:rsidRPr="001A7AE3">
        <w:rPr>
          <w:rFonts w:eastAsia="Calibri"/>
          <w:sz w:val="24"/>
          <w:szCs w:val="24"/>
        </w:rPr>
        <w:t>Sin embargo, finalmente dicha redacción no prosperó, y se mantiene en el articulado, con la misma configuración que la redacción anterior, la categoría de la imprudencia grave.</w:t>
      </w:r>
    </w:p>
    <w:p w:rsidR="00486CE9" w:rsidRDefault="001A7AE3" w:rsidP="00486CE9">
      <w:pPr>
        <w:tabs>
          <w:tab w:val="left" w:pos="1134"/>
        </w:tabs>
        <w:spacing w:after="200" w:line="360" w:lineRule="auto"/>
        <w:ind w:firstLine="426"/>
        <w:jc w:val="both"/>
        <w:rPr>
          <w:rFonts w:eastAsia="Calibri"/>
          <w:i/>
          <w:iCs/>
          <w:sz w:val="24"/>
          <w:szCs w:val="24"/>
        </w:rPr>
      </w:pPr>
      <w:r w:rsidRPr="001A7AE3">
        <w:rPr>
          <w:rFonts w:eastAsia="Calibri"/>
          <w:bCs/>
          <w:sz w:val="24"/>
          <w:szCs w:val="24"/>
        </w:rPr>
        <w:t>Esta modalidad de homicidio, de punición excepcional dada la vigencia del art. 12 CP (como ocurre con todas las conductas culposas), requiere que sea grave.</w:t>
      </w:r>
      <w:r w:rsidRPr="001A7AE3">
        <w:rPr>
          <w:rFonts w:eastAsia="Calibri"/>
          <w:sz w:val="24"/>
          <w:szCs w:val="24"/>
        </w:rPr>
        <w:t xml:space="preserve"> </w:t>
      </w:r>
      <w:r w:rsidRPr="001A7AE3">
        <w:rPr>
          <w:rFonts w:eastAsia="Calibri"/>
          <w:bCs/>
          <w:sz w:val="24"/>
          <w:szCs w:val="24"/>
        </w:rPr>
        <w:t>Cuando la muerte deriva de la utilización de un vehículo a motor, de un ciclomotor o de un arma de fuego, se impondrá acumuladamente a la pena privativa de libertad, la correspondiente pena privativa del derecho a conducir vehículos a motor o ciclomotor y del derecho a la tenencia o porte de armas de uno a seis años, respectivamente.</w:t>
      </w:r>
    </w:p>
    <w:p w:rsidR="00486CE9" w:rsidRDefault="001A7AE3" w:rsidP="00486CE9">
      <w:pPr>
        <w:tabs>
          <w:tab w:val="left" w:pos="1134"/>
        </w:tabs>
        <w:spacing w:after="200" w:line="360" w:lineRule="auto"/>
        <w:ind w:firstLine="426"/>
        <w:jc w:val="both"/>
        <w:rPr>
          <w:rFonts w:eastAsia="Calibri"/>
          <w:i/>
          <w:iCs/>
          <w:sz w:val="24"/>
          <w:szCs w:val="24"/>
        </w:rPr>
      </w:pPr>
      <w:r w:rsidRPr="001A7AE3">
        <w:rPr>
          <w:rFonts w:eastAsia="Calibri"/>
          <w:bCs/>
          <w:sz w:val="24"/>
          <w:szCs w:val="24"/>
        </w:rPr>
        <w:t>Junto a lo anterior, el nuevo CP recoge, igualmente, el homicidio por imprudencia profesional.</w:t>
      </w:r>
    </w:p>
    <w:p w:rsidR="00486CE9" w:rsidRDefault="001A7AE3" w:rsidP="00486CE9">
      <w:pPr>
        <w:tabs>
          <w:tab w:val="left" w:pos="1134"/>
        </w:tabs>
        <w:spacing w:after="200" w:line="360" w:lineRule="auto"/>
        <w:ind w:firstLine="426"/>
        <w:jc w:val="both"/>
        <w:rPr>
          <w:rFonts w:eastAsia="Calibri"/>
          <w:i/>
          <w:iCs/>
          <w:sz w:val="24"/>
          <w:szCs w:val="24"/>
        </w:rPr>
      </w:pPr>
      <w:r w:rsidRPr="001A7AE3">
        <w:rPr>
          <w:rFonts w:eastAsia="Calibri"/>
          <w:bCs/>
          <w:sz w:val="24"/>
          <w:szCs w:val="24"/>
        </w:rPr>
        <w:t>Como vemos, no existe variación punitiva ni tampoco en la configuración del tipo, más allá de la separación en párrafos diferentes de aquellos homicidios imprudentes cometidos utilizando un vehículo a motor o un ciclomotor respecto de los cometidos utilizando un arma de fuego.</w:t>
      </w:r>
    </w:p>
    <w:p w:rsidR="004A4320" w:rsidRDefault="001A7AE3" w:rsidP="004A4320">
      <w:pPr>
        <w:tabs>
          <w:tab w:val="left" w:pos="1134"/>
        </w:tabs>
        <w:spacing w:after="200" w:line="360" w:lineRule="auto"/>
        <w:ind w:firstLine="426"/>
        <w:jc w:val="both"/>
        <w:rPr>
          <w:rFonts w:eastAsia="Calibri"/>
          <w:i/>
          <w:iCs/>
          <w:sz w:val="24"/>
          <w:szCs w:val="24"/>
        </w:rPr>
      </w:pPr>
      <w:r w:rsidRPr="001A7AE3">
        <w:rPr>
          <w:rFonts w:eastAsia="Calibri"/>
          <w:bCs/>
          <w:sz w:val="24"/>
          <w:szCs w:val="24"/>
        </w:rPr>
        <w:t>Por su parte, respecto a las lesiones imprudentes del art. 152.1 CP, la Reforma ha supue</w:t>
      </w:r>
      <w:r w:rsidR="004A4320">
        <w:rPr>
          <w:rFonts w:eastAsia="Calibri"/>
          <w:bCs/>
          <w:sz w:val="24"/>
          <w:szCs w:val="24"/>
        </w:rPr>
        <w:t>sto, también, la reorganización de</w:t>
      </w:r>
      <w:r w:rsidRPr="001A7AE3">
        <w:rPr>
          <w:rFonts w:eastAsia="Calibri"/>
          <w:bCs/>
          <w:sz w:val="24"/>
          <w:szCs w:val="24"/>
        </w:rPr>
        <w:t xml:space="preserve"> los apartados de la anterior redacción del precepto.</w:t>
      </w:r>
    </w:p>
    <w:p w:rsidR="004A4320" w:rsidRDefault="001A7AE3" w:rsidP="004A4320">
      <w:pPr>
        <w:tabs>
          <w:tab w:val="left" w:pos="1134"/>
        </w:tabs>
        <w:spacing w:after="200" w:line="360" w:lineRule="auto"/>
        <w:ind w:firstLine="426"/>
        <w:jc w:val="both"/>
        <w:rPr>
          <w:rFonts w:eastAsia="Calibri"/>
          <w:i/>
          <w:iCs/>
          <w:sz w:val="24"/>
          <w:szCs w:val="24"/>
        </w:rPr>
      </w:pPr>
      <w:r w:rsidRPr="001A7AE3">
        <w:rPr>
          <w:rFonts w:eastAsia="Calibri"/>
          <w:bCs/>
          <w:sz w:val="24"/>
          <w:szCs w:val="24"/>
        </w:rPr>
        <w:t>La nueva redacción del mencionado precepto regula, en sus diversos apartados, las lesiones imprudentes graves, incluidos, igualmente, los supuestos en que los hechos se hayan cometido utilizando un vehículo a motor o ciclomotor, o un arma de fuego y, también los casos que constituyan imprudencia profesional.</w:t>
      </w:r>
    </w:p>
    <w:p w:rsidR="004A4320" w:rsidRDefault="001A7AE3" w:rsidP="004A4320">
      <w:pPr>
        <w:tabs>
          <w:tab w:val="left" w:pos="1134"/>
        </w:tabs>
        <w:spacing w:after="200" w:line="360" w:lineRule="auto"/>
        <w:ind w:firstLine="426"/>
        <w:jc w:val="both"/>
        <w:rPr>
          <w:rFonts w:eastAsia="Calibri"/>
          <w:i/>
          <w:iCs/>
          <w:sz w:val="24"/>
          <w:szCs w:val="24"/>
        </w:rPr>
      </w:pPr>
      <w:r w:rsidRPr="001A7AE3">
        <w:rPr>
          <w:rFonts w:eastAsia="Calibri"/>
          <w:bCs/>
          <w:sz w:val="24"/>
          <w:szCs w:val="24"/>
        </w:rPr>
        <w:t xml:space="preserve">Así, introduce dos presupuestos concurrentes para la determinación de la pena: el riesgo creado y el resultado producido. Ambos presupuestos han sido empleados por la jurisprudencia como criterios para la apreciación de la existencia de imprudencia y, ahora, el legislador los incorpora en el ámbito de la determinación de la pena. De este modo, los citados presupuestos operan dos veces: primero, en la valoración de la imprudencia, y después, una vez apreciada la existencia de la misma como imprudencia </w:t>
      </w:r>
      <w:r w:rsidRPr="001A7AE3">
        <w:rPr>
          <w:rFonts w:eastAsia="Calibri"/>
          <w:bCs/>
          <w:sz w:val="24"/>
          <w:szCs w:val="24"/>
        </w:rPr>
        <w:lastRenderedPageBreak/>
        <w:t>grave, en la determinación de la gravedad de la sanción, dentro de la prevista para cada uno de los resultado típicos recogidos.</w:t>
      </w:r>
    </w:p>
    <w:p w:rsidR="004A4320" w:rsidRDefault="001A7AE3" w:rsidP="004A4320">
      <w:pPr>
        <w:tabs>
          <w:tab w:val="left" w:pos="1134"/>
        </w:tabs>
        <w:spacing w:after="200" w:line="360" w:lineRule="auto"/>
        <w:ind w:firstLine="426"/>
        <w:jc w:val="both"/>
        <w:rPr>
          <w:rFonts w:eastAsia="Calibri"/>
          <w:i/>
          <w:iCs/>
          <w:sz w:val="24"/>
          <w:szCs w:val="24"/>
        </w:rPr>
      </w:pPr>
      <w:r w:rsidRPr="001A7AE3">
        <w:rPr>
          <w:rFonts w:eastAsia="Calibri"/>
          <w:bCs/>
          <w:sz w:val="24"/>
          <w:szCs w:val="24"/>
        </w:rPr>
        <w:t>Por otro parte, se mantienen las penas para los casos en que las lesiones producidas por imprudencia grave sean las previstas en los arts. 147.1, 149 y 150 CP. Sin, embargo, para las lesiones del art. 147.1 CP se prevé la antigua pena de prisión de tres a seis meses, pero se añade la posibilidad de optar por una pena de multa de seis a dieciocho meses. No obstante, tal posibilidad de imponer la multa no supone, como pudiera parecer en un primer momento, una atenuación de estas lesiones imprudentes, sino porque el apartado primero del art. 150 CP  incorpora, ahora como delito, la antigua falta del art. 621.1 CP (causar por imprudencia grave las lesiones del viejo tipo atenuado del art. 147.2 CP), cuya pena era de multa de uno a dos meses. De modo que, para estos hechos, la multa mínima será ahora de seis meses y, podrá alcanzar los dieciocho.</w:t>
      </w:r>
    </w:p>
    <w:p w:rsidR="001A7AE3" w:rsidRPr="004A4320" w:rsidRDefault="001A7AE3" w:rsidP="004A4320">
      <w:pPr>
        <w:tabs>
          <w:tab w:val="left" w:pos="1134"/>
        </w:tabs>
        <w:spacing w:after="200" w:line="360" w:lineRule="auto"/>
        <w:ind w:firstLine="426"/>
        <w:jc w:val="both"/>
        <w:rPr>
          <w:rFonts w:eastAsia="Calibri"/>
          <w:i/>
          <w:iCs/>
          <w:sz w:val="24"/>
          <w:szCs w:val="24"/>
        </w:rPr>
      </w:pPr>
      <w:r w:rsidRPr="001A7AE3">
        <w:rPr>
          <w:rFonts w:eastAsia="Calibri"/>
          <w:bCs/>
          <w:sz w:val="24"/>
          <w:szCs w:val="24"/>
        </w:rPr>
        <w:t>Por último, en relación a la imprudencia profesional, se rebaja el límite inferior de la pena acumulativa de inhabilitación para el ejercicio de la profesión, oficio o cargo, que pasa a ser de seis meses, frente al año de la anterior regulación.</w:t>
      </w:r>
    </w:p>
    <w:p w:rsidR="001A7AE3" w:rsidRPr="001A7AE3" w:rsidRDefault="001A7AE3" w:rsidP="00EA0579">
      <w:pPr>
        <w:tabs>
          <w:tab w:val="left" w:pos="1134"/>
        </w:tabs>
        <w:spacing w:after="200" w:line="360" w:lineRule="auto"/>
        <w:ind w:left="1134"/>
        <w:jc w:val="both"/>
        <w:rPr>
          <w:rFonts w:eastAsia="Calibri"/>
          <w:b/>
          <w:bCs/>
          <w:sz w:val="24"/>
          <w:szCs w:val="24"/>
        </w:rPr>
      </w:pPr>
      <w:r w:rsidRPr="001A7AE3">
        <w:rPr>
          <w:rFonts w:eastAsia="Calibri"/>
          <w:b/>
          <w:bCs/>
          <w:sz w:val="24"/>
          <w:szCs w:val="24"/>
        </w:rPr>
        <w:t>6.2.2. La imprudencia menos grave</w:t>
      </w:r>
    </w:p>
    <w:p w:rsidR="007139FC" w:rsidRDefault="001A7AE3" w:rsidP="007139FC">
      <w:pPr>
        <w:tabs>
          <w:tab w:val="left" w:pos="1134"/>
        </w:tabs>
        <w:spacing w:after="200" w:line="360" w:lineRule="auto"/>
        <w:ind w:firstLine="426"/>
        <w:jc w:val="both"/>
        <w:rPr>
          <w:rFonts w:eastAsia="Calibri"/>
          <w:color w:val="000000"/>
          <w:sz w:val="24"/>
          <w:szCs w:val="24"/>
        </w:rPr>
      </w:pPr>
      <w:r w:rsidRPr="001A7AE3">
        <w:rPr>
          <w:rFonts w:eastAsia="Calibri"/>
          <w:color w:val="000000"/>
          <w:sz w:val="24"/>
          <w:szCs w:val="24"/>
        </w:rPr>
        <w:t xml:space="preserve">La primera sensación que produce la lectura de los artículos modificados del CP relaticos a los delitos imprudentes y del Preámbulo de la Reforma es ciertamente de desorientación en su entendimiento. </w:t>
      </w:r>
    </w:p>
    <w:p w:rsidR="00916DC4" w:rsidRDefault="001A7AE3" w:rsidP="00B666E7">
      <w:pPr>
        <w:tabs>
          <w:tab w:val="left" w:pos="1134"/>
        </w:tabs>
        <w:spacing w:line="360" w:lineRule="auto"/>
        <w:ind w:firstLine="426"/>
        <w:jc w:val="both"/>
        <w:rPr>
          <w:rFonts w:eastAsia="Calibri"/>
          <w:color w:val="000000"/>
          <w:sz w:val="24"/>
          <w:szCs w:val="24"/>
        </w:rPr>
      </w:pPr>
      <w:r w:rsidRPr="001A7AE3">
        <w:rPr>
          <w:rFonts w:eastAsia="Calibri"/>
          <w:sz w:val="24"/>
          <w:szCs w:val="24"/>
        </w:rPr>
        <w:t>El Preámbulo (XXXI, párrafo 12) de la Reforma textualmente dice: “</w:t>
      </w:r>
      <w:r w:rsidRPr="001A7AE3">
        <w:rPr>
          <w:rFonts w:eastAsia="Calibri"/>
          <w:i/>
          <w:iCs/>
          <w:sz w:val="24"/>
          <w:szCs w:val="24"/>
        </w:rPr>
        <w:t>se estima oportuno reconducir las actuales faltas de homicidio y lesiones por imprudencia leve hacia la vía jurisdiccional civil</w:t>
      </w:r>
      <w:r w:rsidRPr="001A7AE3">
        <w:rPr>
          <w:rFonts w:eastAsia="Calibri"/>
          <w:sz w:val="24"/>
          <w:szCs w:val="24"/>
        </w:rPr>
        <w:t xml:space="preserve"> (…) </w:t>
      </w:r>
      <w:r w:rsidRPr="001A7AE3">
        <w:rPr>
          <w:rFonts w:eastAsia="Calibri"/>
          <w:i/>
          <w:iCs/>
          <w:sz w:val="24"/>
          <w:szCs w:val="24"/>
        </w:rPr>
        <w:t>Se recoge así una modulación de la imprudencia de</w:t>
      </w:r>
      <w:r w:rsidRPr="001A7AE3">
        <w:rPr>
          <w:rFonts w:eastAsia="Calibri"/>
          <w:i/>
          <w:iCs/>
          <w:color w:val="000000"/>
          <w:sz w:val="24"/>
          <w:szCs w:val="24"/>
        </w:rPr>
        <w:t>lictiva entre grave y menos grave, lo que dará lugar a una mejor graduación de la responsabilidad penal en función de la conducta merecedora de reproche, pero al mismo tiempo permitirá reconocer supuestos de imprudencia leve que deben quedar fuera del Código Penal.</w:t>
      </w:r>
      <w:r w:rsidRPr="001A7AE3">
        <w:rPr>
          <w:rFonts w:eastAsia="Calibri"/>
          <w:color w:val="000000"/>
          <w:sz w:val="24"/>
          <w:szCs w:val="24"/>
        </w:rPr>
        <w:t>”</w:t>
      </w:r>
      <w:r w:rsidR="007139FC" w:rsidRPr="007139FC">
        <w:rPr>
          <w:rFonts w:eastAsia="Calibri"/>
          <w:color w:val="000000"/>
          <w:sz w:val="24"/>
          <w:szCs w:val="24"/>
        </w:rPr>
        <w:t xml:space="preserve"> </w:t>
      </w:r>
    </w:p>
    <w:p w:rsidR="007139FC" w:rsidRDefault="007139FC" w:rsidP="007139FC">
      <w:pPr>
        <w:tabs>
          <w:tab w:val="left" w:pos="1134"/>
        </w:tabs>
        <w:spacing w:after="200" w:line="360" w:lineRule="auto"/>
        <w:ind w:firstLine="426"/>
        <w:jc w:val="both"/>
        <w:rPr>
          <w:rFonts w:eastAsia="Calibri"/>
          <w:color w:val="000000"/>
          <w:sz w:val="24"/>
          <w:szCs w:val="24"/>
        </w:rPr>
      </w:pPr>
      <w:r w:rsidRPr="007139FC">
        <w:rPr>
          <w:rFonts w:eastAsia="Calibri"/>
          <w:color w:val="000000"/>
          <w:sz w:val="24"/>
          <w:szCs w:val="24"/>
        </w:rPr>
        <w:lastRenderedPageBreak/>
        <w:t>En efecto, l</w:t>
      </w:r>
      <w:r w:rsidRPr="007139FC">
        <w:rPr>
          <w:rFonts w:eastAsia="Calibri"/>
          <w:iCs/>
          <w:color w:val="000000"/>
          <w:sz w:val="24"/>
          <w:szCs w:val="24"/>
        </w:rPr>
        <w:t>a reforma de 2015 ha decidido alterar el esquema clásico de las modalidades imprudentes punibles al suprimir del CP las imprudencias leves e incorporar, a un mismo tiempo, la nueva categoría de la imprudencia menos grave</w:t>
      </w:r>
      <w:r w:rsidRPr="007139FC">
        <w:rPr>
          <w:rFonts w:eastAsia="Calibri"/>
          <w:color w:val="000000"/>
          <w:sz w:val="24"/>
          <w:szCs w:val="24"/>
          <w:vertAlign w:val="superscript"/>
        </w:rPr>
        <w:footnoteReference w:id="52"/>
      </w:r>
      <w:r w:rsidRPr="007139FC">
        <w:rPr>
          <w:rFonts w:eastAsia="Calibri"/>
          <w:color w:val="000000"/>
          <w:sz w:val="24"/>
          <w:szCs w:val="24"/>
        </w:rPr>
        <w:t>.</w:t>
      </w:r>
    </w:p>
    <w:p w:rsidR="007139FC" w:rsidRDefault="001A7AE3" w:rsidP="007139FC">
      <w:pPr>
        <w:tabs>
          <w:tab w:val="left" w:pos="1134"/>
        </w:tabs>
        <w:spacing w:after="200" w:line="360" w:lineRule="auto"/>
        <w:ind w:firstLine="426"/>
        <w:jc w:val="both"/>
        <w:rPr>
          <w:rFonts w:eastAsia="Calibri"/>
          <w:color w:val="000000"/>
          <w:sz w:val="24"/>
          <w:szCs w:val="24"/>
        </w:rPr>
      </w:pPr>
      <w:r w:rsidRPr="001A7AE3">
        <w:rPr>
          <w:rFonts w:eastAsia="Calibri"/>
          <w:color w:val="000000"/>
          <w:sz w:val="24"/>
          <w:szCs w:val="24"/>
        </w:rPr>
        <w:t xml:space="preserve">Se configura, con una novedosa denominación, la nueva categoría de la imprudencia menos grave, manteniendo en su configuración muchos aspectos antes referidos a las faltas (denuncia, perdón, competencia y procedimiento). Así, la imprudencia menos grave queda sometida a los requisitos de necesidad de denuncia y resulta eficaz el perdón antes de la sentencia, tal y como establece el articulado del  CP. </w:t>
      </w:r>
      <w:r w:rsidR="007139FC">
        <w:rPr>
          <w:rFonts w:eastAsia="Calibri"/>
          <w:color w:val="000000"/>
          <w:sz w:val="24"/>
          <w:szCs w:val="24"/>
        </w:rPr>
        <w:t>Por tanto, ¿v</w:t>
      </w:r>
      <w:r w:rsidRPr="001A7AE3">
        <w:rPr>
          <w:rFonts w:eastAsia="Calibri"/>
          <w:color w:val="000000"/>
          <w:sz w:val="24"/>
          <w:szCs w:val="24"/>
        </w:rPr>
        <w:t>iene entonces la nueva categoría de imprudencia menos grave a sustituir a la antigua imprudencia leve? ¿Se mantiene el mismo tratamiento penal?</w:t>
      </w:r>
    </w:p>
    <w:p w:rsidR="00D94140" w:rsidRDefault="007139FC" w:rsidP="00D94140">
      <w:pPr>
        <w:tabs>
          <w:tab w:val="left" w:pos="1134"/>
        </w:tabs>
        <w:spacing w:after="200" w:line="360" w:lineRule="auto"/>
        <w:ind w:firstLine="426"/>
        <w:jc w:val="both"/>
        <w:rPr>
          <w:rFonts w:eastAsia="Calibri"/>
          <w:color w:val="000000"/>
          <w:sz w:val="24"/>
          <w:szCs w:val="24"/>
        </w:rPr>
      </w:pPr>
      <w:r>
        <w:rPr>
          <w:rFonts w:eastAsia="Calibri"/>
          <w:color w:val="000000"/>
          <w:sz w:val="24"/>
          <w:szCs w:val="24"/>
        </w:rPr>
        <w:t>Si bien</w:t>
      </w:r>
      <w:r w:rsidR="001A7AE3" w:rsidRPr="001A7AE3">
        <w:rPr>
          <w:rFonts w:eastAsia="Calibri"/>
          <w:color w:val="000000"/>
          <w:sz w:val="24"/>
          <w:szCs w:val="24"/>
        </w:rPr>
        <w:t xml:space="preserve">, no se define, limitándose el legislador a justificar su creación en el propósito de no llevar, con la descriminalización general de las faltas de imprudencia, una sensación de desprotección a las propias víctimas. ¿Se mantienen los mismos criterios interpretativos de la categoría de imprudencia leve de la anterior redacción en la configuración de la nueva categoría de imprudencia menos grave? </w:t>
      </w:r>
    </w:p>
    <w:p w:rsidR="00D94140" w:rsidRDefault="001A7AE3" w:rsidP="00D94140">
      <w:pPr>
        <w:tabs>
          <w:tab w:val="left" w:pos="1134"/>
        </w:tabs>
        <w:spacing w:after="200" w:line="360" w:lineRule="auto"/>
        <w:ind w:firstLine="426"/>
        <w:jc w:val="both"/>
        <w:rPr>
          <w:rFonts w:eastAsia="Calibri"/>
          <w:color w:val="000000"/>
          <w:sz w:val="24"/>
          <w:szCs w:val="24"/>
        </w:rPr>
      </w:pPr>
      <w:r w:rsidRPr="001A7AE3">
        <w:rPr>
          <w:rFonts w:eastAsia="Calibri"/>
          <w:color w:val="000000"/>
          <w:sz w:val="24"/>
          <w:szCs w:val="24"/>
        </w:rPr>
        <w:t>Son muchos los interrogantes que nos hostigan, por lo que nos vemos obligados a examinar las posibles interpretaciones que, de la nueva categoría de la imprudencia menos grave, se podrían llevar a cabo para su adecuada configuración y determinar si ello afecta a la otra categoría de imprudencia grave y, en su caso, en qué medida.</w:t>
      </w:r>
    </w:p>
    <w:p w:rsidR="00D94140" w:rsidRDefault="001A7AE3" w:rsidP="00D94140">
      <w:pPr>
        <w:tabs>
          <w:tab w:val="left" w:pos="1134"/>
        </w:tabs>
        <w:spacing w:after="200" w:line="360" w:lineRule="auto"/>
        <w:ind w:firstLine="426"/>
        <w:jc w:val="both"/>
        <w:rPr>
          <w:rFonts w:eastAsia="Calibri"/>
          <w:color w:val="000000"/>
          <w:sz w:val="24"/>
          <w:szCs w:val="24"/>
        </w:rPr>
      </w:pPr>
      <w:r w:rsidRPr="001A7AE3">
        <w:rPr>
          <w:rFonts w:eastAsia="Calibri"/>
          <w:color w:val="000000"/>
          <w:sz w:val="24"/>
          <w:szCs w:val="24"/>
        </w:rPr>
        <w:t>1ª</w:t>
      </w:r>
      <w:r w:rsidR="00D94140">
        <w:rPr>
          <w:rFonts w:eastAsia="Calibri"/>
          <w:color w:val="000000"/>
          <w:sz w:val="24"/>
          <w:szCs w:val="24"/>
        </w:rPr>
        <w:t>.-</w:t>
      </w:r>
      <w:r w:rsidRPr="001A7AE3">
        <w:rPr>
          <w:rFonts w:eastAsia="Calibri"/>
          <w:color w:val="000000"/>
          <w:sz w:val="24"/>
          <w:szCs w:val="24"/>
        </w:rPr>
        <w:t xml:space="preserve"> La Reforma no debe implicar modificación alguna, debiendo entenderse la nueva imprudencia menos grave como equivalente o sustituta de la antigua imprudencia leve. Con esta interpretación no sería necesaria la creación de criterios doctrinales y jurisprudencia para su configuración, estableciéndose un régimen de perseguibilidad, eficacia del perdón, penalidad y competencia en materia de enjuiciamiento idéntico a la imprudencia leve de la anterior regulación.</w:t>
      </w:r>
      <w:r w:rsidRPr="001A7AE3">
        <w:rPr>
          <w:rFonts w:eastAsia="Calibri"/>
          <w:sz w:val="24"/>
          <w:szCs w:val="24"/>
        </w:rPr>
        <w:t xml:space="preserve"> </w:t>
      </w:r>
      <w:r w:rsidRPr="001A7AE3">
        <w:rPr>
          <w:rFonts w:eastAsia="Calibri"/>
          <w:bCs/>
          <w:sz w:val="24"/>
          <w:szCs w:val="24"/>
        </w:rPr>
        <w:t xml:space="preserve">Así, por ejemplo, </w:t>
      </w:r>
      <w:r w:rsidRPr="001A7AE3">
        <w:rPr>
          <w:rFonts w:eastAsia="Calibri"/>
          <w:bCs/>
          <w:color w:val="000000"/>
          <w:sz w:val="24"/>
          <w:szCs w:val="24"/>
        </w:rPr>
        <w:t>el art. 142.2 CP sería uno de los legatarios de la figura de la falta de homicidio imprudente, que aparecía tipificada en el art. 621.2 CP.</w:t>
      </w:r>
      <w:r w:rsidRPr="001A7AE3">
        <w:rPr>
          <w:rFonts w:eastAsia="Calibri"/>
          <w:color w:val="000000"/>
          <w:sz w:val="24"/>
          <w:szCs w:val="24"/>
        </w:rPr>
        <w:t xml:space="preserve"> No obstante, no puede existir una completa y razonable equiparación entre ambas imprudencias, puesto que las faltas de homicidio y lesiones por imprudencia leve se reconducen hacia la vía jurisdiccional civil.</w:t>
      </w:r>
    </w:p>
    <w:p w:rsidR="00D94140" w:rsidRDefault="001A7AE3" w:rsidP="00D94140">
      <w:pPr>
        <w:tabs>
          <w:tab w:val="left" w:pos="1134"/>
        </w:tabs>
        <w:spacing w:after="200" w:line="360" w:lineRule="auto"/>
        <w:ind w:firstLine="426"/>
        <w:jc w:val="both"/>
        <w:rPr>
          <w:rFonts w:eastAsia="Calibri"/>
          <w:color w:val="000000"/>
          <w:sz w:val="24"/>
          <w:szCs w:val="24"/>
        </w:rPr>
      </w:pPr>
      <w:r w:rsidRPr="001A7AE3">
        <w:rPr>
          <w:rFonts w:eastAsia="Calibri"/>
          <w:color w:val="000000"/>
          <w:sz w:val="24"/>
          <w:szCs w:val="24"/>
        </w:rPr>
        <w:lastRenderedPageBreak/>
        <w:t>2ª</w:t>
      </w:r>
      <w:r w:rsidR="00D94140">
        <w:rPr>
          <w:rFonts w:eastAsia="Calibri"/>
          <w:color w:val="000000"/>
          <w:sz w:val="24"/>
          <w:szCs w:val="24"/>
        </w:rPr>
        <w:t>.-</w:t>
      </w:r>
      <w:r w:rsidRPr="001A7AE3">
        <w:rPr>
          <w:rFonts w:eastAsia="Calibri"/>
          <w:color w:val="000000"/>
          <w:sz w:val="24"/>
          <w:szCs w:val="24"/>
        </w:rPr>
        <w:t xml:space="preserve"> El Preámbulo obliga a reconducir la imprudencia leve a la vía civil, por lo que la nueva categoría de la imprudencia menos grave sólo puede configurarse recogiendo conductas de objetiva menor gravedad, que anteriormente constituyeren imprudencias graves. </w:t>
      </w:r>
      <w:r w:rsidR="00D94140">
        <w:rPr>
          <w:rFonts w:eastAsia="Calibri"/>
          <w:color w:val="000000"/>
          <w:sz w:val="24"/>
          <w:szCs w:val="24"/>
        </w:rPr>
        <w:t xml:space="preserve">En términos de Doval, </w:t>
      </w:r>
      <w:r w:rsidRPr="001A7AE3">
        <w:rPr>
          <w:rFonts w:eastAsia="Calibri"/>
          <w:color w:val="000000"/>
          <w:sz w:val="24"/>
          <w:szCs w:val="24"/>
        </w:rPr>
        <w:t>“</w:t>
      </w:r>
      <w:r w:rsidR="00D94140">
        <w:rPr>
          <w:rFonts w:eastAsia="Calibri"/>
          <w:i/>
          <w:iCs/>
          <w:color w:val="000000"/>
          <w:sz w:val="24"/>
          <w:szCs w:val="24"/>
        </w:rPr>
        <w:t>a</w:t>
      </w:r>
      <w:r w:rsidRPr="001A7AE3">
        <w:rPr>
          <w:rFonts w:eastAsia="Calibri"/>
          <w:i/>
          <w:iCs/>
          <w:color w:val="000000"/>
          <w:sz w:val="24"/>
          <w:szCs w:val="24"/>
        </w:rPr>
        <w:t>l desgajar de la imprudencia grave la menos grave, la Reforma ha introducido en nuestro Derecho lo que parece ser una nueva especie de imprudencia, desde el punto de vista de su régimen</w:t>
      </w:r>
      <w:r w:rsidRPr="001A7AE3">
        <w:rPr>
          <w:rFonts w:eastAsia="Calibri"/>
          <w:color w:val="000000"/>
          <w:sz w:val="24"/>
          <w:szCs w:val="24"/>
        </w:rPr>
        <w:t>”</w:t>
      </w:r>
      <w:r w:rsidRPr="001A7AE3">
        <w:rPr>
          <w:rFonts w:eastAsia="Calibri"/>
          <w:color w:val="000000"/>
          <w:sz w:val="24"/>
          <w:szCs w:val="24"/>
          <w:vertAlign w:val="superscript"/>
        </w:rPr>
        <w:footnoteReference w:id="53"/>
      </w:r>
      <w:r w:rsidRPr="001A7AE3">
        <w:rPr>
          <w:rFonts w:eastAsia="Calibri"/>
          <w:color w:val="000000"/>
          <w:sz w:val="24"/>
          <w:szCs w:val="24"/>
        </w:rPr>
        <w:t>. Sin embargo, dicha postura exigiría valorar como grave aquellas conductas que entren en concurso con delitos de riesgo, así como aquellas que comporten la infracción más grave o reiterada de las normas objetivas de cuidado, teniendo la cualificación de menos grave un carácter residual.</w:t>
      </w:r>
    </w:p>
    <w:p w:rsidR="00D94140" w:rsidRDefault="001A7AE3" w:rsidP="00D94140">
      <w:pPr>
        <w:tabs>
          <w:tab w:val="left" w:pos="1134"/>
        </w:tabs>
        <w:spacing w:after="200" w:line="360" w:lineRule="auto"/>
        <w:ind w:firstLine="426"/>
        <w:jc w:val="both"/>
        <w:rPr>
          <w:rFonts w:eastAsia="Calibri"/>
          <w:color w:val="000000"/>
          <w:sz w:val="24"/>
          <w:szCs w:val="24"/>
        </w:rPr>
      </w:pPr>
      <w:r w:rsidRPr="001A7AE3">
        <w:rPr>
          <w:rFonts w:eastAsia="Calibri"/>
          <w:color w:val="000000"/>
          <w:sz w:val="24"/>
          <w:szCs w:val="24"/>
        </w:rPr>
        <w:t>3ª</w:t>
      </w:r>
      <w:r w:rsidR="00D94140">
        <w:rPr>
          <w:rFonts w:eastAsia="Calibri"/>
          <w:color w:val="000000"/>
          <w:sz w:val="24"/>
          <w:szCs w:val="24"/>
        </w:rPr>
        <w:t>.-</w:t>
      </w:r>
      <w:r w:rsidRPr="001A7AE3">
        <w:rPr>
          <w:rFonts w:eastAsia="Calibri"/>
          <w:color w:val="000000"/>
          <w:sz w:val="24"/>
          <w:szCs w:val="24"/>
        </w:rPr>
        <w:t xml:space="preserve"> La configuración de la nueva categoría de la imprudencia menos podría resultar de un criterio mixto, recogiendo aquellas conductas menos graves de la modalidad grave y, a la vez, aquellas de la modalidad leve de la regulación anterior de mayor reproche punitivo y que, por tanto, son más graves.</w:t>
      </w:r>
    </w:p>
    <w:p w:rsidR="00D94140" w:rsidRDefault="001A7AE3" w:rsidP="00D94140">
      <w:pPr>
        <w:tabs>
          <w:tab w:val="left" w:pos="1134"/>
        </w:tabs>
        <w:spacing w:after="200" w:line="360" w:lineRule="auto"/>
        <w:ind w:firstLine="426"/>
        <w:jc w:val="both"/>
        <w:rPr>
          <w:rFonts w:eastAsia="Calibri"/>
          <w:color w:val="000000"/>
          <w:sz w:val="24"/>
          <w:szCs w:val="24"/>
        </w:rPr>
      </w:pPr>
      <w:r w:rsidRPr="001A7AE3">
        <w:rPr>
          <w:rFonts w:eastAsia="Calibri"/>
          <w:color w:val="000000"/>
          <w:sz w:val="24"/>
          <w:szCs w:val="24"/>
        </w:rPr>
        <w:t>4ª</w:t>
      </w:r>
      <w:r w:rsidR="00D94140">
        <w:rPr>
          <w:rFonts w:eastAsia="Calibri"/>
          <w:color w:val="000000"/>
          <w:sz w:val="24"/>
          <w:szCs w:val="24"/>
        </w:rPr>
        <w:t>.-</w:t>
      </w:r>
      <w:r w:rsidRPr="001A7AE3">
        <w:rPr>
          <w:rFonts w:eastAsia="Calibri"/>
          <w:color w:val="000000"/>
          <w:sz w:val="24"/>
          <w:szCs w:val="24"/>
        </w:rPr>
        <w:t xml:space="preserve"> El Código Penal introduce un concepto de imprudencia menos grave inexistente en nuestra Legislación anterior y puede y debe crearse “ex novo” un contenido de él prescindiendo de las categorías preexistentes, pues ya no son las mismas que en la regulación anterior. Parece evidente que el alcance de la reforma es sólo formal o terminológico, de modo que no son equiparables la imprudencia menos grave y la leve</w:t>
      </w:r>
      <w:r w:rsidR="00D94140">
        <w:rPr>
          <w:rFonts w:eastAsia="Calibri"/>
          <w:color w:val="000000"/>
          <w:sz w:val="24"/>
          <w:szCs w:val="24"/>
        </w:rPr>
        <w:t xml:space="preserve"> del sistema </w:t>
      </w:r>
      <w:r w:rsidR="00D94140" w:rsidRPr="00D94140">
        <w:rPr>
          <w:rFonts w:eastAsia="Calibri"/>
          <w:color w:val="000000"/>
          <w:sz w:val="24"/>
          <w:szCs w:val="24"/>
        </w:rPr>
        <w:t xml:space="preserve">anterior al 2015. Así, </w:t>
      </w:r>
      <w:r w:rsidRPr="00D94140">
        <w:rPr>
          <w:rFonts w:eastAsia="Calibri"/>
          <w:iCs/>
          <w:color w:val="000000"/>
          <w:sz w:val="24"/>
          <w:szCs w:val="24"/>
        </w:rPr>
        <w:t>el legislador no ha pretendido una modificación puramente terminológica, pasando a llamar menos grave a la imprudencia antes denominada leve</w:t>
      </w:r>
      <w:r w:rsidRPr="00D94140">
        <w:rPr>
          <w:rFonts w:eastAsia="Calibri"/>
          <w:color w:val="000000"/>
          <w:sz w:val="24"/>
          <w:szCs w:val="24"/>
          <w:vertAlign w:val="superscript"/>
        </w:rPr>
        <w:footnoteReference w:id="54"/>
      </w:r>
      <w:r w:rsidRPr="00D94140">
        <w:rPr>
          <w:rFonts w:eastAsia="Calibri"/>
          <w:color w:val="000000"/>
          <w:sz w:val="24"/>
          <w:szCs w:val="24"/>
        </w:rPr>
        <w:t>.</w:t>
      </w:r>
    </w:p>
    <w:p w:rsidR="00D94140" w:rsidRDefault="001A7AE3" w:rsidP="00D94140">
      <w:pPr>
        <w:tabs>
          <w:tab w:val="left" w:pos="1134"/>
        </w:tabs>
        <w:spacing w:after="200" w:line="360" w:lineRule="auto"/>
        <w:ind w:firstLine="426"/>
        <w:jc w:val="both"/>
        <w:rPr>
          <w:rFonts w:eastAsia="Calibri"/>
          <w:color w:val="000000"/>
          <w:sz w:val="24"/>
          <w:szCs w:val="24"/>
        </w:rPr>
      </w:pPr>
      <w:r w:rsidRPr="001A7AE3">
        <w:rPr>
          <w:rFonts w:eastAsia="Calibri"/>
          <w:bCs/>
          <w:color w:val="000000"/>
          <w:sz w:val="24"/>
          <w:szCs w:val="24"/>
        </w:rPr>
        <w:t xml:space="preserve">Dicho esto, la imprudencia menos grave incrementa la pena relativa a la antigua imprudencia leve que pasa de multa de uno a dos meses a la multa de tres a dieciocho meses, respecto al homicidio, y de multa de diez a treinta días a la multa de tres a doce meses, respecto a las lesiones (para los supuestos de causación de alguno de los </w:t>
      </w:r>
      <w:r w:rsidRPr="001A7AE3">
        <w:rPr>
          <w:rFonts w:eastAsia="Calibri"/>
          <w:bCs/>
          <w:color w:val="000000"/>
          <w:sz w:val="24"/>
          <w:szCs w:val="24"/>
        </w:rPr>
        <w:lastRenderedPageBreak/>
        <w:t>resultados típicos previstos en los arts. 149 y 150 CP), aumento exponencial que, necesariamente, debe ir unido a un injusto también mayor.</w:t>
      </w:r>
    </w:p>
    <w:p w:rsidR="00D94140" w:rsidRPr="000119EA" w:rsidRDefault="001A7AE3" w:rsidP="00D94140">
      <w:pPr>
        <w:tabs>
          <w:tab w:val="left" w:pos="1134"/>
        </w:tabs>
        <w:spacing w:after="200" w:line="360" w:lineRule="auto"/>
        <w:ind w:firstLine="426"/>
        <w:jc w:val="both"/>
        <w:rPr>
          <w:rFonts w:eastAsia="Calibri"/>
          <w:color w:val="000000"/>
          <w:sz w:val="24"/>
          <w:szCs w:val="24"/>
        </w:rPr>
      </w:pPr>
      <w:r w:rsidRPr="001A7AE3">
        <w:rPr>
          <w:rFonts w:eastAsia="Calibri"/>
          <w:bCs/>
          <w:color w:val="000000"/>
          <w:sz w:val="24"/>
          <w:szCs w:val="24"/>
        </w:rPr>
        <w:t xml:space="preserve">En cuanto a la penalidad adicional a la pecuniaria, cabe observar que la imposición de las penas privativas de derechos es facultativa en el delito por imprudencia menos grave frente a su carácter obligatorio en el cometido por imprudencia grave. Además, para el homicidio imprudente menos grave, y a diferencia del cometido por imprudencia leve, supone un incremento de tres meses a un año a tres meses a dieciocho meses, </w:t>
      </w:r>
      <w:r w:rsidRPr="000119EA">
        <w:rPr>
          <w:rFonts w:eastAsia="Calibri"/>
          <w:bCs/>
          <w:color w:val="000000"/>
          <w:sz w:val="24"/>
          <w:szCs w:val="24"/>
        </w:rPr>
        <w:t>manteniéndose las mismas penas privativas de derechos para las lesiones.</w:t>
      </w:r>
    </w:p>
    <w:p w:rsidR="00D94140" w:rsidRDefault="001A7AE3" w:rsidP="00D94140">
      <w:pPr>
        <w:tabs>
          <w:tab w:val="left" w:pos="1134"/>
        </w:tabs>
        <w:spacing w:after="200" w:line="360" w:lineRule="auto"/>
        <w:ind w:firstLine="426"/>
        <w:jc w:val="both"/>
        <w:rPr>
          <w:rFonts w:eastAsia="Calibri"/>
          <w:color w:val="000000"/>
          <w:sz w:val="24"/>
          <w:szCs w:val="24"/>
        </w:rPr>
      </w:pPr>
      <w:r w:rsidRPr="000119EA">
        <w:rPr>
          <w:rFonts w:eastAsia="Calibri"/>
          <w:bCs/>
          <w:color w:val="000000"/>
          <w:sz w:val="24"/>
          <w:szCs w:val="24"/>
        </w:rPr>
        <w:t xml:space="preserve">Tampoco se recoge un apartado reservado a la imprudencia profesional, lo que implica que </w:t>
      </w:r>
      <w:r w:rsidRPr="000119EA">
        <w:rPr>
          <w:rFonts w:eastAsia="Calibri"/>
          <w:bCs/>
          <w:iCs/>
          <w:color w:val="000000"/>
          <w:sz w:val="24"/>
          <w:szCs w:val="24"/>
        </w:rPr>
        <w:t>todo delito cometido por imprudencia profesional es necesariamente un delito cometido por imprudencia grave</w:t>
      </w:r>
      <w:r w:rsidRPr="000119EA">
        <w:rPr>
          <w:rFonts w:eastAsia="Calibri"/>
          <w:bCs/>
          <w:color w:val="000000"/>
          <w:sz w:val="24"/>
          <w:szCs w:val="24"/>
          <w:vertAlign w:val="superscript"/>
        </w:rPr>
        <w:footnoteReference w:id="55"/>
      </w:r>
      <w:r w:rsidRPr="000119EA">
        <w:rPr>
          <w:rFonts w:eastAsia="Calibri"/>
          <w:bCs/>
          <w:color w:val="000000"/>
          <w:sz w:val="24"/>
          <w:szCs w:val="24"/>
        </w:rPr>
        <w:t>, lo</w:t>
      </w:r>
      <w:r w:rsidRPr="001A7AE3">
        <w:rPr>
          <w:rFonts w:eastAsia="Calibri"/>
          <w:bCs/>
          <w:color w:val="000000"/>
          <w:sz w:val="24"/>
          <w:szCs w:val="24"/>
        </w:rPr>
        <w:t xml:space="preserve"> cual resulta del todo razonable teniendo en cuanta lo visto respecto a dicha agravante.</w:t>
      </w:r>
    </w:p>
    <w:p w:rsidR="006C39CF" w:rsidRDefault="001A7AE3" w:rsidP="006C39CF">
      <w:pPr>
        <w:tabs>
          <w:tab w:val="left" w:pos="1134"/>
        </w:tabs>
        <w:spacing w:after="200" w:line="360" w:lineRule="auto"/>
        <w:ind w:firstLine="426"/>
        <w:jc w:val="both"/>
        <w:rPr>
          <w:rFonts w:eastAsia="Calibri"/>
          <w:color w:val="000000"/>
          <w:sz w:val="24"/>
          <w:szCs w:val="24"/>
        </w:rPr>
      </w:pPr>
      <w:r w:rsidRPr="001A7AE3">
        <w:rPr>
          <w:rFonts w:eastAsia="Calibri"/>
          <w:bCs/>
          <w:color w:val="000000"/>
          <w:sz w:val="24"/>
          <w:szCs w:val="24"/>
        </w:rPr>
        <w:t>Finalmente, y a diferencia del delito cometido por imprudencia grave, el cometido por imprudencia menos grave exige, como requisito de persiguibilidad, denuncia de la persona agraviada o de su representante legal.</w:t>
      </w:r>
    </w:p>
    <w:p w:rsidR="006C39CF" w:rsidRDefault="001A7AE3" w:rsidP="006C39CF">
      <w:pPr>
        <w:tabs>
          <w:tab w:val="left" w:pos="1134"/>
        </w:tabs>
        <w:spacing w:after="200" w:line="360" w:lineRule="auto"/>
        <w:ind w:firstLine="426"/>
        <w:jc w:val="both"/>
        <w:rPr>
          <w:rFonts w:eastAsia="Calibri"/>
          <w:color w:val="000000"/>
          <w:sz w:val="24"/>
          <w:szCs w:val="24"/>
        </w:rPr>
      </w:pPr>
      <w:r w:rsidRPr="001A7AE3">
        <w:rPr>
          <w:rFonts w:eastAsia="Calibri"/>
          <w:bCs/>
          <w:color w:val="000000"/>
          <w:sz w:val="24"/>
          <w:szCs w:val="24"/>
        </w:rPr>
        <w:t>Por tanto, no cabe interpretar que la imprudencia menos grave venga a ser un sucedáneo de la anterior imprudencia leve. De modo que</w:t>
      </w:r>
      <w:r w:rsidRPr="006C39CF">
        <w:rPr>
          <w:rFonts w:eastAsia="Calibri"/>
          <w:bCs/>
          <w:color w:val="000000"/>
          <w:sz w:val="24"/>
          <w:szCs w:val="24"/>
        </w:rPr>
        <w:t xml:space="preserve">, </w:t>
      </w:r>
      <w:r w:rsidRPr="006C39CF">
        <w:rPr>
          <w:rFonts w:eastAsia="Calibri"/>
          <w:bCs/>
          <w:iCs/>
          <w:color w:val="000000"/>
          <w:sz w:val="24"/>
          <w:szCs w:val="24"/>
        </w:rPr>
        <w:t>parece más razonable estimar que estamos ante una clase de imprudencia intermedia que, sin ser grave, sea más intensa que la anteriormente leve</w:t>
      </w:r>
      <w:r w:rsidRPr="006C39CF">
        <w:rPr>
          <w:rFonts w:eastAsia="Calibri"/>
          <w:bCs/>
          <w:color w:val="000000"/>
          <w:sz w:val="24"/>
          <w:szCs w:val="24"/>
          <w:vertAlign w:val="superscript"/>
        </w:rPr>
        <w:footnoteReference w:id="56"/>
      </w:r>
      <w:r w:rsidRPr="006C39CF">
        <w:rPr>
          <w:rFonts w:eastAsia="Calibri"/>
          <w:bCs/>
          <w:color w:val="000000"/>
          <w:sz w:val="24"/>
          <w:szCs w:val="24"/>
        </w:rPr>
        <w:t>.</w:t>
      </w:r>
    </w:p>
    <w:p w:rsidR="006C39CF" w:rsidRDefault="001A7AE3" w:rsidP="006C39CF">
      <w:pPr>
        <w:tabs>
          <w:tab w:val="left" w:pos="1134"/>
        </w:tabs>
        <w:spacing w:after="200" w:line="360" w:lineRule="auto"/>
        <w:ind w:firstLine="426"/>
        <w:jc w:val="both"/>
        <w:rPr>
          <w:rFonts w:eastAsia="Calibri"/>
          <w:bCs/>
          <w:color w:val="000000"/>
          <w:sz w:val="24"/>
          <w:szCs w:val="24"/>
        </w:rPr>
      </w:pPr>
      <w:r w:rsidRPr="001A7AE3">
        <w:rPr>
          <w:rFonts w:eastAsia="Calibri"/>
          <w:bCs/>
          <w:color w:val="000000"/>
          <w:sz w:val="24"/>
          <w:szCs w:val="24"/>
        </w:rPr>
        <w:t xml:space="preserve">La justificación del legislador, a la hora de incorporar dos nuevos delitos de homicidio y lesiones cometidos por imprudencia menos grave, se basaba así en la necesidad de solucionar los problemas debidos a la leve sanción que reciben en la práctica conductas que han causado lesiones de extraordinaria gravedad (faltas por imprudencia leve). </w:t>
      </w:r>
    </w:p>
    <w:p w:rsidR="006C39CF" w:rsidRPr="000119EA" w:rsidRDefault="000119EA" w:rsidP="006C39CF">
      <w:pPr>
        <w:tabs>
          <w:tab w:val="left" w:pos="1134"/>
        </w:tabs>
        <w:spacing w:after="200" w:line="360" w:lineRule="auto"/>
        <w:ind w:firstLine="426"/>
        <w:jc w:val="both"/>
        <w:rPr>
          <w:rFonts w:eastAsia="Calibri"/>
          <w:bCs/>
          <w:color w:val="000000"/>
          <w:sz w:val="24"/>
          <w:szCs w:val="24"/>
        </w:rPr>
      </w:pPr>
      <w:r w:rsidRPr="000119EA">
        <w:rPr>
          <w:rFonts w:eastAsia="Calibri"/>
          <w:bCs/>
          <w:color w:val="000000"/>
          <w:sz w:val="24"/>
          <w:szCs w:val="24"/>
        </w:rPr>
        <w:t xml:space="preserve">De este modo, </w:t>
      </w:r>
      <w:r w:rsidR="001A7AE3" w:rsidRPr="000119EA">
        <w:rPr>
          <w:rFonts w:eastAsia="Calibri"/>
          <w:bCs/>
          <w:iCs/>
          <w:color w:val="000000"/>
          <w:sz w:val="24"/>
          <w:szCs w:val="24"/>
        </w:rPr>
        <w:t xml:space="preserve">se pretendía, por un lado, dejar claro que existe un espacio de conductas leves, que deben ser impunes y, por otro, que la conducta que causa lesiones de extraordinaria gravedad a una persona, si tiene gravedad suficiente y merece una </w:t>
      </w:r>
      <w:r w:rsidR="001A7AE3" w:rsidRPr="000119EA">
        <w:rPr>
          <w:rFonts w:eastAsia="Calibri"/>
          <w:bCs/>
          <w:iCs/>
          <w:color w:val="000000"/>
          <w:sz w:val="24"/>
          <w:szCs w:val="24"/>
        </w:rPr>
        <w:lastRenderedPageBreak/>
        <w:t>pena de cierta entidad, debe ser reconducida a los nuevos supuestos de imprudencia menos grave</w:t>
      </w:r>
      <w:r w:rsidR="001A7AE3" w:rsidRPr="000119EA">
        <w:rPr>
          <w:rFonts w:eastAsia="Calibri"/>
          <w:bCs/>
          <w:color w:val="000000"/>
          <w:sz w:val="24"/>
          <w:szCs w:val="24"/>
          <w:vertAlign w:val="superscript"/>
        </w:rPr>
        <w:footnoteReference w:id="57"/>
      </w:r>
      <w:r w:rsidR="001A7AE3" w:rsidRPr="000119EA">
        <w:rPr>
          <w:rFonts w:eastAsia="Calibri"/>
          <w:bCs/>
          <w:color w:val="000000"/>
          <w:sz w:val="24"/>
          <w:szCs w:val="24"/>
        </w:rPr>
        <w:t xml:space="preserve">. </w:t>
      </w:r>
    </w:p>
    <w:p w:rsidR="006C39CF" w:rsidRDefault="001A7AE3" w:rsidP="006C39CF">
      <w:pPr>
        <w:tabs>
          <w:tab w:val="left" w:pos="1134"/>
        </w:tabs>
        <w:spacing w:after="200" w:line="360" w:lineRule="auto"/>
        <w:ind w:firstLine="426"/>
        <w:jc w:val="both"/>
        <w:rPr>
          <w:rFonts w:eastAsia="Calibri"/>
          <w:color w:val="000000"/>
          <w:sz w:val="24"/>
          <w:szCs w:val="24"/>
        </w:rPr>
      </w:pPr>
      <w:r w:rsidRPr="001A7AE3">
        <w:rPr>
          <w:rFonts w:eastAsia="Calibri"/>
          <w:bCs/>
          <w:color w:val="000000"/>
          <w:sz w:val="24"/>
          <w:szCs w:val="24"/>
        </w:rPr>
        <w:t>Sin embargo,</w:t>
      </w:r>
      <w:r w:rsidR="000119EA">
        <w:rPr>
          <w:rFonts w:eastAsia="Calibri"/>
          <w:bCs/>
          <w:color w:val="000000"/>
          <w:sz w:val="24"/>
          <w:szCs w:val="24"/>
        </w:rPr>
        <w:t xml:space="preserve"> </w:t>
      </w:r>
      <w:r w:rsidRPr="001A7AE3">
        <w:rPr>
          <w:rFonts w:eastAsia="Calibri"/>
          <w:bCs/>
          <w:color w:val="000000"/>
          <w:sz w:val="24"/>
          <w:szCs w:val="24"/>
        </w:rPr>
        <w:t>“</w:t>
      </w:r>
      <w:r w:rsidRPr="001A7AE3">
        <w:rPr>
          <w:rFonts w:eastAsia="Calibri"/>
          <w:bCs/>
          <w:i/>
          <w:iCs/>
          <w:color w:val="000000"/>
          <w:sz w:val="24"/>
          <w:szCs w:val="24"/>
        </w:rPr>
        <w:t>la orientación de la nueva ley tampoco garantiza que en algún caso faltas de diligencia levísimas, que antes pudieran dar lugar a su calificación como faltas de imprudencia leve, no puedan ser calificadas como delitos de imprudencia menos grave</w:t>
      </w:r>
      <w:r w:rsidRPr="001A7AE3">
        <w:rPr>
          <w:rFonts w:eastAsia="Calibri"/>
          <w:bCs/>
          <w:color w:val="000000"/>
          <w:sz w:val="24"/>
          <w:szCs w:val="24"/>
        </w:rPr>
        <w:t>”</w:t>
      </w:r>
      <w:r w:rsidRPr="001A7AE3">
        <w:rPr>
          <w:rFonts w:eastAsia="Calibri"/>
          <w:bCs/>
          <w:color w:val="000000"/>
          <w:sz w:val="24"/>
          <w:szCs w:val="24"/>
          <w:vertAlign w:val="superscript"/>
        </w:rPr>
        <w:footnoteReference w:id="58"/>
      </w:r>
      <w:r w:rsidRPr="001A7AE3">
        <w:rPr>
          <w:rFonts w:eastAsia="Calibri"/>
          <w:bCs/>
          <w:color w:val="000000"/>
          <w:sz w:val="24"/>
          <w:szCs w:val="24"/>
        </w:rPr>
        <w:t xml:space="preserve">. </w:t>
      </w:r>
    </w:p>
    <w:p w:rsidR="001A7AE3" w:rsidRPr="001A7AE3" w:rsidRDefault="001A7AE3" w:rsidP="006C39CF">
      <w:pPr>
        <w:tabs>
          <w:tab w:val="left" w:pos="1134"/>
        </w:tabs>
        <w:spacing w:after="200" w:line="360" w:lineRule="auto"/>
        <w:ind w:firstLine="426"/>
        <w:jc w:val="both"/>
        <w:rPr>
          <w:rFonts w:eastAsia="Calibri"/>
          <w:color w:val="000000"/>
          <w:sz w:val="24"/>
          <w:szCs w:val="24"/>
        </w:rPr>
      </w:pPr>
      <w:r w:rsidRPr="001A7AE3">
        <w:rPr>
          <w:rFonts w:eastAsia="Calibri"/>
          <w:color w:val="000000"/>
          <w:sz w:val="24"/>
          <w:szCs w:val="24"/>
        </w:rPr>
        <w:t>En esta línea, para configurar la imprudencia menos grave es obvio que la graduación de la culpa queda necesariamente reservada al criterio del Tribunal, que tendrá que actuar con módulos llenos de relativismo, en conexión con el caso concreto y circunstancias concurrentes acudiendo a la valoración de la mayor o menor gravedad del riesgo suscitado y en la previsibilidad y evitabilidad del resultado. De este modo, a la hora de catalogar una imprudencia atendiendo a su gravedad, podrán reconocer casos de imprudencia leve, cubriendo así uno de los objetivos de la supresión de las faltas.</w:t>
      </w:r>
    </w:p>
    <w:p w:rsidR="00D94140" w:rsidRDefault="001A7AE3" w:rsidP="00D94140">
      <w:pPr>
        <w:tabs>
          <w:tab w:val="left" w:pos="1134"/>
        </w:tabs>
        <w:spacing w:after="200" w:line="360" w:lineRule="auto"/>
        <w:ind w:firstLine="426"/>
        <w:jc w:val="both"/>
        <w:rPr>
          <w:rFonts w:eastAsia="Calibri"/>
          <w:color w:val="000000"/>
          <w:sz w:val="24"/>
          <w:szCs w:val="24"/>
        </w:rPr>
      </w:pPr>
      <w:r w:rsidRPr="001A7AE3">
        <w:rPr>
          <w:rFonts w:eastAsia="Calibri"/>
          <w:color w:val="000000"/>
          <w:sz w:val="24"/>
          <w:szCs w:val="24"/>
        </w:rPr>
        <w:t>A modo de ejemplo: El caso del conductor, que conociendo que la vía por la que circulaba era una vía peligrosa y que la señalización vertical de la misma establece una limitación de velocidad máxima en toda la vía de 60 km/h., la cual advierte del peligro por curvas peligrosas, y que pese a la existencia de una doble línea longitudinal continua separadora de los dos sentidos de circulación, el acusado invadió totalmente el carril izquierdo de los dos del sentido contrario, embistiendo en una colisión frontal excéntrica. A resultas de la violenta colisión la víctima sufrió lesiones, que determinaron su inmediato fallecimiento.</w:t>
      </w:r>
    </w:p>
    <w:p w:rsidR="00D94140" w:rsidRDefault="001A7AE3" w:rsidP="00D94140">
      <w:pPr>
        <w:tabs>
          <w:tab w:val="left" w:pos="1134"/>
        </w:tabs>
        <w:spacing w:after="200" w:line="360" w:lineRule="auto"/>
        <w:ind w:firstLine="426"/>
        <w:jc w:val="both"/>
        <w:rPr>
          <w:rFonts w:eastAsia="Calibri"/>
          <w:color w:val="000000"/>
          <w:sz w:val="24"/>
          <w:szCs w:val="24"/>
        </w:rPr>
      </w:pPr>
      <w:r w:rsidRPr="001A7AE3">
        <w:rPr>
          <w:rFonts w:eastAsia="Calibri"/>
          <w:color w:val="000000"/>
          <w:sz w:val="24"/>
          <w:szCs w:val="24"/>
        </w:rPr>
        <w:t xml:space="preserve">El acusado no tenía sus facultades disminuidas por el consumo previo de alcohol y se excluye que el siniestro se produjera por un exceso de velocidad. Si bien, sus reflejos y aptitud normal para la conducción estaban sensiblemente mermados por el cansancio al no haber dormido, por lo que, debido a que sus facultades psicofísicas se encontraban mermadas, no llegó a pisar el freno, ni intentó evitar la colisión, lo que solamente se </w:t>
      </w:r>
      <w:r w:rsidRPr="001A7AE3">
        <w:rPr>
          <w:rFonts w:eastAsia="Calibri"/>
          <w:color w:val="000000"/>
          <w:sz w:val="24"/>
          <w:szCs w:val="24"/>
        </w:rPr>
        <w:lastRenderedPageBreak/>
        <w:t xml:space="preserve">explica por su incapacidad para reaccionar a causa del cansancio y el sueño que tuvo que sobrevenirle. Así, la desconexión del conductor motivada por el cansancio explica la ausencia de cualquier maniobra evasiva o el intento de detener el vehículo  </w:t>
      </w:r>
    </w:p>
    <w:p w:rsidR="001A7AE3" w:rsidRPr="001A7AE3" w:rsidRDefault="001A7AE3" w:rsidP="00D94140">
      <w:pPr>
        <w:tabs>
          <w:tab w:val="left" w:pos="1134"/>
        </w:tabs>
        <w:spacing w:after="200" w:line="360" w:lineRule="auto"/>
        <w:ind w:firstLine="426"/>
        <w:jc w:val="both"/>
        <w:rPr>
          <w:rFonts w:eastAsia="Calibri"/>
          <w:color w:val="000000"/>
          <w:sz w:val="24"/>
          <w:szCs w:val="24"/>
        </w:rPr>
      </w:pPr>
      <w:r w:rsidRPr="001A7AE3">
        <w:rPr>
          <w:rFonts w:eastAsia="Calibri"/>
          <w:color w:val="000000"/>
          <w:sz w:val="24"/>
          <w:szCs w:val="24"/>
        </w:rPr>
        <w:t>La SAP 421/2015, de 1 octubre, finalmente determina que: “</w:t>
      </w:r>
      <w:r w:rsidRPr="001A7AE3">
        <w:rPr>
          <w:rFonts w:eastAsia="Calibri"/>
          <w:i/>
          <w:color w:val="000000"/>
          <w:sz w:val="24"/>
          <w:szCs w:val="24"/>
        </w:rPr>
        <w:t>No cabe duda de que conducir cansado sin haber dormido durante la noche genera un riesgo relevante para la circulación, pero ni se trata de un riesgo que de forma evidente y objetiva se asocie ex ante a una probabilidad extraordinariamente elevada de colisión, ni se trata de una conducta que socialmente se valore como un abandono de las elementales precauciones en la circulación. Dicho de otro modo, de igual forma que la conducción a altísima velocidad, bajo la influencia relevante del alcohol o sin atender señales de tráfico que obligan a detener o ceder la preferencia (por citar algunos ejemplos) se asocian inmediatamente con un abandono de las más elementales precauciones, con la creación de un riesgo potencial extraordinariamente elevado y con una conducción objetivamente incompatible con la seguridad del resto de usuarios de la vía; conducir cansado -a pesar de su evidente y en este caso confirmada peligrosidad- se valora como una acción que, en su valoración social, no se asocia de forma inmediata a un riesgo muy probable de siniestro (…) A la vista de las consideraciones anteriores, los hechos declarados probados deben ser calificados como constitutivos de un delito de homicidio cometido por imprudencia menos grave</w:t>
      </w:r>
      <w:r w:rsidRPr="001A7AE3">
        <w:rPr>
          <w:rFonts w:eastAsia="Calibri"/>
          <w:color w:val="000000"/>
          <w:sz w:val="24"/>
          <w:szCs w:val="24"/>
        </w:rPr>
        <w:t>”.</w:t>
      </w:r>
    </w:p>
    <w:p w:rsidR="001A7AE3" w:rsidRPr="001A7AE3" w:rsidRDefault="001A7AE3" w:rsidP="00EA0579">
      <w:pPr>
        <w:tabs>
          <w:tab w:val="left" w:pos="1134"/>
        </w:tabs>
        <w:spacing w:after="200" w:line="360" w:lineRule="auto"/>
        <w:ind w:left="1134"/>
        <w:jc w:val="both"/>
        <w:rPr>
          <w:rFonts w:eastAsia="Calibri"/>
          <w:b/>
          <w:bCs/>
          <w:sz w:val="24"/>
          <w:szCs w:val="24"/>
        </w:rPr>
      </w:pPr>
      <w:r w:rsidRPr="001A7AE3">
        <w:rPr>
          <w:rFonts w:eastAsia="Calibri"/>
          <w:b/>
          <w:bCs/>
          <w:sz w:val="24"/>
          <w:szCs w:val="24"/>
        </w:rPr>
        <w:t>6.2.3. La supresión del Libro III, relativo a “las faltas y sus penas”. Consecuencias de la Reforma de 1015</w:t>
      </w:r>
    </w:p>
    <w:p w:rsidR="001A7AE3" w:rsidRPr="001A7AE3" w:rsidRDefault="001A7AE3" w:rsidP="00147570">
      <w:pPr>
        <w:spacing w:after="200" w:line="360" w:lineRule="auto"/>
        <w:ind w:firstLine="426"/>
        <w:jc w:val="both"/>
        <w:rPr>
          <w:rFonts w:eastAsia="Calibri"/>
          <w:sz w:val="24"/>
          <w:szCs w:val="24"/>
        </w:rPr>
      </w:pPr>
      <w:r w:rsidRPr="001A7AE3">
        <w:rPr>
          <w:rFonts w:eastAsia="Calibri"/>
          <w:sz w:val="24"/>
          <w:szCs w:val="24"/>
        </w:rPr>
        <w:t xml:space="preserve">El legislador se propone con la nueva redacción del CP, como venimos comentando desde el inicio del presente estudio, entre otras muchas cuestiones, derogar por completo el Libro III, relativo a las “faltas y sus penas”. </w:t>
      </w:r>
    </w:p>
    <w:p w:rsidR="00147570" w:rsidRDefault="001A7AE3" w:rsidP="00147570">
      <w:pPr>
        <w:spacing w:after="200" w:line="360" w:lineRule="auto"/>
        <w:ind w:firstLine="426"/>
        <w:jc w:val="both"/>
        <w:rPr>
          <w:rFonts w:eastAsia="Calibri"/>
          <w:sz w:val="24"/>
          <w:szCs w:val="24"/>
        </w:rPr>
      </w:pPr>
      <w:r w:rsidRPr="001A7AE3">
        <w:rPr>
          <w:rFonts w:eastAsia="Calibri"/>
          <w:sz w:val="24"/>
          <w:szCs w:val="24"/>
        </w:rPr>
        <w:t>Las razones que han motivado este cambio se expresan con claridad en la enmienda núm. 819 del Grupo Parlamentario Popular en el Congreso, de la que deriva la redacción finalmente aprobada, y en la que se argumenta que la imprudencia leve tiene una aplicación práctica muy limitada. Se afirma que la regulación precedente produce una degradación de las imprudencias que de forma habitual se califican como faltas, y se canalizan a través del juicio de faltas conductas que carecen de verdadera relevancia penal.</w:t>
      </w:r>
    </w:p>
    <w:p w:rsidR="00147570" w:rsidRDefault="001A7AE3" w:rsidP="00147570">
      <w:pPr>
        <w:spacing w:after="200" w:line="360" w:lineRule="auto"/>
        <w:ind w:firstLine="426"/>
        <w:jc w:val="both"/>
        <w:rPr>
          <w:rFonts w:eastAsia="Calibri"/>
          <w:sz w:val="24"/>
          <w:szCs w:val="24"/>
        </w:rPr>
      </w:pPr>
      <w:r w:rsidRPr="001A7AE3">
        <w:rPr>
          <w:rFonts w:eastAsia="Calibri"/>
          <w:sz w:val="24"/>
          <w:szCs w:val="24"/>
        </w:rPr>
        <w:lastRenderedPageBreak/>
        <w:t>En la justificación de la enmienda citada se advierte que la descriminalización de las imprudencias leves tiene como objetivo, por un lado, garantizar la correcta sanción de las imprudencias graves, evitando que una imprudencia de gravedad que cause unos resultados gravísimos pueda ser sancionada con una multa de escasa cuantía y, por otro lado, reconocer hechos de menor entidad (aquéllos en los que se crea un riesgo ligeramente superior al habitual y permitido), que deberán quedar fuera del Derecho penal.</w:t>
      </w:r>
    </w:p>
    <w:p w:rsidR="00D91991" w:rsidRDefault="001A7AE3" w:rsidP="00D91991">
      <w:pPr>
        <w:spacing w:after="200" w:line="360" w:lineRule="auto"/>
        <w:ind w:firstLine="426"/>
        <w:jc w:val="both"/>
        <w:rPr>
          <w:rFonts w:eastAsia="Calibri"/>
          <w:sz w:val="24"/>
          <w:szCs w:val="24"/>
        </w:rPr>
      </w:pPr>
      <w:r w:rsidRPr="001A7AE3">
        <w:rPr>
          <w:rFonts w:eastAsia="Calibri"/>
          <w:sz w:val="24"/>
          <w:szCs w:val="24"/>
        </w:rPr>
        <w:t>A modo de ejemplo: El caso del conductor que pierde el control del vehículo en una rotonda y seguidamente colisiona con bolardos existentes en la zona.</w:t>
      </w:r>
    </w:p>
    <w:p w:rsidR="00D91991" w:rsidRDefault="001A7AE3" w:rsidP="00D91991">
      <w:pPr>
        <w:spacing w:after="200" w:line="360" w:lineRule="auto"/>
        <w:ind w:firstLine="426"/>
        <w:jc w:val="both"/>
        <w:rPr>
          <w:rFonts w:eastAsia="Calibri"/>
          <w:sz w:val="24"/>
          <w:szCs w:val="24"/>
        </w:rPr>
      </w:pPr>
      <w:r w:rsidRPr="001A7AE3">
        <w:rPr>
          <w:rFonts w:eastAsia="Calibri"/>
          <w:sz w:val="24"/>
          <w:szCs w:val="24"/>
        </w:rPr>
        <w:t>La STS 304/2015, de 14 julio</w:t>
      </w:r>
      <w:r w:rsidR="00D91991">
        <w:rPr>
          <w:rFonts w:eastAsia="Calibri"/>
          <w:sz w:val="24"/>
          <w:szCs w:val="24"/>
        </w:rPr>
        <w:t>,</w:t>
      </w:r>
      <w:r w:rsidRPr="001A7AE3">
        <w:rPr>
          <w:rFonts w:eastAsia="Calibri"/>
          <w:sz w:val="24"/>
          <w:szCs w:val="24"/>
        </w:rPr>
        <w:t xml:space="preserve"> determina que: “</w:t>
      </w:r>
      <w:r w:rsidRPr="001A7AE3">
        <w:rPr>
          <w:rFonts w:eastAsia="Calibri"/>
          <w:i/>
          <w:sz w:val="24"/>
          <w:szCs w:val="24"/>
        </w:rPr>
        <w:t>No es incardinable la conducta en el supuesto de imprudencia menos grave del artículo 152 no solo a tenor de la conducta imprudente en sí misma, sino también a tenor del resultado lesivo, por lo que no cabe entrar a considerar las argumentaciones  (…) En los supuestos de menor entidad de la falta de diligencia y omisión de las normas de cuidado en que consista la conducta negligente, se exige un resultado lesivo agravado (pérdida o inutilidad de un órgano o miembro principal, o de un sentido, impotencia, esterilidad, grave deformidad, o una grave enfermedad somática o psíquica, y perdida o inutilidad de un órgano o miembro no principal o deformidad) para ser típica la conducta (…) Los hechos denunciados que se consideraban constitutivos de una falta de lesiones por imprudencia leve del derogado artículo 621.3 del Código Penal , deben entenderse despenalizados conforme a la nueva regulación penal expuesta en virtud de LO 1/2015</w:t>
      </w:r>
      <w:r w:rsidRPr="001A7AE3">
        <w:rPr>
          <w:rFonts w:eastAsia="Calibri"/>
          <w:sz w:val="24"/>
          <w:szCs w:val="24"/>
        </w:rPr>
        <w:t>”.</w:t>
      </w:r>
    </w:p>
    <w:p w:rsidR="00D91991" w:rsidRDefault="001A7AE3" w:rsidP="00D91991">
      <w:pPr>
        <w:spacing w:after="200" w:line="360" w:lineRule="auto"/>
        <w:ind w:firstLine="426"/>
        <w:jc w:val="both"/>
        <w:rPr>
          <w:rFonts w:eastAsia="Calibri"/>
          <w:sz w:val="24"/>
          <w:szCs w:val="24"/>
        </w:rPr>
      </w:pPr>
      <w:r w:rsidRPr="001A7AE3">
        <w:rPr>
          <w:rFonts w:eastAsia="Calibri"/>
          <w:sz w:val="24"/>
          <w:szCs w:val="24"/>
        </w:rPr>
        <w:t>Es por ello que la enmienda del Partido Popular sustituye la anterior clasificación de la imprudencia grave y leve por la de grave y menos grave, pretendiendo así evidenciar la existencia de un espacio de conductas imprudentes leves, frente a otro de conductas imprudentes de cierta gravedad.</w:t>
      </w:r>
    </w:p>
    <w:p w:rsidR="00D91991" w:rsidRDefault="001A7AE3" w:rsidP="00D91991">
      <w:pPr>
        <w:spacing w:after="200" w:line="360" w:lineRule="auto"/>
        <w:ind w:firstLine="426"/>
        <w:jc w:val="both"/>
        <w:rPr>
          <w:rFonts w:eastAsia="Calibri"/>
          <w:sz w:val="24"/>
          <w:szCs w:val="24"/>
        </w:rPr>
      </w:pPr>
      <w:r w:rsidRPr="001A7AE3">
        <w:rPr>
          <w:rFonts w:eastAsia="Calibri"/>
          <w:sz w:val="24"/>
          <w:szCs w:val="24"/>
        </w:rPr>
        <w:t>En esta línea, señala el Preámbulo (XXXI, párrafo 12) de la Reforma: “</w:t>
      </w:r>
      <w:r w:rsidRPr="001A7AE3">
        <w:rPr>
          <w:rFonts w:eastAsia="Calibri"/>
          <w:i/>
          <w:iCs/>
          <w:sz w:val="24"/>
          <w:szCs w:val="24"/>
        </w:rPr>
        <w:t xml:space="preserve">No toda actuación culposa de la que se deriva un resultado dañoso debe dar lugar a responsabilidad penal, sino que el principio de intervención mínima y la consideración del sistema punitivo como última ratio, determinan que en la esfera penal deban incardinarse exclusivamente los supuestos graves de imprudencia, reconduciendo otro tipo de conductas culposas a la vía civil, en su modalidad de responsabilidad extracontractual o aquiliana de los artículos 1902 y siguientes del Código Civil, a la </w:t>
      </w:r>
      <w:r w:rsidRPr="001A7AE3">
        <w:rPr>
          <w:rFonts w:eastAsia="Calibri"/>
          <w:i/>
          <w:iCs/>
          <w:sz w:val="24"/>
          <w:szCs w:val="24"/>
        </w:rPr>
        <w:lastRenderedPageBreak/>
        <w:t xml:space="preserve">que habrá de acudir quien pretenda exigir responsabilidad por culpa </w:t>
      </w:r>
      <w:r w:rsidRPr="001A7AE3">
        <w:rPr>
          <w:rFonts w:eastAsia="Calibri"/>
          <w:i/>
          <w:iCs/>
          <w:color w:val="000000"/>
          <w:sz w:val="24"/>
          <w:szCs w:val="24"/>
        </w:rPr>
        <w:t>de tal entidad.</w:t>
      </w:r>
      <w:r w:rsidRPr="001A7AE3">
        <w:rPr>
          <w:rFonts w:eastAsia="Calibri"/>
          <w:color w:val="000000"/>
          <w:sz w:val="24"/>
          <w:szCs w:val="24"/>
        </w:rPr>
        <w:t>”</w:t>
      </w:r>
      <w:r w:rsidRPr="001A7AE3">
        <w:rPr>
          <w:rFonts w:eastAsia="Calibri"/>
          <w:sz w:val="24"/>
          <w:szCs w:val="24"/>
        </w:rPr>
        <w:t>. Así, el objetivo principal que persigue la Reforma es el tratamiento penal de los comportamientos más graves. Por tanto, ¿quiere eso decir que queda despenalizada la imprudencia leve?</w:t>
      </w:r>
    </w:p>
    <w:p w:rsidR="00D91991" w:rsidRDefault="001A7AE3" w:rsidP="00D91991">
      <w:pPr>
        <w:spacing w:after="200" w:line="360" w:lineRule="auto"/>
        <w:ind w:firstLine="426"/>
        <w:jc w:val="both"/>
        <w:rPr>
          <w:rFonts w:eastAsia="Calibri"/>
          <w:sz w:val="24"/>
          <w:szCs w:val="24"/>
        </w:rPr>
      </w:pPr>
      <w:r w:rsidRPr="001A7AE3">
        <w:rPr>
          <w:rFonts w:eastAsia="Calibri"/>
          <w:sz w:val="24"/>
          <w:szCs w:val="24"/>
        </w:rPr>
        <w:t xml:space="preserve">La supresión del Libro III conlleva la reconducción de las faltas a otras vías del Derecho y, por consiguiente, la imprudencia leve desaparece del CP, cediendo los Tribunales penales su competencia en favor de la jurisdicción civil para aquellos casos en los que por la levedad de la conducta no requiere un reproche penal. </w:t>
      </w:r>
    </w:p>
    <w:p w:rsidR="00D91991" w:rsidRDefault="00D91991" w:rsidP="00D91991">
      <w:pPr>
        <w:spacing w:after="200" w:line="360" w:lineRule="auto"/>
        <w:ind w:firstLine="426"/>
        <w:jc w:val="both"/>
        <w:rPr>
          <w:rFonts w:eastAsia="Calibri"/>
          <w:sz w:val="24"/>
          <w:szCs w:val="24"/>
        </w:rPr>
      </w:pPr>
      <w:r>
        <w:rPr>
          <w:rFonts w:eastAsia="Calibri"/>
          <w:sz w:val="24"/>
          <w:szCs w:val="24"/>
        </w:rPr>
        <w:t>S</w:t>
      </w:r>
      <w:r w:rsidR="001A7AE3" w:rsidRPr="001A7AE3">
        <w:rPr>
          <w:rFonts w:eastAsia="Calibri"/>
          <w:sz w:val="24"/>
          <w:szCs w:val="24"/>
        </w:rPr>
        <w:t>i bien, los comportamientos merecedores de suficiente reproche punitivo se mantienen en el Código Penal, configurándose como delitos leves castigados con penas de multa e introduciéndose en el Libro II. De este modo, las infracciones constitutivas de faltas más graves pasarían, a constituir la nueva categoría de delitos leves.</w:t>
      </w:r>
      <w:r w:rsidR="00953D03">
        <w:rPr>
          <w:rFonts w:eastAsia="Calibri"/>
          <w:sz w:val="24"/>
          <w:szCs w:val="24"/>
        </w:rPr>
        <w:t xml:space="preserve"> Es el caso de la mayoría de faltas del Libro III del CP.</w:t>
      </w:r>
    </w:p>
    <w:p w:rsidR="00D91991" w:rsidRDefault="001A7AE3" w:rsidP="00D91991">
      <w:pPr>
        <w:spacing w:after="200" w:line="360" w:lineRule="auto"/>
        <w:ind w:firstLine="426"/>
        <w:jc w:val="both"/>
        <w:rPr>
          <w:rFonts w:eastAsia="Calibri"/>
          <w:sz w:val="24"/>
          <w:szCs w:val="24"/>
        </w:rPr>
      </w:pPr>
      <w:r w:rsidRPr="001A7AE3">
        <w:rPr>
          <w:rFonts w:eastAsia="Calibri"/>
          <w:color w:val="000000"/>
          <w:sz w:val="24"/>
          <w:szCs w:val="24"/>
        </w:rPr>
        <w:t xml:space="preserve">Por tanto, al derivar las faltas de homicidio y lesiones por imprudencia leve a la vía civil, solo se considerarán delitos el homicidio y las lesiones graves cometidos por imprudencia grave y menos grave. </w:t>
      </w:r>
    </w:p>
    <w:p w:rsidR="00B666E7" w:rsidRDefault="001A7AE3" w:rsidP="00B666E7">
      <w:pPr>
        <w:spacing w:line="360" w:lineRule="auto"/>
        <w:ind w:firstLine="426"/>
        <w:jc w:val="both"/>
        <w:rPr>
          <w:rFonts w:eastAsia="Calibri"/>
          <w:sz w:val="24"/>
          <w:szCs w:val="24"/>
        </w:rPr>
      </w:pPr>
      <w:r w:rsidRPr="001A7AE3">
        <w:rPr>
          <w:rFonts w:eastAsia="Calibri"/>
          <w:color w:val="000000"/>
          <w:sz w:val="24"/>
          <w:szCs w:val="24"/>
        </w:rPr>
        <w:t>Así, alcanza el legislador que, en base al principio de intervención</w:t>
      </w:r>
      <w:r w:rsidRPr="001A7AE3">
        <w:rPr>
          <w:rFonts w:eastAsia="Calibri"/>
          <w:sz w:val="24"/>
          <w:szCs w:val="24"/>
        </w:rPr>
        <w:t xml:space="preserve"> mínima y la función de ultima ratio del sistema punitivo penal, el castigo de las conductas imprudentes debe ser excepcional, limitándose a las más graves, reconduciendo a la vía civil las conductas imprudentes que por su menor gravedad crean responsabilidad extracontractual o alquiliana. Incluso muchos autores consideran que “</w:t>
      </w:r>
      <w:r w:rsidRPr="001A7AE3">
        <w:rPr>
          <w:rFonts w:eastAsia="Calibri"/>
          <w:bCs/>
          <w:i/>
          <w:iCs/>
          <w:sz w:val="24"/>
          <w:szCs w:val="24"/>
        </w:rPr>
        <w:t>ha de valorarse como positiva la reconducción de las figuras de menor lesividad a la vía jurisdiccional civil, reservando la vía penal para aquellas imprudencias que presentan una cierta relevancia</w:t>
      </w:r>
      <w:r w:rsidRPr="001A7AE3">
        <w:rPr>
          <w:rFonts w:eastAsia="Calibri"/>
          <w:sz w:val="24"/>
          <w:szCs w:val="24"/>
        </w:rPr>
        <w:t>”</w:t>
      </w:r>
      <w:r w:rsidRPr="001A7AE3">
        <w:rPr>
          <w:rFonts w:eastAsia="Calibri"/>
          <w:sz w:val="24"/>
          <w:szCs w:val="24"/>
          <w:vertAlign w:val="superscript"/>
        </w:rPr>
        <w:footnoteReference w:id="59"/>
      </w:r>
      <w:r w:rsidRPr="001A7AE3">
        <w:rPr>
          <w:rFonts w:eastAsia="Calibri"/>
          <w:sz w:val="24"/>
          <w:szCs w:val="24"/>
        </w:rPr>
        <w:t>. Sin embargo, ¿carecen las faltas de homicidio y lesiones por imprudencia leve del necesario reproche punitivo?</w:t>
      </w:r>
    </w:p>
    <w:p w:rsidR="00D91991" w:rsidRDefault="001A7AE3" w:rsidP="00D91991">
      <w:pPr>
        <w:spacing w:after="200" w:line="360" w:lineRule="auto"/>
        <w:ind w:firstLine="426"/>
        <w:jc w:val="both"/>
        <w:rPr>
          <w:rFonts w:eastAsia="Calibri"/>
          <w:sz w:val="24"/>
          <w:szCs w:val="24"/>
        </w:rPr>
      </w:pPr>
      <w:r w:rsidRPr="001A7AE3">
        <w:rPr>
          <w:rFonts w:eastAsia="Calibri"/>
          <w:sz w:val="24"/>
          <w:szCs w:val="24"/>
        </w:rPr>
        <w:lastRenderedPageBreak/>
        <w:t xml:space="preserve">En </w:t>
      </w:r>
      <w:r w:rsidR="00D91991">
        <w:rPr>
          <w:rFonts w:eastAsia="Calibri"/>
          <w:sz w:val="24"/>
          <w:szCs w:val="24"/>
        </w:rPr>
        <w:t xml:space="preserve">esta línea, </w:t>
      </w:r>
      <w:r w:rsidRPr="00D91991">
        <w:rPr>
          <w:rFonts w:eastAsia="Calibri"/>
          <w:iCs/>
          <w:sz w:val="24"/>
          <w:szCs w:val="24"/>
        </w:rPr>
        <w:t>la consecuencia más inmediata de las modificaciones es, indudablemente, la menor protección penal de la vida y la salud frente a comportamientos imprudentes, que contrasta con el criterio mayoritario de la doctrina</w:t>
      </w:r>
      <w:r w:rsidRPr="00D91991">
        <w:rPr>
          <w:rFonts w:eastAsia="Calibri"/>
          <w:sz w:val="24"/>
          <w:szCs w:val="24"/>
          <w:vertAlign w:val="superscript"/>
        </w:rPr>
        <w:footnoteReference w:id="60"/>
      </w:r>
      <w:r w:rsidR="00D91991">
        <w:rPr>
          <w:rFonts w:eastAsia="Calibri"/>
          <w:iCs/>
          <w:sz w:val="24"/>
          <w:szCs w:val="24"/>
        </w:rPr>
        <w:t>.</w:t>
      </w:r>
    </w:p>
    <w:p w:rsidR="00D91991" w:rsidRDefault="001A7AE3" w:rsidP="00D91991">
      <w:pPr>
        <w:spacing w:after="200" w:line="360" w:lineRule="auto"/>
        <w:ind w:firstLine="426"/>
        <w:jc w:val="both"/>
        <w:rPr>
          <w:rFonts w:eastAsia="Calibri"/>
          <w:sz w:val="24"/>
          <w:szCs w:val="24"/>
        </w:rPr>
      </w:pPr>
      <w:r w:rsidRPr="001A7AE3">
        <w:rPr>
          <w:rFonts w:eastAsia="Calibri"/>
          <w:sz w:val="24"/>
          <w:szCs w:val="24"/>
        </w:rPr>
        <w:t>Además, no parece que el balance global de la reforma sea la general atenuación del régimen represivo de las infracciones. Así, por un lado. “las infracciones que por su especial levedad se trasladan al ámbito extrapenal, en ocasiones, se castigan con sanciones que compiten en dureza con las penales” y, por otro lado, aunque no excesivamente, se agrava el régimen penal de los nuevos delitos leves, que superan la ligereza propia de las faltas.</w:t>
      </w:r>
    </w:p>
    <w:p w:rsidR="00D91991" w:rsidRDefault="001A7AE3" w:rsidP="00D91991">
      <w:pPr>
        <w:spacing w:after="200" w:line="360" w:lineRule="auto"/>
        <w:ind w:firstLine="426"/>
        <w:jc w:val="both"/>
        <w:rPr>
          <w:rFonts w:eastAsia="Calibri"/>
          <w:sz w:val="24"/>
          <w:szCs w:val="24"/>
        </w:rPr>
      </w:pPr>
      <w:r w:rsidRPr="001A7AE3">
        <w:rPr>
          <w:rFonts w:eastAsia="Calibri"/>
          <w:sz w:val="24"/>
          <w:szCs w:val="24"/>
        </w:rPr>
        <w:t>En síntesis, la falta por imprudencia leve realmente no queda despenalizada, puesto que en muchos casos son reconducidas a otras jurisdicciones, como la civil o penal, probablemente con menores garantías y, en otros, pasarán a formar parte de la nueva categoría de delitos leves, con penas que se ven incrementadas.</w:t>
      </w:r>
    </w:p>
    <w:p w:rsidR="00D91991" w:rsidRDefault="001A7AE3" w:rsidP="00D91991">
      <w:pPr>
        <w:spacing w:after="200" w:line="360" w:lineRule="auto"/>
        <w:ind w:firstLine="426"/>
        <w:jc w:val="both"/>
        <w:rPr>
          <w:rFonts w:eastAsia="Calibri"/>
          <w:sz w:val="24"/>
          <w:szCs w:val="24"/>
        </w:rPr>
      </w:pPr>
      <w:r w:rsidRPr="001A7AE3">
        <w:rPr>
          <w:rFonts w:eastAsia="Calibri"/>
          <w:sz w:val="24"/>
          <w:szCs w:val="24"/>
        </w:rPr>
        <w:t>En otra línea argumental, entiende el legislador que se consigue así que la elevada litigiosidad que recae sobre los Juzgados y Tribunales, como consecuencia del uso del servicio público de Justicia, queda mejor sistematizada. Al suprimirse la falta por imprudencia leve, el legislador entiende que ese tipo de conductas culposas han de remitirse a la jurisdicción civil, como supuestos de responsabilidad extracontractual o Aquiliana de los arts. 1902 y ss. CC. De manera que, tras la reforma, corresponde a los Juzgado de Primera Instancia la competencia para conocer de las antiguas faltas de homicidio y lesiones por imprudencia leve, reservando la competencia de los Juzgados Instructores cuando por su mayor reproche punitivo la imprudencia pudiera ser calificada como grave.</w:t>
      </w:r>
    </w:p>
    <w:p w:rsidR="00D91991" w:rsidRDefault="001A7AE3" w:rsidP="00D91991">
      <w:pPr>
        <w:spacing w:after="200" w:line="360" w:lineRule="auto"/>
        <w:ind w:firstLine="426"/>
        <w:jc w:val="both"/>
        <w:rPr>
          <w:rFonts w:eastAsia="Calibri"/>
          <w:sz w:val="24"/>
          <w:szCs w:val="24"/>
        </w:rPr>
      </w:pPr>
      <w:r w:rsidRPr="001A7AE3">
        <w:rPr>
          <w:rFonts w:eastAsia="Calibri"/>
          <w:sz w:val="24"/>
          <w:szCs w:val="24"/>
        </w:rPr>
        <w:t>Si bien, algunos autores, partiendo de la conveniencia de promover el tratamiento de los comportamientos más graves, y aligerar así al CP de aquellos de escasa entidad, entienden que la eliminación de la imprudencia leve podría generar una distorsión de la aplicación de la noción de imprudencia grave</w:t>
      </w:r>
      <w:r w:rsidRPr="001A7AE3">
        <w:rPr>
          <w:rFonts w:eastAsia="Calibri"/>
          <w:sz w:val="24"/>
          <w:szCs w:val="24"/>
          <w:vertAlign w:val="superscript"/>
        </w:rPr>
        <w:footnoteReference w:id="61"/>
      </w:r>
      <w:r w:rsidRPr="001A7AE3">
        <w:rPr>
          <w:rFonts w:eastAsia="Calibri"/>
          <w:sz w:val="24"/>
          <w:szCs w:val="24"/>
        </w:rPr>
        <w:t xml:space="preserve">, provocando que la pretendida reducción </w:t>
      </w:r>
      <w:r w:rsidRPr="001A7AE3">
        <w:rPr>
          <w:rFonts w:eastAsia="Calibri"/>
          <w:sz w:val="24"/>
          <w:szCs w:val="24"/>
        </w:rPr>
        <w:lastRenderedPageBreak/>
        <w:t>del alcance de la criminalidad en realidad suponga una exacerbación de la punibilidad por unos mismo hechos</w:t>
      </w:r>
      <w:r w:rsidRPr="001A7AE3">
        <w:rPr>
          <w:rFonts w:eastAsia="Calibri"/>
          <w:sz w:val="24"/>
          <w:szCs w:val="24"/>
          <w:vertAlign w:val="superscript"/>
        </w:rPr>
        <w:footnoteReference w:id="62"/>
      </w:r>
      <w:r w:rsidRPr="001A7AE3">
        <w:rPr>
          <w:rFonts w:eastAsia="Calibri"/>
          <w:sz w:val="24"/>
          <w:szCs w:val="24"/>
        </w:rPr>
        <w:t>.</w:t>
      </w:r>
    </w:p>
    <w:p w:rsidR="00953D03" w:rsidRDefault="001A7AE3" w:rsidP="00953D03">
      <w:pPr>
        <w:spacing w:after="200" w:line="360" w:lineRule="auto"/>
        <w:ind w:firstLine="426"/>
        <w:jc w:val="both"/>
        <w:rPr>
          <w:rFonts w:eastAsia="Calibri"/>
          <w:sz w:val="24"/>
          <w:szCs w:val="24"/>
        </w:rPr>
      </w:pPr>
      <w:r w:rsidRPr="001A7AE3">
        <w:rPr>
          <w:rFonts w:eastAsia="Calibri"/>
          <w:sz w:val="24"/>
          <w:szCs w:val="24"/>
        </w:rPr>
        <w:t>Desde el punto de vista de los fines más prácticos de la Reforma</w:t>
      </w:r>
      <w:r w:rsidR="00D91991">
        <w:rPr>
          <w:rFonts w:eastAsia="Calibri"/>
          <w:sz w:val="24"/>
          <w:szCs w:val="24"/>
        </w:rPr>
        <w:t>, y de acuerdo con Doval</w:t>
      </w:r>
      <w:r w:rsidRPr="001A7AE3">
        <w:rPr>
          <w:rFonts w:eastAsia="Calibri"/>
          <w:sz w:val="24"/>
          <w:szCs w:val="24"/>
        </w:rPr>
        <w:t>, “</w:t>
      </w:r>
      <w:r w:rsidRPr="001A7AE3">
        <w:rPr>
          <w:rFonts w:eastAsia="Calibri"/>
          <w:i/>
          <w:iCs/>
          <w:sz w:val="24"/>
          <w:szCs w:val="24"/>
        </w:rPr>
        <w:t>el propósito inicial de aliviar la presión de los asuntos sobre los juzgados penales, tampoco se asegura que el recurso  a la vía civil penal no vaya a ser utilizado en todo caso; sobre todo, si no se elimina la posibilidad de acceder con ello a interesantes ventajas para las víctimas en la vía penal, como la que proporciona el informe forense y el llamado auto de cuantía máxima</w:t>
      </w:r>
      <w:r w:rsidRPr="001A7AE3">
        <w:rPr>
          <w:rFonts w:eastAsia="Calibri"/>
          <w:sz w:val="24"/>
          <w:szCs w:val="24"/>
        </w:rPr>
        <w:t>”</w:t>
      </w:r>
      <w:r w:rsidRPr="001A7AE3">
        <w:rPr>
          <w:rFonts w:eastAsia="Calibri"/>
          <w:sz w:val="24"/>
          <w:szCs w:val="24"/>
          <w:vertAlign w:val="superscript"/>
        </w:rPr>
        <w:footnoteReference w:id="63"/>
      </w:r>
      <w:r w:rsidRPr="001A7AE3">
        <w:rPr>
          <w:rFonts w:eastAsia="Calibri"/>
          <w:sz w:val="24"/>
          <w:szCs w:val="24"/>
        </w:rPr>
        <w:t>.</w:t>
      </w:r>
    </w:p>
    <w:p w:rsidR="00953D03" w:rsidRDefault="00BD791A" w:rsidP="00953D03">
      <w:pPr>
        <w:spacing w:after="200" w:line="360" w:lineRule="auto"/>
        <w:ind w:firstLine="426"/>
        <w:jc w:val="both"/>
        <w:rPr>
          <w:rFonts w:eastAsia="Calibri"/>
          <w:sz w:val="24"/>
          <w:szCs w:val="24"/>
        </w:rPr>
      </w:pPr>
      <w:r>
        <w:rPr>
          <w:rFonts w:eastAsia="Calibri"/>
          <w:sz w:val="24"/>
          <w:szCs w:val="24"/>
        </w:rPr>
        <w:t>En efecto</w:t>
      </w:r>
      <w:r w:rsidR="00953D03">
        <w:rPr>
          <w:rFonts w:eastAsia="Calibri"/>
          <w:sz w:val="24"/>
          <w:szCs w:val="24"/>
        </w:rPr>
        <w:t>, e</w:t>
      </w:r>
      <w:r w:rsidR="001A7AE3" w:rsidRPr="001A7AE3">
        <w:rPr>
          <w:rFonts w:eastAsia="Calibri"/>
          <w:sz w:val="24"/>
          <w:szCs w:val="24"/>
        </w:rPr>
        <w:t>s cierto que los juicios de faltas, consecuencia de la comisión imprudente de comportamientos punibles poco relevantes en cuanto a su criminalidad, provocaban la congestión del entramado judicial. Pero, ¿verdaderamente la derogación del Libro III del CP provocará una descongestión de los Juzgados y Tribunales del orden penal, o por el contrario provocará una congestión de los del orden civil?</w:t>
      </w:r>
    </w:p>
    <w:p w:rsidR="00BD791A" w:rsidRDefault="00953D03" w:rsidP="00BD791A">
      <w:pPr>
        <w:spacing w:after="200" w:line="360" w:lineRule="auto"/>
        <w:ind w:firstLine="426"/>
        <w:jc w:val="both"/>
        <w:rPr>
          <w:rFonts w:eastAsia="Calibri"/>
          <w:sz w:val="24"/>
          <w:szCs w:val="24"/>
        </w:rPr>
      </w:pPr>
      <w:r>
        <w:rPr>
          <w:rFonts w:eastAsia="Calibri"/>
          <w:sz w:val="24"/>
          <w:szCs w:val="24"/>
        </w:rPr>
        <w:t>Así, p</w:t>
      </w:r>
      <w:r w:rsidR="001A7AE3" w:rsidRPr="001A7AE3">
        <w:rPr>
          <w:rFonts w:eastAsia="Calibri"/>
          <w:sz w:val="24"/>
          <w:szCs w:val="24"/>
        </w:rPr>
        <w:t>arte de la doctrina expresa su negativa y afirma que el posible desvío de esas conductas hacia la jurisdicción civil no es conveniente. De una parte, el perjudicado no contará con la acusación fundada de un fiscal de oficio que la sostenga y, de otra parte, la presentación de demanda volverá a depender de la que en ese momento sea la situación económica del actor</w:t>
      </w:r>
      <w:r w:rsidR="001A7AE3" w:rsidRPr="001A7AE3">
        <w:rPr>
          <w:rFonts w:eastAsia="Calibri"/>
          <w:sz w:val="24"/>
          <w:szCs w:val="24"/>
          <w:vertAlign w:val="superscript"/>
        </w:rPr>
        <w:footnoteReference w:id="64"/>
      </w:r>
      <w:r w:rsidR="001A7AE3" w:rsidRPr="001A7AE3">
        <w:rPr>
          <w:rFonts w:eastAsia="Calibri"/>
          <w:sz w:val="24"/>
          <w:szCs w:val="24"/>
        </w:rPr>
        <w:t>. Por tanto, la víctima, privada del apoyo del fiscal y de las facilidades probatorias del procedimiento penal, deberá actuar por su cuenta y riesgo</w:t>
      </w:r>
      <w:r w:rsidR="001A7AE3" w:rsidRPr="001A7AE3">
        <w:rPr>
          <w:rFonts w:eastAsia="Calibri"/>
          <w:sz w:val="24"/>
          <w:szCs w:val="24"/>
          <w:vertAlign w:val="superscript"/>
        </w:rPr>
        <w:footnoteReference w:id="65"/>
      </w:r>
      <w:r w:rsidR="001A7AE3" w:rsidRPr="001A7AE3">
        <w:rPr>
          <w:rFonts w:eastAsia="Calibri"/>
          <w:sz w:val="24"/>
          <w:szCs w:val="24"/>
        </w:rPr>
        <w:t xml:space="preserve">. </w:t>
      </w:r>
    </w:p>
    <w:p w:rsidR="00BD791A" w:rsidRDefault="00BD791A" w:rsidP="00BD791A">
      <w:pPr>
        <w:spacing w:after="200" w:line="360" w:lineRule="auto"/>
        <w:ind w:firstLine="426"/>
        <w:jc w:val="both"/>
        <w:rPr>
          <w:rFonts w:eastAsia="Calibri"/>
          <w:sz w:val="24"/>
          <w:szCs w:val="24"/>
        </w:rPr>
      </w:pPr>
      <w:r>
        <w:rPr>
          <w:rFonts w:eastAsia="Calibri"/>
          <w:sz w:val="24"/>
          <w:szCs w:val="24"/>
        </w:rPr>
        <w:t>Además,</w:t>
      </w:r>
      <w:r w:rsidR="001A7AE3" w:rsidRPr="001A7AE3">
        <w:rPr>
          <w:rFonts w:eastAsia="Calibri"/>
          <w:sz w:val="24"/>
          <w:szCs w:val="24"/>
        </w:rPr>
        <w:t xml:space="preserve"> aun siendo cierto que los criterios para calificar la imprudencia como grave y leve son fruto de unas profundas y esforzadas elaboraciones jurisprudenciales y </w:t>
      </w:r>
      <w:r w:rsidR="001A7AE3" w:rsidRPr="001A7AE3">
        <w:rPr>
          <w:rFonts w:eastAsia="Calibri"/>
          <w:sz w:val="24"/>
          <w:szCs w:val="24"/>
        </w:rPr>
        <w:lastRenderedPageBreak/>
        <w:t>doctrinales que han permitido superar cuestiones que nos perseguían desde hace decenios, no es menos cierto que siguen dándose muchas cuestiones ambiguas que provocan discrepancias entre los jueces a la hora de calificar la imprudencia por su gravedad como leve o grave.</w:t>
      </w:r>
    </w:p>
    <w:p w:rsidR="00BD791A" w:rsidRDefault="001A7AE3" w:rsidP="00BD791A">
      <w:pPr>
        <w:spacing w:after="200" w:line="360" w:lineRule="auto"/>
        <w:ind w:firstLine="426"/>
        <w:jc w:val="both"/>
        <w:rPr>
          <w:rFonts w:eastAsia="Calibri"/>
          <w:sz w:val="24"/>
          <w:szCs w:val="24"/>
        </w:rPr>
      </w:pPr>
      <w:r w:rsidRPr="001A7AE3">
        <w:rPr>
          <w:rFonts w:eastAsia="Calibri"/>
          <w:sz w:val="24"/>
          <w:szCs w:val="24"/>
        </w:rPr>
        <w:t xml:space="preserve">Lo dicho nos llevaría a plantearnos, ¿qué sucedería si el Juez de Primera Instancia estima que, dado un supuesto concreto, la imprudencia no puede ser calificada como leve sino </w:t>
      </w:r>
      <w:r w:rsidR="00BD791A">
        <w:rPr>
          <w:rFonts w:eastAsia="Calibri"/>
          <w:sz w:val="24"/>
          <w:szCs w:val="24"/>
        </w:rPr>
        <w:t xml:space="preserve">como </w:t>
      </w:r>
      <w:r w:rsidRPr="001A7AE3">
        <w:rPr>
          <w:rFonts w:eastAsia="Calibri"/>
          <w:sz w:val="24"/>
          <w:szCs w:val="24"/>
        </w:rPr>
        <w:t>grave</w:t>
      </w:r>
      <w:r w:rsidR="00BD791A">
        <w:rPr>
          <w:rFonts w:eastAsia="Calibri"/>
          <w:sz w:val="24"/>
          <w:szCs w:val="24"/>
        </w:rPr>
        <w:t xml:space="preserve"> o menos grave</w:t>
      </w:r>
      <w:r w:rsidRPr="001A7AE3">
        <w:rPr>
          <w:rFonts w:eastAsia="Calibri"/>
          <w:sz w:val="24"/>
          <w:szCs w:val="24"/>
        </w:rPr>
        <w:t xml:space="preserve">? </w:t>
      </w:r>
    </w:p>
    <w:p w:rsidR="00BD791A" w:rsidRDefault="001A7AE3" w:rsidP="00BD791A">
      <w:pPr>
        <w:spacing w:after="200" w:line="360" w:lineRule="auto"/>
        <w:ind w:firstLine="426"/>
        <w:jc w:val="both"/>
        <w:rPr>
          <w:rFonts w:eastAsia="Calibri"/>
          <w:sz w:val="24"/>
          <w:szCs w:val="24"/>
        </w:rPr>
      </w:pPr>
      <w:r w:rsidRPr="001A7AE3">
        <w:rPr>
          <w:rFonts w:eastAsia="Calibri"/>
          <w:sz w:val="24"/>
          <w:szCs w:val="24"/>
        </w:rPr>
        <w:t>Está claro que los Juzgados de Primera Instancia carecen de competencia para declarar que un determinado hecho pudiera constituir imprudencia grave</w:t>
      </w:r>
      <w:r w:rsidR="00BD791A">
        <w:rPr>
          <w:rFonts w:eastAsia="Calibri"/>
          <w:sz w:val="24"/>
          <w:szCs w:val="24"/>
        </w:rPr>
        <w:t xml:space="preserve"> o menos grave</w:t>
      </w:r>
      <w:r w:rsidRPr="001A7AE3">
        <w:rPr>
          <w:rFonts w:eastAsia="Calibri"/>
          <w:sz w:val="24"/>
          <w:szCs w:val="24"/>
        </w:rPr>
        <w:t xml:space="preserve"> y, por tanto, tampoco pronunciarse sobre el asunto hasta que la gravedad de la imprudencia sea valorada por los tribunales competentes, en este caso, los Tribunales penales.</w:t>
      </w:r>
    </w:p>
    <w:p w:rsidR="00BD791A" w:rsidRDefault="001A7AE3" w:rsidP="00BD791A">
      <w:pPr>
        <w:spacing w:after="200" w:line="360" w:lineRule="auto"/>
        <w:ind w:firstLine="426"/>
        <w:jc w:val="both"/>
        <w:rPr>
          <w:rFonts w:eastAsia="Calibri"/>
          <w:sz w:val="24"/>
          <w:szCs w:val="24"/>
        </w:rPr>
      </w:pPr>
      <w:r w:rsidRPr="001A7AE3">
        <w:rPr>
          <w:rFonts w:eastAsia="Calibri"/>
          <w:sz w:val="24"/>
          <w:szCs w:val="24"/>
        </w:rPr>
        <w:t>Así, en virtud del artículo 40.1 de la Ley de Enjuiciamiento Civil debería plantearse una cuestión de prejudicialidad penal</w:t>
      </w:r>
      <w:r w:rsidRPr="001A7AE3">
        <w:rPr>
          <w:rFonts w:eastAsia="Calibri"/>
          <w:sz w:val="24"/>
          <w:szCs w:val="24"/>
          <w:vertAlign w:val="superscript"/>
        </w:rPr>
        <w:footnoteReference w:id="66"/>
      </w:r>
      <w:r w:rsidRPr="001A7AE3">
        <w:rPr>
          <w:rFonts w:eastAsia="Calibri"/>
          <w:sz w:val="24"/>
          <w:szCs w:val="24"/>
        </w:rPr>
        <w:t>. Una vez planteada la cuestión prejudicial, el asunto se traslada a la jurisdicción penal, donde tocará determinar la gravedad de la imprudencia.</w:t>
      </w:r>
    </w:p>
    <w:p w:rsidR="00BD791A" w:rsidRDefault="001A7AE3" w:rsidP="00BD791A">
      <w:pPr>
        <w:spacing w:after="200" w:line="360" w:lineRule="auto"/>
        <w:ind w:firstLine="426"/>
        <w:jc w:val="both"/>
        <w:rPr>
          <w:rFonts w:eastAsia="Calibri"/>
          <w:sz w:val="24"/>
          <w:szCs w:val="24"/>
        </w:rPr>
      </w:pPr>
      <w:r w:rsidRPr="001A7AE3">
        <w:rPr>
          <w:rFonts w:eastAsia="Calibri"/>
          <w:sz w:val="24"/>
          <w:szCs w:val="24"/>
        </w:rPr>
        <w:t>También el propio ciudadano puede presentar denuncia ante éstos tribunales si entendiera el hecho como grave, lo que obligará al Tribunal penal a llevar a cabo una mínima actividad probatoria. Incluso el propio Ministerio Fiscal puede iniciar el procedimiento de oficio, si entendiere el hecho como grave.</w:t>
      </w:r>
    </w:p>
    <w:p w:rsidR="00BD791A" w:rsidRDefault="001A7AE3" w:rsidP="00BD791A">
      <w:pPr>
        <w:spacing w:after="200" w:line="360" w:lineRule="auto"/>
        <w:ind w:firstLine="426"/>
        <w:jc w:val="both"/>
        <w:rPr>
          <w:rFonts w:eastAsia="Calibri"/>
          <w:sz w:val="24"/>
          <w:szCs w:val="24"/>
        </w:rPr>
      </w:pPr>
      <w:r w:rsidRPr="001A7AE3">
        <w:rPr>
          <w:rFonts w:eastAsia="Calibri"/>
          <w:sz w:val="24"/>
          <w:szCs w:val="24"/>
        </w:rPr>
        <w:t>La cuestión inversa, encontrándose ante la jurisdicción penal con su posterior remisión a la civil, también supondrá mayor tiempo y coste</w:t>
      </w:r>
      <w:r w:rsidRPr="001A7AE3">
        <w:rPr>
          <w:rFonts w:eastAsia="Calibri"/>
          <w:sz w:val="24"/>
          <w:szCs w:val="24"/>
          <w:vertAlign w:val="superscript"/>
        </w:rPr>
        <w:footnoteReference w:id="67"/>
      </w:r>
      <w:r w:rsidRPr="001A7AE3">
        <w:rPr>
          <w:rFonts w:eastAsia="Calibri"/>
          <w:sz w:val="24"/>
          <w:szCs w:val="24"/>
        </w:rPr>
        <w:t>.</w:t>
      </w:r>
    </w:p>
    <w:p w:rsidR="00BD791A" w:rsidRDefault="001A7AE3" w:rsidP="00BD791A">
      <w:pPr>
        <w:spacing w:after="200" w:line="360" w:lineRule="auto"/>
        <w:ind w:firstLine="426"/>
        <w:jc w:val="both"/>
        <w:rPr>
          <w:rFonts w:eastAsia="Calibri"/>
          <w:sz w:val="24"/>
          <w:szCs w:val="24"/>
        </w:rPr>
      </w:pPr>
      <w:r w:rsidRPr="001A7AE3">
        <w:rPr>
          <w:rFonts w:eastAsia="Calibri"/>
          <w:sz w:val="24"/>
          <w:szCs w:val="24"/>
        </w:rPr>
        <w:t>Por otra parte, algunas figuras se mantienen como infracciones administrativas, que activarán el correspondiente procedimiento sancionador que puede desembocar en el contencioso, no menos saturado.</w:t>
      </w:r>
    </w:p>
    <w:p w:rsidR="001A7AE3" w:rsidRPr="001A7AE3" w:rsidRDefault="001A7AE3" w:rsidP="00BD791A">
      <w:pPr>
        <w:spacing w:after="200" w:line="360" w:lineRule="auto"/>
        <w:ind w:firstLine="426"/>
        <w:jc w:val="both"/>
        <w:rPr>
          <w:rFonts w:eastAsia="Calibri"/>
          <w:sz w:val="24"/>
          <w:szCs w:val="24"/>
        </w:rPr>
      </w:pPr>
      <w:r w:rsidRPr="001A7AE3">
        <w:rPr>
          <w:rFonts w:eastAsia="Calibri"/>
          <w:sz w:val="24"/>
          <w:szCs w:val="24"/>
        </w:rPr>
        <w:lastRenderedPageBreak/>
        <w:t xml:space="preserve">En consecuencia, la pretendida descongestión de los Tribunales penales no va a resultar del todo efectiva, y entre sus funciones seguirá estando la de emitir pronunciamientos de carácter penal por la vía prejudicial. De modo que, la consecuencia práctica de reconducir las antiguas faltas a otras vías del Derecho, como la civil o administrativa, es la de engrosar dichas jurisdicciones, sin que ello suponga un beneficio para los Tribunales de lo penal. </w:t>
      </w:r>
    </w:p>
    <w:p w:rsidR="001A7AE3" w:rsidRDefault="001A7AE3" w:rsidP="00EA0579">
      <w:pPr>
        <w:spacing w:after="200" w:line="360" w:lineRule="auto"/>
        <w:jc w:val="both"/>
        <w:rPr>
          <w:rFonts w:eastAsia="Calibri"/>
          <w:b/>
          <w:bCs/>
          <w:sz w:val="24"/>
          <w:szCs w:val="24"/>
        </w:rPr>
      </w:pPr>
      <w:r w:rsidRPr="001A7AE3">
        <w:rPr>
          <w:rFonts w:eastAsia="Calibri"/>
          <w:b/>
          <w:bCs/>
          <w:sz w:val="24"/>
          <w:szCs w:val="24"/>
        </w:rPr>
        <w:t xml:space="preserve">7. CONCLUSIONES </w:t>
      </w:r>
    </w:p>
    <w:p w:rsidR="003A681F" w:rsidRPr="00916DC4" w:rsidRDefault="00916DC4" w:rsidP="00916DC4">
      <w:pPr>
        <w:spacing w:after="200" w:line="360" w:lineRule="auto"/>
        <w:ind w:firstLine="426"/>
        <w:jc w:val="both"/>
        <w:rPr>
          <w:rFonts w:eastAsia="Calibri"/>
          <w:bCs/>
          <w:sz w:val="24"/>
          <w:szCs w:val="24"/>
        </w:rPr>
      </w:pPr>
      <w:r w:rsidRPr="00916DC4">
        <w:rPr>
          <w:rFonts w:eastAsia="Calibri"/>
          <w:bCs/>
          <w:sz w:val="24"/>
          <w:szCs w:val="24"/>
        </w:rPr>
        <w:t xml:space="preserve">1) </w:t>
      </w:r>
      <w:r w:rsidR="003A681F" w:rsidRPr="00916DC4">
        <w:rPr>
          <w:rFonts w:eastAsia="Calibri"/>
          <w:bCs/>
          <w:sz w:val="24"/>
          <w:szCs w:val="24"/>
        </w:rPr>
        <w:t>La interpretación que del principio de intervención mínima y de última ratio supone una excesiva disposición por parte del legislador, puesto que e</w:t>
      </w:r>
      <w:r w:rsidR="003A681F" w:rsidRPr="00916DC4">
        <w:rPr>
          <w:rFonts w:eastAsia="Calibri"/>
          <w:bCs/>
          <w:sz w:val="24"/>
          <w:szCs w:val="24"/>
        </w:rPr>
        <w:t>l criterio empleado para calificar conductas imprudentes como delitos</w:t>
      </w:r>
      <w:r w:rsidR="003A681F" w:rsidRPr="00916DC4">
        <w:rPr>
          <w:rFonts w:eastAsia="Calibri"/>
          <w:bCs/>
          <w:sz w:val="24"/>
          <w:szCs w:val="24"/>
        </w:rPr>
        <w:t xml:space="preserve"> ya venía siendo restringido, lo que provoca que la función retributiva de la pena pierda su sentido, castigándose conductas graves.</w:t>
      </w:r>
    </w:p>
    <w:p w:rsidR="001D56D9" w:rsidRDefault="00916DC4" w:rsidP="001D56D9">
      <w:pPr>
        <w:spacing w:after="200" w:line="360" w:lineRule="auto"/>
        <w:ind w:firstLine="426"/>
        <w:jc w:val="both"/>
        <w:rPr>
          <w:rFonts w:eastAsia="Calibri"/>
          <w:sz w:val="24"/>
          <w:szCs w:val="24"/>
        </w:rPr>
      </w:pPr>
      <w:r>
        <w:rPr>
          <w:rFonts w:eastAsia="Calibri"/>
          <w:sz w:val="24"/>
          <w:szCs w:val="24"/>
        </w:rPr>
        <w:t>2</w:t>
      </w:r>
      <w:r w:rsidR="001A7AE3" w:rsidRPr="001A7AE3">
        <w:rPr>
          <w:rFonts w:eastAsia="Calibri"/>
          <w:sz w:val="24"/>
          <w:szCs w:val="24"/>
        </w:rPr>
        <w:t xml:space="preserve">) Las sucesivas reformas penales y </w:t>
      </w:r>
      <w:r w:rsidR="001D56D9">
        <w:rPr>
          <w:rFonts w:eastAsia="Calibri"/>
          <w:sz w:val="24"/>
          <w:szCs w:val="24"/>
        </w:rPr>
        <w:t>los esfuerzos de la doctrina y j</w:t>
      </w:r>
      <w:r w:rsidR="001A7AE3" w:rsidRPr="001A7AE3">
        <w:rPr>
          <w:rFonts w:eastAsia="Calibri"/>
          <w:sz w:val="24"/>
          <w:szCs w:val="24"/>
        </w:rPr>
        <w:t xml:space="preserve">urisprudencia han permitido superar muchos de los problemas que nos perseguían desde hace siglos. No obstante, el legislador con la elaboración de la última reforma de 2015 ha prescindido de la tradición jurídica española, arrojándonos de nuevo en la incertidumbre, y lo que es más peliagudo, en la inseguridad jurídica que causan muchas de las novedades introducidas en el </w:t>
      </w:r>
      <w:r w:rsidR="001D56D9">
        <w:rPr>
          <w:rFonts w:eastAsia="Calibri"/>
          <w:sz w:val="24"/>
          <w:szCs w:val="24"/>
        </w:rPr>
        <w:t>CP</w:t>
      </w:r>
      <w:r w:rsidR="001A7AE3" w:rsidRPr="001A7AE3">
        <w:rPr>
          <w:rFonts w:eastAsia="Calibri"/>
          <w:sz w:val="24"/>
          <w:szCs w:val="24"/>
        </w:rPr>
        <w:t>. Así, la Reforma supone una ruptura arbitraria con los criterios consolidados por la jurisprudencia respecto a la imprudencia.</w:t>
      </w:r>
    </w:p>
    <w:p w:rsidR="001D56D9" w:rsidRDefault="00916DC4" w:rsidP="001D56D9">
      <w:pPr>
        <w:spacing w:after="200" w:line="360" w:lineRule="auto"/>
        <w:ind w:firstLine="426"/>
        <w:jc w:val="both"/>
        <w:rPr>
          <w:rFonts w:eastAsia="Calibri"/>
          <w:sz w:val="24"/>
          <w:szCs w:val="24"/>
        </w:rPr>
      </w:pPr>
      <w:r>
        <w:rPr>
          <w:rFonts w:eastAsia="Calibri"/>
          <w:sz w:val="24"/>
          <w:szCs w:val="24"/>
        </w:rPr>
        <w:t>3</w:t>
      </w:r>
      <w:r w:rsidR="001A7AE3" w:rsidRPr="001A7AE3">
        <w:rPr>
          <w:rFonts w:eastAsia="Calibri"/>
          <w:sz w:val="24"/>
          <w:szCs w:val="24"/>
        </w:rPr>
        <w:t>) Verdaderamente, la supresión de las faltas no supone una total despenalización, aunque pueda haberla en algunos casos, pues muchas de ellas se convierten en delitos, con penas más graves (como delitos leves, lo que deja en evidencia que la Reforma supone un claro endurecimiento de las penas del CP, ensanchando el ámbito de lo castigado, incluso en casos en los que ya el correspondiente delito era suficientemente amplio) y muchas otras pasan a ser infracciones administrativas castigadas más gravemente y con menos garantías que antes. Así, la supresión de las faltas arrastra una notable cantidad de problemas procesales que apenas se resuelven en la Reforma.</w:t>
      </w:r>
    </w:p>
    <w:p w:rsidR="001D56D9" w:rsidRDefault="00916DC4" w:rsidP="001D56D9">
      <w:pPr>
        <w:spacing w:after="200" w:line="360" w:lineRule="auto"/>
        <w:ind w:firstLine="426"/>
        <w:jc w:val="both"/>
        <w:rPr>
          <w:rFonts w:eastAsia="Calibri"/>
          <w:sz w:val="24"/>
          <w:szCs w:val="24"/>
        </w:rPr>
      </w:pPr>
      <w:r>
        <w:rPr>
          <w:rFonts w:eastAsia="Calibri"/>
          <w:sz w:val="24"/>
          <w:szCs w:val="24"/>
        </w:rPr>
        <w:t>4</w:t>
      </w:r>
      <w:r w:rsidR="001A7AE3" w:rsidRPr="001A7AE3">
        <w:rPr>
          <w:rFonts w:eastAsia="Calibri"/>
          <w:sz w:val="24"/>
          <w:szCs w:val="24"/>
        </w:rPr>
        <w:t xml:space="preserve">) Algunas de las novedades introducidas en el </w:t>
      </w:r>
      <w:r w:rsidR="001D56D9">
        <w:rPr>
          <w:rFonts w:eastAsia="Calibri"/>
          <w:sz w:val="24"/>
          <w:szCs w:val="24"/>
        </w:rPr>
        <w:t>CP</w:t>
      </w:r>
      <w:r w:rsidR="001A7AE3" w:rsidRPr="001A7AE3">
        <w:rPr>
          <w:rFonts w:eastAsia="Calibri"/>
          <w:sz w:val="24"/>
          <w:szCs w:val="24"/>
        </w:rPr>
        <w:t xml:space="preserve"> privatizan no pocas infracciones consideradas tradicionalmente faltas, y en las que se ven involucrados anualmente decenas de miles de ciudadanos, alejando al ciudadano del servicio público de la Justicia, quien ahora tiene que cargar con </w:t>
      </w:r>
      <w:r w:rsidR="001D56D9">
        <w:rPr>
          <w:rFonts w:eastAsia="Calibri"/>
          <w:sz w:val="24"/>
          <w:szCs w:val="24"/>
        </w:rPr>
        <w:t xml:space="preserve">las </w:t>
      </w:r>
      <w:r w:rsidR="001A7AE3" w:rsidRPr="001A7AE3">
        <w:rPr>
          <w:rFonts w:eastAsia="Calibri"/>
          <w:sz w:val="24"/>
          <w:szCs w:val="24"/>
        </w:rPr>
        <w:t xml:space="preserve">costas y peritajes, lo que conllevará que en </w:t>
      </w:r>
      <w:r w:rsidR="001A7AE3" w:rsidRPr="001A7AE3">
        <w:rPr>
          <w:rFonts w:eastAsia="Calibri"/>
          <w:sz w:val="24"/>
          <w:szCs w:val="24"/>
        </w:rPr>
        <w:lastRenderedPageBreak/>
        <w:t xml:space="preserve">no pocas ocasiones a la renuncia del ciudadano a llevar a cabo reclamaciones. </w:t>
      </w:r>
      <w:r w:rsidR="001D56D9">
        <w:rPr>
          <w:rFonts w:eastAsia="Calibri"/>
          <w:sz w:val="24"/>
          <w:szCs w:val="24"/>
        </w:rPr>
        <w:t>Por tanto, s</w:t>
      </w:r>
      <w:r w:rsidR="001A7AE3" w:rsidRPr="001A7AE3">
        <w:rPr>
          <w:rFonts w:eastAsia="Calibri"/>
          <w:sz w:val="24"/>
          <w:szCs w:val="24"/>
        </w:rPr>
        <w:t xml:space="preserve">e está despenalizando una conducta que reviste de un carácter plenamente penal, de la que encima se derivan unas graves consecuencias económicas para los perjudicados. </w:t>
      </w:r>
    </w:p>
    <w:p w:rsidR="00D2489F" w:rsidRDefault="00916DC4" w:rsidP="001D56D9">
      <w:pPr>
        <w:spacing w:after="200" w:line="360" w:lineRule="auto"/>
        <w:ind w:firstLine="426"/>
        <w:jc w:val="both"/>
        <w:rPr>
          <w:rFonts w:eastAsia="Calibri"/>
          <w:sz w:val="24"/>
          <w:szCs w:val="24"/>
        </w:rPr>
      </w:pPr>
      <w:r>
        <w:rPr>
          <w:rFonts w:eastAsia="Calibri"/>
          <w:sz w:val="24"/>
          <w:szCs w:val="24"/>
        </w:rPr>
        <w:t>5</w:t>
      </w:r>
      <w:r w:rsidR="001A7AE3" w:rsidRPr="001A7AE3">
        <w:rPr>
          <w:rFonts w:eastAsia="Calibri"/>
          <w:sz w:val="24"/>
          <w:szCs w:val="24"/>
        </w:rPr>
        <w:t>) Mediante la despenalización de las diferentes faltas el legislador pretende una descongestión de los Tribunales penales, remitiendo a los órganos civiles aquellas cuestiones de menor entidad</w:t>
      </w:r>
      <w:r w:rsidR="00D2489F">
        <w:rPr>
          <w:rFonts w:eastAsia="Calibri"/>
          <w:sz w:val="24"/>
          <w:szCs w:val="24"/>
        </w:rPr>
        <w:t>, los cuales, a su vez, verán incrementado su trabajo</w:t>
      </w:r>
      <w:r w:rsidR="001A7AE3" w:rsidRPr="001A7AE3">
        <w:rPr>
          <w:rFonts w:eastAsia="Calibri"/>
          <w:sz w:val="24"/>
          <w:szCs w:val="24"/>
        </w:rPr>
        <w:t xml:space="preserve">. Si bien, no parece que dicha descongestión llegue a producirse, puesto que el número de </w:t>
      </w:r>
      <w:r w:rsidR="00D2489F">
        <w:rPr>
          <w:rFonts w:eastAsia="Calibri"/>
          <w:sz w:val="24"/>
          <w:szCs w:val="24"/>
        </w:rPr>
        <w:t xml:space="preserve">faltas reconvertidas en delitos leves es mucho más elevado que el número de faltas remitidas a otras jurisdicciones, engrosando el número de delitos en el CP. </w:t>
      </w:r>
      <w:r w:rsidR="001A7AE3" w:rsidRPr="001A7AE3">
        <w:rPr>
          <w:rFonts w:eastAsia="Calibri"/>
          <w:sz w:val="24"/>
          <w:szCs w:val="24"/>
        </w:rPr>
        <w:t xml:space="preserve"> </w:t>
      </w:r>
    </w:p>
    <w:p w:rsidR="00634083" w:rsidRDefault="00916DC4" w:rsidP="00634083">
      <w:pPr>
        <w:spacing w:after="200" w:line="360" w:lineRule="auto"/>
        <w:ind w:firstLine="426"/>
        <w:jc w:val="both"/>
        <w:rPr>
          <w:rFonts w:eastAsia="Calibri"/>
          <w:sz w:val="24"/>
          <w:szCs w:val="24"/>
        </w:rPr>
      </w:pPr>
      <w:r>
        <w:rPr>
          <w:rFonts w:eastAsia="Calibri"/>
          <w:sz w:val="24"/>
          <w:szCs w:val="24"/>
        </w:rPr>
        <w:t>6</w:t>
      </w:r>
      <w:r w:rsidR="001A7AE3" w:rsidRPr="001A7AE3">
        <w:rPr>
          <w:rFonts w:eastAsia="Calibri"/>
          <w:sz w:val="24"/>
          <w:szCs w:val="24"/>
        </w:rPr>
        <w:t xml:space="preserve">) Únicamente la jurisdicción penal está dotada de competencia para valorar la gravedad de la imprudencia. De modo que, aquellos hechos que, siendo ahora reconducidos a la jurisdicción civil, revistan dudas sobre su gravedad, requerirán de un mínimo de actividad jurisdiccional penal para determinar si realmente constituyen cuestiones de interés civil, o si por el contrario, requieren de un mayor reproche punitivo, teniendo cabida en la jurisdicción penal. </w:t>
      </w:r>
      <w:r w:rsidR="00634083">
        <w:rPr>
          <w:rFonts w:eastAsia="Calibri"/>
          <w:sz w:val="24"/>
          <w:szCs w:val="24"/>
        </w:rPr>
        <w:t>Así</w:t>
      </w:r>
      <w:r w:rsidR="001A7AE3" w:rsidRPr="001A7AE3">
        <w:rPr>
          <w:rFonts w:eastAsia="Calibri"/>
          <w:sz w:val="24"/>
          <w:szCs w:val="24"/>
        </w:rPr>
        <w:t xml:space="preserve">, éstos </w:t>
      </w:r>
      <w:r w:rsidR="00634083">
        <w:rPr>
          <w:rFonts w:eastAsia="Calibri"/>
          <w:sz w:val="24"/>
          <w:szCs w:val="24"/>
        </w:rPr>
        <w:t xml:space="preserve">últimos </w:t>
      </w:r>
      <w:r w:rsidR="001A7AE3" w:rsidRPr="001A7AE3">
        <w:rPr>
          <w:rFonts w:eastAsia="Calibri"/>
          <w:sz w:val="24"/>
          <w:szCs w:val="24"/>
        </w:rPr>
        <w:t xml:space="preserve">no verán </w:t>
      </w:r>
      <w:r w:rsidR="00634083">
        <w:rPr>
          <w:rFonts w:eastAsia="Calibri"/>
          <w:sz w:val="24"/>
          <w:szCs w:val="24"/>
        </w:rPr>
        <w:t>disminuida</w:t>
      </w:r>
      <w:r w:rsidR="001A7AE3" w:rsidRPr="001A7AE3">
        <w:rPr>
          <w:rFonts w:eastAsia="Calibri"/>
          <w:sz w:val="24"/>
          <w:szCs w:val="24"/>
        </w:rPr>
        <w:t xml:space="preserve"> su labor.</w:t>
      </w:r>
    </w:p>
    <w:p w:rsidR="00634083" w:rsidRDefault="00916DC4" w:rsidP="00634083">
      <w:pPr>
        <w:spacing w:after="200" w:line="360" w:lineRule="auto"/>
        <w:ind w:firstLine="426"/>
        <w:jc w:val="both"/>
        <w:rPr>
          <w:rFonts w:eastAsia="Calibri"/>
          <w:sz w:val="24"/>
          <w:szCs w:val="24"/>
        </w:rPr>
      </w:pPr>
      <w:r>
        <w:rPr>
          <w:rFonts w:eastAsia="Calibri"/>
          <w:sz w:val="24"/>
          <w:szCs w:val="24"/>
        </w:rPr>
        <w:t>7</w:t>
      </w:r>
      <w:r w:rsidR="001A7AE3" w:rsidRPr="001A7AE3">
        <w:rPr>
          <w:rFonts w:eastAsia="Calibri"/>
          <w:sz w:val="24"/>
          <w:szCs w:val="24"/>
        </w:rPr>
        <w:t xml:space="preserve">) Parece lógica la despenalización de aquellas conductas cuyo carácter no reviste de un elemento penal tan relevante, como es el caso de la falta de lesiones, puesto que su objetivo, como bien ha dispuesto el legislador en la exposición de motivos, es el de reservar el Derecho penal para la solución de los conflictos de especial gravedad. No obstante, existen otras muchas conductas que </w:t>
      </w:r>
      <w:r w:rsidR="001A7AE3" w:rsidRPr="001A7AE3">
        <w:rPr>
          <w:rFonts w:eastAsia="Calibri"/>
          <w:color w:val="000000"/>
          <w:sz w:val="24"/>
          <w:szCs w:val="24"/>
        </w:rPr>
        <w:t xml:space="preserve">constan de la suficiente gravedad como para estar sometido a </w:t>
      </w:r>
      <w:r w:rsidR="00634083">
        <w:rPr>
          <w:rFonts w:eastAsia="Calibri"/>
          <w:color w:val="000000"/>
          <w:sz w:val="24"/>
          <w:szCs w:val="24"/>
        </w:rPr>
        <w:t>las garantías previstas por el Ordenamiento jurídico p</w:t>
      </w:r>
      <w:r w:rsidR="001A7AE3" w:rsidRPr="001A7AE3">
        <w:rPr>
          <w:rFonts w:eastAsia="Calibri"/>
          <w:color w:val="000000"/>
          <w:sz w:val="24"/>
          <w:szCs w:val="24"/>
        </w:rPr>
        <w:t xml:space="preserve">enal, en atención a diversos textos internacionales. Este es el caso de la falta tipificada en el artículo 621.2 del </w:t>
      </w:r>
      <w:r w:rsidR="00634083">
        <w:rPr>
          <w:rFonts w:eastAsia="Calibri"/>
          <w:color w:val="000000"/>
          <w:sz w:val="24"/>
          <w:szCs w:val="24"/>
        </w:rPr>
        <w:t>CP</w:t>
      </w:r>
      <w:r w:rsidR="001A7AE3" w:rsidRPr="001A7AE3">
        <w:rPr>
          <w:rFonts w:eastAsia="Calibri"/>
          <w:color w:val="000000"/>
          <w:sz w:val="24"/>
          <w:szCs w:val="24"/>
        </w:rPr>
        <w:t xml:space="preserve"> la cual desaparece de la jurisdicción penal reconduciéndose a la jurisdicción civil, a través de la vía de la culpa Alquiliana. </w:t>
      </w:r>
    </w:p>
    <w:p w:rsidR="000119EA" w:rsidRDefault="00916DC4" w:rsidP="000119EA">
      <w:pPr>
        <w:spacing w:after="200" w:line="360" w:lineRule="auto"/>
        <w:ind w:firstLine="426"/>
        <w:jc w:val="both"/>
        <w:rPr>
          <w:rFonts w:eastAsia="Calibri"/>
          <w:sz w:val="24"/>
          <w:szCs w:val="24"/>
        </w:rPr>
      </w:pPr>
      <w:r>
        <w:rPr>
          <w:rFonts w:eastAsia="Calibri"/>
          <w:sz w:val="24"/>
          <w:szCs w:val="24"/>
        </w:rPr>
        <w:t>8</w:t>
      </w:r>
      <w:r w:rsidR="001A7AE3" w:rsidRPr="001A7AE3">
        <w:rPr>
          <w:rFonts w:eastAsia="Calibri"/>
          <w:sz w:val="24"/>
          <w:szCs w:val="24"/>
        </w:rPr>
        <w:t xml:space="preserve">) No existe coherencia en muchas de las modificaciones llevadas a cabo. Por ejemplo, el bien jurídico protegido en las amenazas es la libertad. Por su parte, en los delitos contra el patrimonio el bien jurídico protegido es el propio patrimonio. Pues bien, ambos delitos tras la reforma serán sancionadas como un subtipo atenuado en cada uno de los respectivos delitos, tras la derogación del libro III. ¿Por qué el legislador opta por mantener las amenazas y coacciones leves en el CP y despenalizar la falta de homicidio por imprudencia leve?, ¿es más grave penalmente hablando, una infracción </w:t>
      </w:r>
      <w:r w:rsidR="001A7AE3" w:rsidRPr="001A7AE3">
        <w:rPr>
          <w:rFonts w:eastAsia="Calibri"/>
          <w:sz w:val="24"/>
          <w:szCs w:val="24"/>
        </w:rPr>
        <w:lastRenderedPageBreak/>
        <w:t>contra el patrimonio que una contra la propia vida humana? Dicho de otro modo, ¿merece mayor protección la libertad o el patrimonio que la propia vida?</w:t>
      </w:r>
    </w:p>
    <w:p w:rsidR="00B666E7" w:rsidRDefault="00B666E7" w:rsidP="00B666E7">
      <w:pPr>
        <w:spacing w:after="200" w:line="360" w:lineRule="auto"/>
        <w:ind w:firstLine="426"/>
        <w:jc w:val="both"/>
        <w:rPr>
          <w:rFonts w:eastAsia="Calibri"/>
          <w:sz w:val="24"/>
          <w:szCs w:val="24"/>
        </w:rPr>
      </w:pPr>
      <w:r>
        <w:rPr>
          <w:rFonts w:eastAsia="Calibri"/>
          <w:sz w:val="24"/>
          <w:szCs w:val="24"/>
        </w:rPr>
        <w:t>9)</w:t>
      </w:r>
      <w:r w:rsidRPr="00B666E7">
        <w:rPr>
          <w:rFonts w:eastAsia="Calibri"/>
          <w:sz w:val="24"/>
          <w:szCs w:val="24"/>
        </w:rPr>
        <w:t xml:space="preserve"> El Código Penal introduce un concepto de imprudencia menos grave inexistente en nuestra Legislación anterior y puede y debe crearse “ex novo” un contenido de él prescindiendo de las categorías preexistentes, pues ya no son las mismas que en la regulación anterior. Parece evidente que el alcance de la reforma es sólo formal o terminológico, de modo que no son equiparables la imprudencia menos grave y la leve del sistema anterior al 2015. Así, el legislador no ha pretendido una modificación puramente terminológica, pasando a llamar menos grave a la imp</w:t>
      </w:r>
      <w:r>
        <w:rPr>
          <w:rFonts w:eastAsia="Calibri"/>
          <w:sz w:val="24"/>
          <w:szCs w:val="24"/>
        </w:rPr>
        <w:t>rudencia antes denominada leve.</w:t>
      </w:r>
    </w:p>
    <w:p w:rsidR="00B666E7" w:rsidRDefault="00B666E7" w:rsidP="000119EA">
      <w:pPr>
        <w:spacing w:after="200" w:line="360" w:lineRule="auto"/>
        <w:ind w:firstLine="426"/>
        <w:jc w:val="both"/>
        <w:rPr>
          <w:rFonts w:eastAsia="Calibri"/>
          <w:sz w:val="24"/>
          <w:szCs w:val="24"/>
        </w:rPr>
      </w:pPr>
      <w:r>
        <w:rPr>
          <w:rFonts w:eastAsia="Calibri"/>
          <w:sz w:val="24"/>
          <w:szCs w:val="24"/>
        </w:rPr>
        <w:t>10</w:t>
      </w:r>
      <w:r w:rsidR="00916DC4">
        <w:rPr>
          <w:rFonts w:eastAsia="Calibri"/>
          <w:sz w:val="24"/>
          <w:szCs w:val="24"/>
        </w:rPr>
        <w:t xml:space="preserve">) </w:t>
      </w:r>
      <w:r w:rsidR="00916DC4" w:rsidRPr="00916DC4">
        <w:rPr>
          <w:rFonts w:eastAsia="Calibri"/>
          <w:sz w:val="24"/>
          <w:szCs w:val="24"/>
        </w:rPr>
        <w:t>La nueva categoría de imprudencia menos grave probablemente acoja conductas de mayor reproche punitivo que la anterior imprudencia leve. Por tanto, el Proyecto de Reforma, modifica, pues, el límite mínimo de la intervención punitiva desde el punto de vista de la imputación subjetiva, elevándolo al grado de la nueva clase de la imprudencia menos grave, al eliminar la imprudencia leve del CP .</w:t>
      </w:r>
    </w:p>
    <w:p w:rsidR="000119EA" w:rsidRDefault="00B666E7" w:rsidP="000119EA">
      <w:pPr>
        <w:spacing w:after="200" w:line="360" w:lineRule="auto"/>
        <w:ind w:firstLine="426"/>
        <w:jc w:val="both"/>
        <w:rPr>
          <w:rFonts w:eastAsia="Calibri"/>
          <w:sz w:val="24"/>
          <w:szCs w:val="24"/>
        </w:rPr>
      </w:pPr>
      <w:r>
        <w:rPr>
          <w:rFonts w:eastAsia="Calibri"/>
          <w:sz w:val="24"/>
          <w:szCs w:val="24"/>
        </w:rPr>
        <w:t>11</w:t>
      </w:r>
      <w:r w:rsidR="001A7AE3" w:rsidRPr="001A7AE3">
        <w:rPr>
          <w:rFonts w:eastAsia="Calibri"/>
          <w:sz w:val="24"/>
          <w:szCs w:val="24"/>
        </w:rPr>
        <w:t xml:space="preserve">) La fundamentación de las afirmaciones expuestas, tienen como problema principal, el de estar ante un nuevo </w:t>
      </w:r>
      <w:r w:rsidR="00634083">
        <w:rPr>
          <w:rFonts w:eastAsia="Calibri"/>
          <w:sz w:val="24"/>
          <w:szCs w:val="24"/>
        </w:rPr>
        <w:t>CP</w:t>
      </w:r>
      <w:r w:rsidR="001A7AE3" w:rsidRPr="001A7AE3">
        <w:rPr>
          <w:rFonts w:eastAsia="Calibri"/>
          <w:sz w:val="24"/>
          <w:szCs w:val="24"/>
        </w:rPr>
        <w:t xml:space="preserve"> susceptible de críticas y de interpretaciones diversas, cuya incipiente juventud nos lleva a una situación de ausencia de comentarios doctrinales, así como a una situación de carencia total de jurisprudencia en el tema de la imprudencia y en la forma de aplicarla.</w:t>
      </w:r>
    </w:p>
    <w:p w:rsidR="001A7AE3" w:rsidRPr="001A7AE3" w:rsidRDefault="00B666E7" w:rsidP="000119EA">
      <w:pPr>
        <w:spacing w:after="200" w:line="360" w:lineRule="auto"/>
        <w:ind w:firstLine="426"/>
        <w:jc w:val="both"/>
        <w:rPr>
          <w:rFonts w:eastAsia="Calibri"/>
          <w:sz w:val="24"/>
          <w:szCs w:val="24"/>
        </w:rPr>
      </w:pPr>
      <w:r>
        <w:rPr>
          <w:rFonts w:eastAsia="Calibri"/>
          <w:sz w:val="24"/>
          <w:szCs w:val="24"/>
        </w:rPr>
        <w:t>12</w:t>
      </w:r>
      <w:r w:rsidR="001A7AE3" w:rsidRPr="001A7AE3">
        <w:rPr>
          <w:rFonts w:eastAsia="Calibri"/>
          <w:sz w:val="24"/>
          <w:szCs w:val="24"/>
        </w:rPr>
        <w:t xml:space="preserve">) </w:t>
      </w:r>
      <w:r w:rsidR="00634083">
        <w:rPr>
          <w:rFonts w:eastAsia="Calibri"/>
          <w:sz w:val="24"/>
          <w:szCs w:val="24"/>
        </w:rPr>
        <w:t>Es</w:t>
      </w:r>
      <w:r w:rsidR="001A7AE3" w:rsidRPr="001A7AE3">
        <w:rPr>
          <w:rFonts w:eastAsia="Calibri"/>
          <w:sz w:val="24"/>
          <w:szCs w:val="24"/>
        </w:rPr>
        <w:t xml:space="preserve"> difícil hacer pronóstico acerca de cómo será su aplicación forense, por la carencia de cualquier tradición en nuestro sistema procesal penal y las dudas acerca de qué es lo que en la práctica se considerará de muy escasa gravedad a la vista de la naturaleza del hecho, sus circunstancias, y las personales del autor. Por tanto, queda ahora esperar las decisiones de los Tribunales que en definitiva son los que interpretan y aplican día a día la Ley.</w:t>
      </w:r>
    </w:p>
    <w:p w:rsidR="001A7AE3" w:rsidRPr="001A7AE3" w:rsidRDefault="001A7AE3" w:rsidP="00916DC4">
      <w:pPr>
        <w:tabs>
          <w:tab w:val="left" w:pos="3600"/>
        </w:tabs>
        <w:spacing w:after="200" w:line="360" w:lineRule="auto"/>
        <w:jc w:val="both"/>
        <w:rPr>
          <w:rFonts w:eastAsia="Calibri"/>
          <w:b/>
          <w:bCs/>
          <w:sz w:val="24"/>
          <w:szCs w:val="24"/>
        </w:rPr>
      </w:pPr>
      <w:r w:rsidRPr="001A7AE3">
        <w:rPr>
          <w:rFonts w:eastAsia="Calibri"/>
          <w:b/>
          <w:bCs/>
          <w:sz w:val="24"/>
          <w:szCs w:val="24"/>
        </w:rPr>
        <w:t>8. BIBLIOGRAFÍA</w:t>
      </w:r>
      <w:r w:rsidR="00916DC4">
        <w:rPr>
          <w:rFonts w:eastAsia="Calibri"/>
          <w:b/>
          <w:bCs/>
          <w:sz w:val="24"/>
          <w:szCs w:val="24"/>
        </w:rPr>
        <w:tab/>
      </w:r>
    </w:p>
    <w:p w:rsidR="001A7AE3" w:rsidRPr="001A7AE3" w:rsidRDefault="001A7AE3" w:rsidP="00EA0579">
      <w:pPr>
        <w:spacing w:after="200" w:line="360" w:lineRule="auto"/>
        <w:jc w:val="both"/>
        <w:rPr>
          <w:rFonts w:eastAsia="Calibri"/>
          <w:color w:val="000000"/>
          <w:sz w:val="24"/>
          <w:szCs w:val="24"/>
        </w:rPr>
      </w:pPr>
      <w:r w:rsidRPr="001A7AE3">
        <w:rPr>
          <w:rFonts w:eastAsia="Calibri"/>
          <w:color w:val="000000"/>
          <w:sz w:val="24"/>
          <w:szCs w:val="24"/>
        </w:rPr>
        <w:t xml:space="preserve">ALONSO DE ESCAMILLA, A. (2011), “De las lesiones”, en LAMARCA PÉREZ, C. (Coord.), </w:t>
      </w:r>
      <w:r w:rsidRPr="001A7AE3">
        <w:rPr>
          <w:rFonts w:eastAsia="Calibri"/>
          <w:i/>
          <w:iCs/>
          <w:color w:val="000000"/>
          <w:sz w:val="24"/>
          <w:szCs w:val="24"/>
        </w:rPr>
        <w:t>Derecho Penal. Parte Especial</w:t>
      </w:r>
      <w:r w:rsidRPr="001A7AE3">
        <w:rPr>
          <w:rFonts w:eastAsia="Calibri"/>
          <w:color w:val="000000"/>
          <w:sz w:val="24"/>
          <w:szCs w:val="24"/>
        </w:rPr>
        <w:t>, 6ª Ed., Madrid, Colex.</w:t>
      </w:r>
    </w:p>
    <w:p w:rsidR="001A7AE3" w:rsidRPr="001A7AE3" w:rsidRDefault="001A7AE3" w:rsidP="00EA0579">
      <w:pPr>
        <w:spacing w:after="200" w:line="360" w:lineRule="auto"/>
        <w:jc w:val="both"/>
        <w:rPr>
          <w:rFonts w:eastAsia="Calibri"/>
          <w:color w:val="000000"/>
          <w:sz w:val="24"/>
          <w:szCs w:val="24"/>
        </w:rPr>
      </w:pPr>
      <w:r w:rsidRPr="001A7AE3">
        <w:rPr>
          <w:rFonts w:eastAsia="Calibri"/>
          <w:color w:val="000000"/>
          <w:sz w:val="24"/>
          <w:szCs w:val="24"/>
        </w:rPr>
        <w:lastRenderedPageBreak/>
        <w:t xml:space="preserve">ARMENTEROS LEÓN, M. (2014), “Aproximación a la regulación de los delitos leves en la próxima reforma del Código Penal”, en </w:t>
      </w:r>
      <w:r w:rsidRPr="001A7AE3">
        <w:rPr>
          <w:rFonts w:eastAsia="Calibri"/>
          <w:i/>
          <w:iCs/>
          <w:color w:val="000000"/>
          <w:sz w:val="24"/>
          <w:szCs w:val="24"/>
        </w:rPr>
        <w:t>Diario La Ley</w:t>
      </w:r>
      <w:r w:rsidRPr="001A7AE3">
        <w:rPr>
          <w:rFonts w:eastAsia="Calibri"/>
          <w:color w:val="000000"/>
          <w:sz w:val="24"/>
          <w:szCs w:val="24"/>
        </w:rPr>
        <w:t xml:space="preserve"> núm. 8257.</w:t>
      </w:r>
    </w:p>
    <w:p w:rsidR="001A7AE3" w:rsidRPr="001A7AE3" w:rsidRDefault="001A7AE3" w:rsidP="00EA0579">
      <w:pPr>
        <w:spacing w:after="200" w:line="360" w:lineRule="auto"/>
        <w:jc w:val="both"/>
        <w:rPr>
          <w:rFonts w:eastAsia="Calibri"/>
          <w:color w:val="000000"/>
          <w:sz w:val="24"/>
          <w:szCs w:val="24"/>
        </w:rPr>
      </w:pPr>
      <w:r w:rsidRPr="001A7AE3">
        <w:rPr>
          <w:rFonts w:eastAsia="Calibri"/>
          <w:color w:val="000000"/>
          <w:sz w:val="24"/>
          <w:szCs w:val="24"/>
        </w:rPr>
        <w:t xml:space="preserve">AYO FERNÁNDEZ, M. (2011), </w:t>
      </w:r>
      <w:r w:rsidRPr="001A7AE3">
        <w:rPr>
          <w:rFonts w:eastAsia="Calibri"/>
          <w:i/>
          <w:iCs/>
          <w:color w:val="000000"/>
          <w:sz w:val="24"/>
          <w:szCs w:val="24"/>
        </w:rPr>
        <w:t>Las faltas en el Código Penal y el Juicio de Faltas</w:t>
      </w:r>
      <w:r w:rsidRPr="001A7AE3">
        <w:rPr>
          <w:rFonts w:eastAsia="Calibri"/>
          <w:color w:val="000000"/>
          <w:sz w:val="24"/>
          <w:szCs w:val="24"/>
        </w:rPr>
        <w:t>, 7ª Ed., Navarra, Aranzadi.</w:t>
      </w:r>
    </w:p>
    <w:p w:rsidR="001A7AE3" w:rsidRPr="001A7AE3" w:rsidRDefault="001A7AE3" w:rsidP="00EA0579">
      <w:pPr>
        <w:spacing w:after="200" w:line="360" w:lineRule="auto"/>
        <w:jc w:val="both"/>
        <w:rPr>
          <w:rFonts w:eastAsia="Calibri"/>
          <w:color w:val="000000"/>
          <w:sz w:val="24"/>
          <w:szCs w:val="24"/>
        </w:rPr>
      </w:pPr>
      <w:r w:rsidRPr="001A7AE3">
        <w:rPr>
          <w:rFonts w:eastAsia="Calibri"/>
          <w:color w:val="000000"/>
          <w:sz w:val="24"/>
          <w:szCs w:val="24"/>
        </w:rPr>
        <w:t xml:space="preserve">BOLDOVA PASAMAR, M. A. (2014), “La desaparición de las faltas en el Proyecto de Reforma del Código Penal de 2013”, en </w:t>
      </w:r>
      <w:r w:rsidRPr="001A7AE3">
        <w:rPr>
          <w:rFonts w:eastAsia="Calibri"/>
          <w:i/>
          <w:iCs/>
          <w:color w:val="000000"/>
          <w:sz w:val="24"/>
          <w:szCs w:val="24"/>
        </w:rPr>
        <w:t>Revista Electrónica de Ciencia Penal y Criminología</w:t>
      </w:r>
      <w:r w:rsidRPr="001A7AE3">
        <w:rPr>
          <w:rFonts w:eastAsia="Calibri"/>
          <w:color w:val="000000"/>
          <w:sz w:val="24"/>
          <w:szCs w:val="24"/>
        </w:rPr>
        <w:t>, núm. 16-12.</w:t>
      </w:r>
    </w:p>
    <w:p w:rsidR="001A7AE3" w:rsidRPr="001A7AE3" w:rsidRDefault="001A7AE3" w:rsidP="00EA0579">
      <w:pPr>
        <w:spacing w:after="200" w:line="360" w:lineRule="auto"/>
        <w:jc w:val="both"/>
        <w:rPr>
          <w:rFonts w:eastAsia="Calibri"/>
          <w:color w:val="000000"/>
          <w:sz w:val="24"/>
          <w:szCs w:val="24"/>
        </w:rPr>
      </w:pPr>
      <w:r w:rsidRPr="001A7AE3">
        <w:rPr>
          <w:rFonts w:eastAsia="Calibri"/>
          <w:color w:val="000000"/>
          <w:sz w:val="24"/>
          <w:szCs w:val="24"/>
        </w:rPr>
        <w:t xml:space="preserve">BUSTOS RAMÍREZ, J. y HORMAZÁBAL MALARÉE, H. (2006), </w:t>
      </w:r>
      <w:r w:rsidRPr="001A7AE3">
        <w:rPr>
          <w:rFonts w:eastAsia="Calibri"/>
          <w:i/>
          <w:color w:val="000000"/>
          <w:sz w:val="24"/>
          <w:szCs w:val="24"/>
        </w:rPr>
        <w:t>Lecciones de Derecho Penal. Parte General</w:t>
      </w:r>
      <w:r w:rsidRPr="001A7AE3">
        <w:rPr>
          <w:rFonts w:eastAsia="Calibri"/>
          <w:color w:val="000000"/>
          <w:sz w:val="24"/>
          <w:szCs w:val="24"/>
        </w:rPr>
        <w:t>, Madrid, Trotta.</w:t>
      </w:r>
    </w:p>
    <w:p w:rsidR="001A7AE3" w:rsidRPr="001A7AE3" w:rsidRDefault="001A7AE3" w:rsidP="00EA0579">
      <w:pPr>
        <w:spacing w:after="200" w:line="360" w:lineRule="auto"/>
        <w:jc w:val="both"/>
        <w:rPr>
          <w:rFonts w:eastAsia="Calibri"/>
          <w:color w:val="000000"/>
          <w:sz w:val="24"/>
          <w:szCs w:val="24"/>
        </w:rPr>
      </w:pPr>
      <w:r w:rsidRPr="001A7AE3">
        <w:rPr>
          <w:rFonts w:eastAsia="Calibri"/>
          <w:color w:val="000000"/>
          <w:sz w:val="24"/>
          <w:szCs w:val="24"/>
        </w:rPr>
        <w:t xml:space="preserve">CASTRO CORREDERA, Mª. y GUINARTE CABADA, G. (2015), “La reforma de los delitos de lesiones”, en GONZÁLEZ CUSSAC, J. L. (Dir.), </w:t>
      </w:r>
      <w:r w:rsidRPr="001A7AE3">
        <w:rPr>
          <w:rFonts w:eastAsia="Calibri"/>
          <w:i/>
          <w:iCs/>
          <w:color w:val="000000"/>
          <w:sz w:val="24"/>
          <w:szCs w:val="24"/>
        </w:rPr>
        <w:t>Comentarios a la Reforma del Código Penal de 2015</w:t>
      </w:r>
      <w:r w:rsidRPr="001A7AE3">
        <w:rPr>
          <w:rFonts w:eastAsia="Calibri"/>
          <w:color w:val="000000"/>
          <w:sz w:val="24"/>
          <w:szCs w:val="24"/>
        </w:rPr>
        <w:t>, Valencia, Tirant lo Blanch.</w:t>
      </w:r>
    </w:p>
    <w:p w:rsidR="001A7AE3" w:rsidRPr="001A7AE3" w:rsidRDefault="001A7AE3" w:rsidP="00EA0579">
      <w:pPr>
        <w:spacing w:after="200" w:line="360" w:lineRule="auto"/>
        <w:jc w:val="both"/>
        <w:rPr>
          <w:rFonts w:eastAsia="Calibri"/>
          <w:color w:val="000000"/>
          <w:sz w:val="24"/>
          <w:szCs w:val="24"/>
        </w:rPr>
      </w:pPr>
      <w:r w:rsidRPr="001A7AE3">
        <w:rPr>
          <w:rFonts w:eastAsia="Calibri"/>
          <w:color w:val="000000"/>
          <w:sz w:val="24"/>
          <w:szCs w:val="24"/>
        </w:rPr>
        <w:t xml:space="preserve">CALDERÓN CEREZO, A. y CHOCLÁN MONTALVO, J. A. (2001), </w:t>
      </w:r>
      <w:r w:rsidRPr="001A7AE3">
        <w:rPr>
          <w:rFonts w:eastAsia="Calibri"/>
          <w:i/>
          <w:color w:val="000000"/>
          <w:sz w:val="24"/>
          <w:szCs w:val="24"/>
        </w:rPr>
        <w:t>Derecho Penal. Parte General</w:t>
      </w:r>
      <w:r w:rsidRPr="001A7AE3">
        <w:rPr>
          <w:rFonts w:eastAsia="Calibri"/>
          <w:color w:val="000000"/>
          <w:sz w:val="24"/>
          <w:szCs w:val="24"/>
        </w:rPr>
        <w:t>. 2ª Ed., Barcelona, Bosch.</w:t>
      </w:r>
    </w:p>
    <w:p w:rsidR="001A7AE3" w:rsidRPr="001A7AE3" w:rsidRDefault="001A7AE3" w:rsidP="00EA0579">
      <w:pPr>
        <w:spacing w:after="200" w:line="360" w:lineRule="auto"/>
        <w:jc w:val="both"/>
        <w:rPr>
          <w:rFonts w:eastAsia="Calibri"/>
          <w:color w:val="000000"/>
          <w:sz w:val="24"/>
          <w:szCs w:val="24"/>
        </w:rPr>
      </w:pPr>
      <w:r w:rsidRPr="001A7AE3">
        <w:rPr>
          <w:rFonts w:eastAsia="Calibri"/>
          <w:color w:val="000000"/>
          <w:sz w:val="24"/>
          <w:szCs w:val="24"/>
        </w:rPr>
        <w:t xml:space="preserve">CANCIO MELIÁ, M. (2013), “Delito de lesiones: consentimiento de la esterilización de incapacitados: art. 156 CP”, en ÁLVAREZ GARCÍA, F.J. (Dir.), </w:t>
      </w:r>
      <w:r w:rsidRPr="001A7AE3">
        <w:rPr>
          <w:rFonts w:eastAsia="Calibri"/>
          <w:i/>
          <w:color w:val="000000"/>
          <w:sz w:val="24"/>
          <w:szCs w:val="24"/>
        </w:rPr>
        <w:t>Estudio crítico sobre el Anteproyecto de reforma penal de 2012</w:t>
      </w:r>
      <w:r w:rsidRPr="001A7AE3">
        <w:rPr>
          <w:rFonts w:eastAsia="Calibri"/>
          <w:color w:val="000000"/>
          <w:sz w:val="24"/>
          <w:szCs w:val="24"/>
        </w:rPr>
        <w:t>, Valencia, Tirant lo Blanch.</w:t>
      </w:r>
    </w:p>
    <w:p w:rsidR="001A7AE3" w:rsidRPr="001A7AE3" w:rsidRDefault="001A7AE3" w:rsidP="00EA0579">
      <w:pPr>
        <w:spacing w:after="200" w:line="360" w:lineRule="auto"/>
        <w:jc w:val="both"/>
        <w:rPr>
          <w:rFonts w:eastAsia="Calibri"/>
          <w:color w:val="000000"/>
          <w:sz w:val="24"/>
          <w:szCs w:val="24"/>
        </w:rPr>
      </w:pPr>
      <w:r w:rsidRPr="001A7AE3">
        <w:rPr>
          <w:rFonts w:eastAsia="Calibri"/>
          <w:color w:val="000000"/>
          <w:sz w:val="24"/>
          <w:szCs w:val="24"/>
        </w:rPr>
        <w:t xml:space="preserve">CONDE-PUMPIDO FERREIRO, C. (2004), </w:t>
      </w:r>
      <w:r w:rsidRPr="001A7AE3">
        <w:rPr>
          <w:rFonts w:eastAsia="Calibri"/>
          <w:i/>
          <w:color w:val="000000"/>
          <w:sz w:val="24"/>
          <w:szCs w:val="24"/>
        </w:rPr>
        <w:t>Código Penal Comentado. Con concordancias y jurisprudencia</w:t>
      </w:r>
      <w:r w:rsidRPr="001A7AE3">
        <w:rPr>
          <w:rFonts w:eastAsia="Calibri"/>
          <w:color w:val="000000"/>
          <w:sz w:val="24"/>
          <w:szCs w:val="24"/>
        </w:rPr>
        <w:t>, Barcelona, Bosch.</w:t>
      </w:r>
    </w:p>
    <w:p w:rsidR="001A7AE3" w:rsidRPr="001A7AE3" w:rsidRDefault="001A7AE3" w:rsidP="00EA0579">
      <w:pPr>
        <w:spacing w:after="200" w:line="360" w:lineRule="auto"/>
        <w:jc w:val="both"/>
        <w:rPr>
          <w:rFonts w:eastAsia="Calibri"/>
          <w:color w:val="000000"/>
          <w:sz w:val="24"/>
          <w:szCs w:val="24"/>
        </w:rPr>
      </w:pPr>
      <w:r w:rsidRPr="001A7AE3">
        <w:rPr>
          <w:rFonts w:eastAsia="Calibri"/>
          <w:color w:val="000000"/>
          <w:sz w:val="24"/>
          <w:szCs w:val="24"/>
        </w:rPr>
        <w:t xml:space="preserve">CORCOY BIDASOLO, M. (2004), </w:t>
      </w:r>
      <w:r w:rsidRPr="001A7AE3">
        <w:rPr>
          <w:rFonts w:eastAsia="Calibri"/>
          <w:i/>
          <w:iCs/>
          <w:color w:val="000000"/>
          <w:sz w:val="24"/>
          <w:szCs w:val="24"/>
        </w:rPr>
        <w:t>Manual práctico de Derecho Penal. Parte Especial</w:t>
      </w:r>
      <w:r w:rsidRPr="001A7AE3">
        <w:rPr>
          <w:rFonts w:eastAsia="Calibri"/>
          <w:color w:val="000000"/>
          <w:sz w:val="24"/>
          <w:szCs w:val="24"/>
        </w:rPr>
        <w:t>, 2ª Ed., Valencia, Tirant lo Blanch.</w:t>
      </w:r>
    </w:p>
    <w:p w:rsidR="001A7AE3" w:rsidRPr="001A7AE3" w:rsidRDefault="001A7AE3" w:rsidP="00EA0579">
      <w:pPr>
        <w:spacing w:after="200" w:line="360" w:lineRule="auto"/>
        <w:jc w:val="both"/>
        <w:rPr>
          <w:rFonts w:eastAsia="Calibri"/>
          <w:color w:val="000000"/>
          <w:sz w:val="24"/>
          <w:szCs w:val="24"/>
        </w:rPr>
      </w:pPr>
      <w:r w:rsidRPr="001A7AE3">
        <w:rPr>
          <w:rFonts w:eastAsia="Calibri"/>
          <w:color w:val="000000"/>
          <w:sz w:val="24"/>
          <w:szCs w:val="24"/>
        </w:rPr>
        <w:t xml:space="preserve">CUGAT MAURI, M. (2014), “La discutible bondad de la supresión del Libro III”, en </w:t>
      </w:r>
      <w:r w:rsidRPr="001A7AE3">
        <w:rPr>
          <w:rFonts w:eastAsia="Calibri"/>
          <w:i/>
          <w:iCs/>
          <w:color w:val="000000"/>
          <w:sz w:val="24"/>
          <w:szCs w:val="24"/>
        </w:rPr>
        <w:t>Cuadernos de Política Criminal</w:t>
      </w:r>
      <w:r w:rsidRPr="001A7AE3">
        <w:rPr>
          <w:rFonts w:eastAsia="Calibri"/>
          <w:color w:val="000000"/>
          <w:sz w:val="24"/>
          <w:szCs w:val="24"/>
        </w:rPr>
        <w:t>.</w:t>
      </w:r>
    </w:p>
    <w:p w:rsidR="001A7AE3" w:rsidRPr="001A7AE3" w:rsidRDefault="001A7AE3" w:rsidP="00EA0579">
      <w:pPr>
        <w:spacing w:after="200" w:line="360" w:lineRule="auto"/>
        <w:jc w:val="both"/>
        <w:rPr>
          <w:rFonts w:eastAsia="Calibri"/>
          <w:color w:val="000000"/>
          <w:sz w:val="24"/>
          <w:szCs w:val="24"/>
        </w:rPr>
      </w:pPr>
      <w:r w:rsidRPr="001A7AE3">
        <w:rPr>
          <w:rFonts w:eastAsia="Calibri"/>
          <w:color w:val="000000"/>
          <w:sz w:val="24"/>
          <w:szCs w:val="24"/>
        </w:rPr>
        <w:t xml:space="preserve">CUGAT MAURI, M. (2015), “Consecuencias penales de la supresión del Libro III”, en QUINTERO OLIVARES, G. (Dir.), </w:t>
      </w:r>
      <w:r w:rsidRPr="001A7AE3">
        <w:rPr>
          <w:rFonts w:eastAsia="Calibri"/>
          <w:i/>
          <w:iCs/>
          <w:color w:val="000000"/>
          <w:sz w:val="24"/>
          <w:szCs w:val="24"/>
        </w:rPr>
        <w:t>Comentario a la Reforma Penal de 2015</w:t>
      </w:r>
      <w:r w:rsidRPr="001A7AE3">
        <w:rPr>
          <w:rFonts w:eastAsia="Calibri"/>
          <w:color w:val="000000"/>
          <w:sz w:val="24"/>
          <w:szCs w:val="24"/>
        </w:rPr>
        <w:t>, Cizur Menor (Navarra), Aranzadi, SA.</w:t>
      </w:r>
    </w:p>
    <w:p w:rsidR="001A7AE3" w:rsidRPr="001A7AE3" w:rsidRDefault="001A7AE3" w:rsidP="00EA0579">
      <w:pPr>
        <w:spacing w:after="200" w:line="360" w:lineRule="auto"/>
        <w:jc w:val="both"/>
        <w:rPr>
          <w:rFonts w:eastAsia="Calibri"/>
          <w:color w:val="000000"/>
          <w:sz w:val="24"/>
          <w:szCs w:val="24"/>
        </w:rPr>
      </w:pPr>
      <w:r w:rsidRPr="001A7AE3">
        <w:rPr>
          <w:rFonts w:eastAsia="Calibri"/>
          <w:color w:val="000000"/>
          <w:sz w:val="24"/>
          <w:szCs w:val="24"/>
        </w:rPr>
        <w:lastRenderedPageBreak/>
        <w:t xml:space="preserve">DE VICENTE REMESAL, J. (2014), “Dos propuestas legislativas antagónicas sobre el homicidio por imprudencia leve: referencia especial al ámbito de la seguridad vial”, en </w:t>
      </w:r>
      <w:r w:rsidRPr="001A7AE3">
        <w:rPr>
          <w:rFonts w:eastAsia="Calibri"/>
          <w:i/>
          <w:iCs/>
          <w:color w:val="000000"/>
          <w:sz w:val="24"/>
          <w:szCs w:val="24"/>
        </w:rPr>
        <w:t>Derecho y Proceso Penal</w:t>
      </w:r>
      <w:r w:rsidRPr="001A7AE3">
        <w:rPr>
          <w:rFonts w:eastAsia="Calibri"/>
          <w:color w:val="000000"/>
          <w:sz w:val="24"/>
          <w:szCs w:val="24"/>
        </w:rPr>
        <w:t>, núm. 36.</w:t>
      </w:r>
    </w:p>
    <w:p w:rsidR="001A7AE3" w:rsidRPr="001A7AE3" w:rsidRDefault="001A7AE3" w:rsidP="00EA0579">
      <w:pPr>
        <w:spacing w:after="200" w:line="360" w:lineRule="auto"/>
        <w:jc w:val="both"/>
        <w:rPr>
          <w:rFonts w:eastAsia="Calibri"/>
          <w:color w:val="000000"/>
          <w:sz w:val="24"/>
          <w:szCs w:val="24"/>
        </w:rPr>
      </w:pPr>
      <w:r w:rsidRPr="001A7AE3">
        <w:rPr>
          <w:rFonts w:eastAsia="Calibri"/>
          <w:color w:val="000000"/>
          <w:sz w:val="24"/>
          <w:szCs w:val="24"/>
        </w:rPr>
        <w:t xml:space="preserve">DÍEZ RIPOLLÉS, J. L. (2015), </w:t>
      </w:r>
      <w:r w:rsidRPr="001A7AE3">
        <w:rPr>
          <w:rFonts w:eastAsia="Calibri"/>
          <w:i/>
          <w:iCs/>
          <w:color w:val="000000"/>
          <w:sz w:val="24"/>
          <w:szCs w:val="24"/>
        </w:rPr>
        <w:t>Delitos y penas en España</w:t>
      </w:r>
      <w:r w:rsidRPr="001A7AE3">
        <w:rPr>
          <w:rFonts w:eastAsia="Calibri"/>
          <w:color w:val="000000"/>
          <w:sz w:val="24"/>
          <w:szCs w:val="24"/>
        </w:rPr>
        <w:t>, Madrid, Catarata.</w:t>
      </w:r>
    </w:p>
    <w:p w:rsidR="001A7AE3" w:rsidRPr="001A7AE3" w:rsidRDefault="001A7AE3" w:rsidP="00EA0579">
      <w:pPr>
        <w:spacing w:after="200" w:line="360" w:lineRule="auto"/>
        <w:jc w:val="both"/>
        <w:rPr>
          <w:rFonts w:eastAsia="Calibri"/>
          <w:color w:val="000000"/>
          <w:sz w:val="24"/>
          <w:szCs w:val="24"/>
        </w:rPr>
      </w:pPr>
      <w:r w:rsidRPr="001A7AE3">
        <w:rPr>
          <w:rFonts w:eastAsia="Calibri"/>
          <w:color w:val="000000"/>
          <w:sz w:val="24"/>
          <w:szCs w:val="24"/>
        </w:rPr>
        <w:t xml:space="preserve">DOVAL PAÍS, A. (2015), “El nuevo régimen penal de las imprudencias menos graves y leves”, en QUINTERO OLIVARES, G. (Dir.), </w:t>
      </w:r>
      <w:r w:rsidRPr="001A7AE3">
        <w:rPr>
          <w:rFonts w:eastAsia="Calibri"/>
          <w:i/>
          <w:iCs/>
          <w:color w:val="000000"/>
          <w:sz w:val="24"/>
          <w:szCs w:val="24"/>
        </w:rPr>
        <w:t>Comentario a la Reforma Penal de 2015</w:t>
      </w:r>
      <w:r w:rsidRPr="001A7AE3">
        <w:rPr>
          <w:rFonts w:eastAsia="Calibri"/>
          <w:color w:val="000000"/>
          <w:sz w:val="24"/>
          <w:szCs w:val="24"/>
        </w:rPr>
        <w:t>, Cizur Menor (Navarra), Aranzadi, SA.</w:t>
      </w:r>
    </w:p>
    <w:p w:rsidR="001A7AE3" w:rsidRPr="001A7AE3" w:rsidRDefault="001A7AE3" w:rsidP="00EA0579">
      <w:pPr>
        <w:spacing w:after="200" w:line="360" w:lineRule="auto"/>
        <w:jc w:val="both"/>
        <w:rPr>
          <w:rFonts w:eastAsia="Calibri"/>
          <w:color w:val="000000"/>
          <w:sz w:val="24"/>
          <w:szCs w:val="24"/>
        </w:rPr>
      </w:pPr>
      <w:r w:rsidRPr="001A7AE3">
        <w:rPr>
          <w:rFonts w:eastAsia="Calibri"/>
          <w:color w:val="000000"/>
          <w:sz w:val="24"/>
          <w:szCs w:val="24"/>
        </w:rPr>
        <w:t xml:space="preserve">FARALDO CABANA (2014), “La despenalización de las faltas: entre la agravación de las penas y el aumento de la represión administrativa”, en </w:t>
      </w:r>
      <w:r w:rsidRPr="001A7AE3">
        <w:rPr>
          <w:rFonts w:eastAsia="Calibri"/>
          <w:i/>
          <w:iCs/>
          <w:color w:val="000000"/>
          <w:sz w:val="24"/>
          <w:szCs w:val="24"/>
        </w:rPr>
        <w:t xml:space="preserve">Revista para el Análisis del Derecho, </w:t>
      </w:r>
      <w:r w:rsidRPr="001A7AE3">
        <w:rPr>
          <w:rFonts w:eastAsia="Calibri"/>
          <w:color w:val="000000"/>
          <w:sz w:val="24"/>
          <w:szCs w:val="24"/>
        </w:rPr>
        <w:t>núm. 3.</w:t>
      </w:r>
    </w:p>
    <w:p w:rsidR="001A7AE3" w:rsidRPr="001A7AE3" w:rsidRDefault="001A7AE3" w:rsidP="00EA0579">
      <w:pPr>
        <w:spacing w:after="200" w:line="360" w:lineRule="auto"/>
        <w:jc w:val="both"/>
        <w:rPr>
          <w:rFonts w:eastAsia="Calibri"/>
          <w:color w:val="000000"/>
          <w:sz w:val="24"/>
          <w:szCs w:val="24"/>
        </w:rPr>
      </w:pPr>
      <w:r w:rsidRPr="001A7AE3">
        <w:rPr>
          <w:rFonts w:eastAsia="Calibri"/>
          <w:color w:val="000000"/>
          <w:sz w:val="24"/>
          <w:szCs w:val="24"/>
        </w:rPr>
        <w:t xml:space="preserve">FEIJÓO SÁNCHEZ, B. (1997), “La imprudencia en el Código Penal de 1995”, en </w:t>
      </w:r>
      <w:r w:rsidRPr="001A7AE3">
        <w:rPr>
          <w:rFonts w:eastAsia="Calibri"/>
          <w:i/>
          <w:iCs/>
          <w:color w:val="000000"/>
          <w:sz w:val="24"/>
          <w:szCs w:val="24"/>
        </w:rPr>
        <w:t>Cuadernos de Política Criminal</w:t>
      </w:r>
      <w:r w:rsidRPr="001A7AE3">
        <w:rPr>
          <w:rFonts w:eastAsia="Calibri"/>
          <w:color w:val="000000"/>
          <w:sz w:val="24"/>
          <w:szCs w:val="24"/>
        </w:rPr>
        <w:t>, núm. 62.</w:t>
      </w:r>
    </w:p>
    <w:p w:rsidR="001A7AE3" w:rsidRPr="001A7AE3" w:rsidRDefault="001A7AE3" w:rsidP="00EA0579">
      <w:pPr>
        <w:spacing w:after="200" w:line="360" w:lineRule="auto"/>
        <w:jc w:val="both"/>
        <w:rPr>
          <w:rFonts w:eastAsia="Calibri"/>
          <w:color w:val="000000"/>
          <w:sz w:val="24"/>
          <w:szCs w:val="24"/>
        </w:rPr>
      </w:pPr>
      <w:r w:rsidRPr="001A7AE3">
        <w:rPr>
          <w:rFonts w:eastAsia="Calibri"/>
          <w:color w:val="000000"/>
          <w:sz w:val="24"/>
          <w:szCs w:val="24"/>
        </w:rPr>
        <w:t xml:space="preserve">FEIJÓO SÁNCHEZ, B. (2001), “Los límites político-criminales de la responsabilidad por imprudencia: la imprudencia leve como hecho punible”, en </w:t>
      </w:r>
      <w:r w:rsidRPr="001A7AE3">
        <w:rPr>
          <w:rFonts w:eastAsia="Calibri"/>
          <w:i/>
          <w:iCs/>
          <w:color w:val="000000"/>
          <w:sz w:val="24"/>
          <w:szCs w:val="24"/>
        </w:rPr>
        <w:t>Revista del Poder Judicial</w:t>
      </w:r>
      <w:r w:rsidRPr="001A7AE3">
        <w:rPr>
          <w:rFonts w:eastAsia="Calibri"/>
          <w:color w:val="000000"/>
          <w:sz w:val="24"/>
          <w:szCs w:val="24"/>
        </w:rPr>
        <w:t>, núm. 61.</w:t>
      </w:r>
    </w:p>
    <w:p w:rsidR="001A7AE3" w:rsidRPr="001A7AE3" w:rsidRDefault="001A7AE3" w:rsidP="00EA0579">
      <w:pPr>
        <w:spacing w:after="200" w:line="360" w:lineRule="auto"/>
        <w:jc w:val="both"/>
        <w:rPr>
          <w:rFonts w:eastAsia="Calibri"/>
          <w:color w:val="000000"/>
          <w:sz w:val="24"/>
          <w:szCs w:val="24"/>
        </w:rPr>
      </w:pPr>
      <w:r w:rsidRPr="001A7AE3">
        <w:rPr>
          <w:rFonts w:eastAsia="Calibri"/>
          <w:color w:val="000000"/>
          <w:sz w:val="24"/>
          <w:szCs w:val="24"/>
        </w:rPr>
        <w:t xml:space="preserve">FERNÁNDEZ HERNÁNDEZ, A. (2015), “Supresión de las faltas y creación de los delitos leves”, en GONZÁLEZ CUSSAC, J. L. (Dir.), </w:t>
      </w:r>
      <w:r w:rsidRPr="001A7AE3">
        <w:rPr>
          <w:rFonts w:eastAsia="Calibri"/>
          <w:i/>
          <w:iCs/>
          <w:color w:val="000000"/>
          <w:sz w:val="24"/>
          <w:szCs w:val="24"/>
        </w:rPr>
        <w:t>Comentarios a la Reforma del Código Penal de 2015</w:t>
      </w:r>
      <w:r w:rsidRPr="001A7AE3">
        <w:rPr>
          <w:rFonts w:eastAsia="Calibri"/>
          <w:color w:val="000000"/>
          <w:sz w:val="24"/>
          <w:szCs w:val="24"/>
        </w:rPr>
        <w:t>, Valencia, Tirant lo Blanch.</w:t>
      </w:r>
    </w:p>
    <w:p w:rsidR="001A7AE3" w:rsidRPr="001A7AE3" w:rsidRDefault="001A7AE3" w:rsidP="00EA0579">
      <w:pPr>
        <w:spacing w:after="200" w:line="360" w:lineRule="auto"/>
        <w:jc w:val="both"/>
        <w:rPr>
          <w:rFonts w:eastAsia="Calibri"/>
          <w:color w:val="000000"/>
          <w:sz w:val="24"/>
          <w:szCs w:val="24"/>
        </w:rPr>
      </w:pPr>
      <w:r w:rsidRPr="001A7AE3">
        <w:rPr>
          <w:rFonts w:eastAsia="Calibri"/>
          <w:color w:val="000000"/>
          <w:sz w:val="24"/>
          <w:szCs w:val="24"/>
        </w:rPr>
        <w:t xml:space="preserve">FERNÁNDEZ HERNÁNDEZ, A. y OLLOQUIEGUI SUCUNZA, I. (2013), “Notas críticas sobre la conversión de las faltas en delitos en el Anteproyecto de Reforma de 2012”, en ÁLVAREZ GARCÍA, F. J. (Dir.) y DOPICO GÓMEZ-ALLER, J. (Coord.), </w:t>
      </w:r>
      <w:r w:rsidRPr="001A7AE3">
        <w:rPr>
          <w:rFonts w:eastAsia="Calibri"/>
          <w:i/>
          <w:iCs/>
          <w:color w:val="000000"/>
          <w:sz w:val="24"/>
          <w:szCs w:val="24"/>
        </w:rPr>
        <w:t>Estudio Crítico sobre el Anteproyecto de reforma penal de 2012</w:t>
      </w:r>
      <w:r w:rsidRPr="001A7AE3">
        <w:rPr>
          <w:rFonts w:eastAsia="Calibri"/>
          <w:color w:val="000000"/>
          <w:sz w:val="24"/>
          <w:szCs w:val="24"/>
        </w:rPr>
        <w:t>, Valencia, Tirant lo Blanch.</w:t>
      </w:r>
    </w:p>
    <w:p w:rsidR="001A7AE3" w:rsidRPr="001A7AE3" w:rsidRDefault="001A7AE3" w:rsidP="00EA0579">
      <w:pPr>
        <w:spacing w:after="200" w:line="360" w:lineRule="auto"/>
        <w:jc w:val="both"/>
        <w:rPr>
          <w:rFonts w:eastAsia="Calibri"/>
          <w:color w:val="000000"/>
          <w:sz w:val="24"/>
          <w:szCs w:val="24"/>
        </w:rPr>
      </w:pPr>
      <w:r w:rsidRPr="001A7AE3">
        <w:rPr>
          <w:rFonts w:eastAsia="Calibri"/>
          <w:color w:val="000000"/>
          <w:sz w:val="24"/>
          <w:szCs w:val="24"/>
        </w:rPr>
        <w:t>FERNÁNDEZ HERNÁNDEZ, A. y OLLOQUIEGUI SUCUNZA, I. (2013), “Faltas de lesiones”, en ÁLVAREZ GARCÍA, F. J. (Dir</w:t>
      </w:r>
      <w:r w:rsidR="00B303F6">
        <w:rPr>
          <w:rFonts w:eastAsia="Calibri"/>
          <w:color w:val="000000"/>
          <w:sz w:val="24"/>
          <w:szCs w:val="24"/>
        </w:rPr>
        <w:t>.</w:t>
      </w:r>
      <w:r w:rsidRPr="001A7AE3">
        <w:rPr>
          <w:rFonts w:eastAsia="Calibri"/>
          <w:color w:val="000000"/>
          <w:sz w:val="24"/>
          <w:szCs w:val="24"/>
        </w:rPr>
        <w:t xml:space="preserve">) y DOPICO GÓMEZ-ALLER, J. (Coord.), </w:t>
      </w:r>
      <w:r w:rsidRPr="001A7AE3">
        <w:rPr>
          <w:rFonts w:eastAsia="Calibri"/>
          <w:i/>
          <w:iCs/>
          <w:color w:val="000000"/>
          <w:sz w:val="24"/>
          <w:szCs w:val="24"/>
        </w:rPr>
        <w:t>Estudio Crítico sobre el Anteproyecto de reforma penal de 2012</w:t>
      </w:r>
      <w:r w:rsidRPr="001A7AE3">
        <w:rPr>
          <w:rFonts w:eastAsia="Calibri"/>
          <w:color w:val="000000"/>
          <w:sz w:val="24"/>
          <w:szCs w:val="24"/>
        </w:rPr>
        <w:t>, Valencia, Tirant lo Blanch.</w:t>
      </w:r>
    </w:p>
    <w:p w:rsidR="001A7AE3" w:rsidRPr="001A7AE3" w:rsidRDefault="001A7AE3" w:rsidP="00EA0579">
      <w:pPr>
        <w:spacing w:after="200" w:line="360" w:lineRule="auto"/>
        <w:jc w:val="both"/>
        <w:rPr>
          <w:rFonts w:eastAsia="Calibri"/>
          <w:color w:val="000000"/>
          <w:sz w:val="24"/>
          <w:szCs w:val="24"/>
        </w:rPr>
      </w:pPr>
      <w:r w:rsidRPr="001A7AE3">
        <w:rPr>
          <w:rFonts w:eastAsia="Calibri"/>
          <w:color w:val="000000"/>
          <w:sz w:val="24"/>
          <w:szCs w:val="24"/>
        </w:rPr>
        <w:t xml:space="preserve">GARCÍA ALBERO, R. (2007), “La nueva política criminal de la seguridad vial. Reflexiones a propósito de la LO 15/2007, de 30 de noviembre, y del Proyecto de </w:t>
      </w:r>
      <w:r w:rsidRPr="001A7AE3">
        <w:rPr>
          <w:rFonts w:eastAsia="Calibri"/>
          <w:color w:val="000000"/>
          <w:sz w:val="24"/>
          <w:szCs w:val="24"/>
        </w:rPr>
        <w:lastRenderedPageBreak/>
        <w:t xml:space="preserve">Reforma del Código Penal”, en </w:t>
      </w:r>
      <w:r w:rsidRPr="001A7AE3">
        <w:rPr>
          <w:rFonts w:eastAsia="Calibri"/>
          <w:i/>
          <w:iCs/>
          <w:color w:val="000000"/>
          <w:sz w:val="24"/>
          <w:szCs w:val="24"/>
        </w:rPr>
        <w:t>Revista Electrónica de Ciencia penal y Criminología</w:t>
      </w:r>
      <w:r w:rsidRPr="001A7AE3">
        <w:rPr>
          <w:rFonts w:eastAsia="Calibri"/>
          <w:color w:val="000000"/>
          <w:sz w:val="24"/>
          <w:szCs w:val="24"/>
        </w:rPr>
        <w:t>, núm. 9.</w:t>
      </w:r>
    </w:p>
    <w:p w:rsidR="001A7AE3" w:rsidRPr="001A7AE3" w:rsidRDefault="001A7AE3" w:rsidP="00EA0579">
      <w:pPr>
        <w:spacing w:after="200" w:line="360" w:lineRule="auto"/>
        <w:jc w:val="both"/>
        <w:rPr>
          <w:rFonts w:eastAsia="Calibri"/>
          <w:color w:val="000000"/>
          <w:sz w:val="24"/>
          <w:szCs w:val="24"/>
        </w:rPr>
      </w:pPr>
      <w:r w:rsidRPr="001A7AE3">
        <w:rPr>
          <w:rFonts w:eastAsia="Calibri"/>
          <w:color w:val="000000"/>
          <w:sz w:val="24"/>
          <w:szCs w:val="24"/>
        </w:rPr>
        <w:t xml:space="preserve">GONZÁLEZ RUS, J. J. (2015), “La supresión del Libro III  y los delitos leves” en MORILLAS VUEVA, L. (Dir), </w:t>
      </w:r>
      <w:r w:rsidRPr="001A7AE3">
        <w:rPr>
          <w:rFonts w:eastAsia="Calibri"/>
          <w:i/>
          <w:color w:val="000000"/>
          <w:sz w:val="24"/>
          <w:szCs w:val="24"/>
        </w:rPr>
        <w:t>Estudios sobre el Código Penal Reformado</w:t>
      </w:r>
      <w:r w:rsidRPr="001A7AE3">
        <w:rPr>
          <w:rFonts w:eastAsia="Calibri"/>
          <w:color w:val="000000"/>
          <w:sz w:val="24"/>
          <w:szCs w:val="24"/>
        </w:rPr>
        <w:t>, Madrid, Dykinson, SL.</w:t>
      </w:r>
    </w:p>
    <w:p w:rsidR="001A7AE3" w:rsidRPr="001A7AE3" w:rsidRDefault="001A7AE3" w:rsidP="00EA0579">
      <w:pPr>
        <w:spacing w:after="200" w:line="360" w:lineRule="auto"/>
        <w:jc w:val="both"/>
        <w:rPr>
          <w:rFonts w:eastAsia="Calibri"/>
          <w:color w:val="000000"/>
          <w:sz w:val="24"/>
          <w:szCs w:val="24"/>
        </w:rPr>
      </w:pPr>
      <w:r w:rsidRPr="001A7AE3">
        <w:rPr>
          <w:rFonts w:eastAsia="Calibri"/>
          <w:color w:val="000000"/>
          <w:sz w:val="24"/>
          <w:szCs w:val="24"/>
        </w:rPr>
        <w:t xml:space="preserve">HERNÁNDEZ GARCÍA, J. y RAMÍREZ ORTIZ, J. L. (2015), “Las consecuencias procesales de la Reforma”, en QUINTERO OLIVARES, G. (Dir.), </w:t>
      </w:r>
      <w:r w:rsidRPr="001A7AE3">
        <w:rPr>
          <w:rFonts w:eastAsia="Calibri"/>
          <w:i/>
          <w:iCs/>
          <w:color w:val="000000"/>
          <w:sz w:val="24"/>
          <w:szCs w:val="24"/>
        </w:rPr>
        <w:t>Comentario a la Reforma Penal de 2015</w:t>
      </w:r>
      <w:r w:rsidRPr="001A7AE3">
        <w:rPr>
          <w:rFonts w:eastAsia="Calibri"/>
          <w:color w:val="000000"/>
          <w:sz w:val="24"/>
          <w:szCs w:val="24"/>
        </w:rPr>
        <w:t>, Cizur Menor (Navarra), Aranzadi, SA.</w:t>
      </w:r>
    </w:p>
    <w:p w:rsidR="001A7AE3" w:rsidRPr="001A7AE3" w:rsidRDefault="001A7AE3" w:rsidP="00EA0579">
      <w:pPr>
        <w:spacing w:after="200" w:line="360" w:lineRule="auto"/>
        <w:jc w:val="both"/>
        <w:rPr>
          <w:rFonts w:eastAsia="Calibri"/>
          <w:color w:val="000000"/>
        </w:rPr>
      </w:pPr>
      <w:r w:rsidRPr="001A7AE3">
        <w:rPr>
          <w:rFonts w:eastAsia="Calibri"/>
          <w:color w:val="000000"/>
          <w:sz w:val="24"/>
          <w:szCs w:val="24"/>
        </w:rPr>
        <w:t xml:space="preserve">JIMÉNEZ SEGADO, C. (2014), “Eliminar las faltas tiene delito (leve)”, en </w:t>
      </w:r>
      <w:r w:rsidRPr="001A7AE3">
        <w:rPr>
          <w:rFonts w:eastAsia="Calibri"/>
          <w:i/>
          <w:iCs/>
          <w:color w:val="000000"/>
          <w:sz w:val="24"/>
          <w:szCs w:val="24"/>
        </w:rPr>
        <w:t>Diario La Ley</w:t>
      </w:r>
      <w:r w:rsidRPr="001A7AE3">
        <w:rPr>
          <w:rFonts w:eastAsia="Calibri"/>
          <w:color w:val="000000"/>
          <w:sz w:val="24"/>
          <w:szCs w:val="24"/>
        </w:rPr>
        <w:t>, núm. 8223.</w:t>
      </w:r>
    </w:p>
    <w:p w:rsidR="001A7AE3" w:rsidRPr="001A7AE3" w:rsidRDefault="001A7AE3" w:rsidP="00EA0579">
      <w:pPr>
        <w:spacing w:after="200" w:line="360" w:lineRule="auto"/>
        <w:jc w:val="both"/>
        <w:rPr>
          <w:rFonts w:eastAsia="Calibri"/>
          <w:color w:val="000000"/>
          <w:sz w:val="24"/>
          <w:szCs w:val="24"/>
        </w:rPr>
      </w:pPr>
      <w:r w:rsidRPr="001A7AE3">
        <w:rPr>
          <w:rFonts w:eastAsia="Calibri"/>
          <w:color w:val="000000"/>
          <w:sz w:val="24"/>
          <w:szCs w:val="24"/>
        </w:rPr>
        <w:t xml:space="preserve">LÓPEZ PELEGRÍN (2014), C. “La supresión de las faltas en el Proyecto de Reforma del Código Penal de 2013”, en </w:t>
      </w:r>
      <w:r w:rsidRPr="001A7AE3">
        <w:rPr>
          <w:rFonts w:eastAsia="Calibri"/>
          <w:i/>
          <w:iCs/>
          <w:color w:val="000000"/>
          <w:sz w:val="24"/>
          <w:szCs w:val="24"/>
        </w:rPr>
        <w:t>Revista Penal</w:t>
      </w:r>
      <w:r w:rsidRPr="001A7AE3">
        <w:rPr>
          <w:rFonts w:eastAsia="Calibri"/>
          <w:color w:val="000000"/>
          <w:sz w:val="24"/>
          <w:szCs w:val="24"/>
        </w:rPr>
        <w:t>, núm. 34.</w:t>
      </w:r>
    </w:p>
    <w:p w:rsidR="001A7AE3" w:rsidRPr="001A7AE3" w:rsidRDefault="001A7AE3" w:rsidP="00EA0579">
      <w:pPr>
        <w:spacing w:after="200" w:line="360" w:lineRule="auto"/>
        <w:jc w:val="both"/>
        <w:rPr>
          <w:rFonts w:eastAsia="Calibri"/>
          <w:color w:val="000000"/>
          <w:sz w:val="24"/>
          <w:szCs w:val="24"/>
        </w:rPr>
      </w:pPr>
      <w:r w:rsidRPr="001A7AE3">
        <w:rPr>
          <w:rFonts w:eastAsia="Calibri"/>
          <w:color w:val="000000"/>
          <w:sz w:val="24"/>
          <w:szCs w:val="24"/>
        </w:rPr>
        <w:t xml:space="preserve">LUZÓN PEÑA, D. (1996), </w:t>
      </w:r>
      <w:r w:rsidRPr="001A7AE3">
        <w:rPr>
          <w:rFonts w:eastAsia="Calibri"/>
          <w:i/>
          <w:iCs/>
          <w:color w:val="000000"/>
          <w:sz w:val="24"/>
          <w:szCs w:val="24"/>
        </w:rPr>
        <w:t>Curso de Derecho Penal, Parte General I</w:t>
      </w:r>
      <w:r w:rsidRPr="001A7AE3">
        <w:rPr>
          <w:rFonts w:eastAsia="Calibri"/>
          <w:color w:val="000000"/>
          <w:sz w:val="24"/>
          <w:szCs w:val="24"/>
        </w:rPr>
        <w:t>. Madrid, Universitas.</w:t>
      </w:r>
    </w:p>
    <w:p w:rsidR="001A7AE3" w:rsidRPr="001A7AE3" w:rsidRDefault="001A7AE3" w:rsidP="00EA0579">
      <w:pPr>
        <w:spacing w:after="200" w:line="360" w:lineRule="auto"/>
        <w:jc w:val="both"/>
        <w:rPr>
          <w:rFonts w:eastAsia="Calibri"/>
          <w:color w:val="000000"/>
          <w:sz w:val="24"/>
          <w:szCs w:val="24"/>
        </w:rPr>
      </w:pPr>
      <w:r w:rsidRPr="001A7AE3">
        <w:rPr>
          <w:rFonts w:eastAsia="Calibri"/>
          <w:color w:val="000000"/>
          <w:sz w:val="24"/>
          <w:szCs w:val="24"/>
        </w:rPr>
        <w:t xml:space="preserve">LUZÓN PENA, D. (2012), </w:t>
      </w:r>
      <w:r w:rsidRPr="001A7AE3">
        <w:rPr>
          <w:rFonts w:eastAsia="Calibri"/>
          <w:i/>
          <w:iCs/>
          <w:color w:val="000000"/>
          <w:sz w:val="24"/>
          <w:szCs w:val="24"/>
        </w:rPr>
        <w:t>Lecciones de Derecho Penal, Parte General</w:t>
      </w:r>
      <w:r w:rsidRPr="001A7AE3">
        <w:rPr>
          <w:rFonts w:eastAsia="Calibri"/>
          <w:color w:val="000000"/>
          <w:sz w:val="24"/>
          <w:szCs w:val="24"/>
        </w:rPr>
        <w:t>, 2ª Ed., Valencia, Tirant Lo Blanch.</w:t>
      </w:r>
    </w:p>
    <w:p w:rsidR="001A7AE3" w:rsidRPr="001A7AE3" w:rsidRDefault="001A7AE3" w:rsidP="00EA0579">
      <w:pPr>
        <w:spacing w:after="200" w:line="360" w:lineRule="auto"/>
        <w:jc w:val="both"/>
        <w:rPr>
          <w:rFonts w:eastAsia="Calibri"/>
          <w:color w:val="000000"/>
          <w:sz w:val="24"/>
          <w:szCs w:val="24"/>
        </w:rPr>
      </w:pPr>
      <w:r w:rsidRPr="001A7AE3">
        <w:rPr>
          <w:rFonts w:eastAsia="Calibri"/>
          <w:color w:val="000000"/>
          <w:sz w:val="24"/>
          <w:szCs w:val="24"/>
        </w:rPr>
        <w:t xml:space="preserve">MAGRO SERVET, V. (2009), “La derogación de las faltas del Código Penal: nuevas vías para luchar contra la delincuencia menor”, en </w:t>
      </w:r>
      <w:r w:rsidRPr="001A7AE3">
        <w:rPr>
          <w:rFonts w:eastAsia="Calibri"/>
          <w:i/>
          <w:iCs/>
          <w:color w:val="000000"/>
          <w:sz w:val="24"/>
          <w:szCs w:val="24"/>
        </w:rPr>
        <w:t>Diario La Ley</w:t>
      </w:r>
      <w:r w:rsidRPr="001A7AE3">
        <w:rPr>
          <w:rFonts w:eastAsia="Calibri"/>
          <w:color w:val="000000"/>
          <w:sz w:val="24"/>
          <w:szCs w:val="24"/>
        </w:rPr>
        <w:t>, núm. 7258.</w:t>
      </w:r>
    </w:p>
    <w:p w:rsidR="001A7AE3" w:rsidRPr="001A7AE3" w:rsidRDefault="001A7AE3" w:rsidP="00EA0579">
      <w:pPr>
        <w:spacing w:after="200" w:line="360" w:lineRule="auto"/>
        <w:jc w:val="both"/>
        <w:rPr>
          <w:rFonts w:eastAsia="Calibri"/>
          <w:color w:val="000000"/>
          <w:sz w:val="24"/>
          <w:szCs w:val="24"/>
        </w:rPr>
      </w:pPr>
      <w:r w:rsidRPr="001A7AE3">
        <w:rPr>
          <w:rFonts w:eastAsia="Calibri"/>
          <w:color w:val="000000"/>
          <w:sz w:val="24"/>
          <w:szCs w:val="24"/>
        </w:rPr>
        <w:t xml:space="preserve">MANZANARES SAMANIEGO, J. L. (2013), “La supresión de las faltas penales”, en </w:t>
      </w:r>
      <w:r w:rsidRPr="001A7AE3">
        <w:rPr>
          <w:rFonts w:eastAsia="Calibri"/>
          <w:i/>
          <w:iCs/>
          <w:color w:val="000000"/>
          <w:sz w:val="24"/>
          <w:szCs w:val="24"/>
        </w:rPr>
        <w:t>Diario La Ley</w:t>
      </w:r>
      <w:r w:rsidRPr="001A7AE3">
        <w:rPr>
          <w:rFonts w:eastAsia="Calibri"/>
          <w:color w:val="000000"/>
          <w:sz w:val="24"/>
          <w:szCs w:val="24"/>
        </w:rPr>
        <w:t>, núm. 8171.</w:t>
      </w:r>
    </w:p>
    <w:p w:rsidR="001A7AE3" w:rsidRPr="001A7AE3" w:rsidRDefault="001A7AE3" w:rsidP="00EA0579">
      <w:pPr>
        <w:spacing w:after="200" w:line="360" w:lineRule="auto"/>
        <w:jc w:val="both"/>
        <w:rPr>
          <w:rFonts w:eastAsia="Calibri"/>
          <w:color w:val="000000"/>
          <w:sz w:val="24"/>
          <w:szCs w:val="24"/>
        </w:rPr>
      </w:pPr>
      <w:r w:rsidRPr="001A7AE3">
        <w:rPr>
          <w:rFonts w:eastAsia="Calibri"/>
          <w:color w:val="000000"/>
          <w:sz w:val="24"/>
          <w:szCs w:val="24"/>
        </w:rPr>
        <w:t xml:space="preserve">MAQUEDA ABREU y LAURENZO COPELLO (2005), </w:t>
      </w:r>
      <w:r w:rsidRPr="001A7AE3">
        <w:rPr>
          <w:rFonts w:eastAsia="Calibri"/>
          <w:i/>
          <w:color w:val="000000"/>
          <w:sz w:val="24"/>
          <w:szCs w:val="24"/>
        </w:rPr>
        <w:t>El Derecho Penal en casos. Parte General</w:t>
      </w:r>
      <w:r w:rsidRPr="001A7AE3">
        <w:rPr>
          <w:rFonts w:eastAsia="Calibri"/>
          <w:color w:val="000000"/>
          <w:sz w:val="24"/>
          <w:szCs w:val="24"/>
        </w:rPr>
        <w:t>, 2ª Ed., Valencia, Tirant lo Blanch.</w:t>
      </w:r>
    </w:p>
    <w:p w:rsidR="001A7AE3" w:rsidRPr="001A7AE3" w:rsidRDefault="001A7AE3" w:rsidP="00EA0579">
      <w:pPr>
        <w:spacing w:after="200" w:line="360" w:lineRule="auto"/>
        <w:jc w:val="both"/>
        <w:rPr>
          <w:rFonts w:eastAsia="Calibri"/>
          <w:color w:val="000000"/>
          <w:sz w:val="24"/>
          <w:szCs w:val="24"/>
        </w:rPr>
      </w:pPr>
      <w:r w:rsidRPr="001A7AE3">
        <w:rPr>
          <w:rFonts w:eastAsia="Calibri"/>
          <w:color w:val="000000"/>
          <w:sz w:val="24"/>
          <w:szCs w:val="24"/>
        </w:rPr>
        <w:t xml:space="preserve">MARÍN DE ESPINOSA Y CEBALLOS, E. B. y GONZÁLEZ TASCÓN, M. M. (2013), “Delitos y penas leves: Artículo 13 CP” en ÁLVAREZ GARCÍA (Dir.), </w:t>
      </w:r>
      <w:r w:rsidRPr="001A7AE3">
        <w:rPr>
          <w:rFonts w:eastAsia="Calibri"/>
          <w:i/>
          <w:iCs/>
          <w:color w:val="000000"/>
          <w:sz w:val="24"/>
          <w:szCs w:val="24"/>
        </w:rPr>
        <w:t>Estudio crítico sobre el anteproyecto de reforma penal de 2012</w:t>
      </w:r>
      <w:r w:rsidRPr="001A7AE3">
        <w:rPr>
          <w:rFonts w:eastAsia="Calibri"/>
          <w:color w:val="000000"/>
          <w:sz w:val="24"/>
          <w:szCs w:val="24"/>
        </w:rPr>
        <w:t>, Valencia, Tirant lo Blanch.</w:t>
      </w:r>
    </w:p>
    <w:p w:rsidR="001A7AE3" w:rsidRPr="001A7AE3" w:rsidRDefault="001A7AE3" w:rsidP="00EA0579">
      <w:pPr>
        <w:spacing w:after="200" w:line="360" w:lineRule="auto"/>
        <w:jc w:val="both"/>
        <w:rPr>
          <w:rFonts w:eastAsia="Calibri"/>
          <w:color w:val="000000"/>
          <w:sz w:val="24"/>
          <w:szCs w:val="24"/>
        </w:rPr>
      </w:pPr>
      <w:r w:rsidRPr="001A7AE3">
        <w:rPr>
          <w:rFonts w:eastAsia="Calibri"/>
          <w:color w:val="000000"/>
          <w:sz w:val="24"/>
          <w:szCs w:val="24"/>
        </w:rPr>
        <w:t xml:space="preserve">MÉNDEZ TOJO, R. (2012), “La regulación de la prescripción de las faltas a la luz de la ley Orgánica 5/2010, de 22 de junio”, en </w:t>
      </w:r>
      <w:r w:rsidRPr="001A7AE3">
        <w:rPr>
          <w:rFonts w:eastAsia="Calibri"/>
          <w:i/>
          <w:iCs/>
          <w:color w:val="000000"/>
          <w:sz w:val="24"/>
          <w:szCs w:val="24"/>
        </w:rPr>
        <w:t>Diario La Ley</w:t>
      </w:r>
      <w:r w:rsidRPr="001A7AE3">
        <w:rPr>
          <w:rFonts w:eastAsia="Calibri"/>
          <w:color w:val="000000"/>
          <w:sz w:val="24"/>
          <w:szCs w:val="24"/>
        </w:rPr>
        <w:t>, núm. 7793.</w:t>
      </w:r>
    </w:p>
    <w:p w:rsidR="001A7AE3" w:rsidRPr="001A7AE3" w:rsidRDefault="001A7AE3" w:rsidP="00EA0579">
      <w:pPr>
        <w:spacing w:after="200" w:line="360" w:lineRule="auto"/>
        <w:jc w:val="both"/>
        <w:rPr>
          <w:rFonts w:eastAsia="Calibri"/>
          <w:color w:val="000000"/>
          <w:sz w:val="24"/>
          <w:szCs w:val="24"/>
        </w:rPr>
      </w:pPr>
      <w:r w:rsidRPr="001A7AE3">
        <w:rPr>
          <w:rFonts w:eastAsia="Calibri"/>
          <w:color w:val="000000"/>
          <w:sz w:val="24"/>
          <w:szCs w:val="24"/>
        </w:rPr>
        <w:lastRenderedPageBreak/>
        <w:t xml:space="preserve">MUÑOZ CONDE, F. (2013), </w:t>
      </w:r>
      <w:r w:rsidRPr="001A7AE3">
        <w:rPr>
          <w:rFonts w:eastAsia="Calibri"/>
          <w:i/>
          <w:iCs/>
          <w:color w:val="000000"/>
          <w:sz w:val="24"/>
          <w:szCs w:val="24"/>
        </w:rPr>
        <w:t>Derecho Penal. Parte Especial</w:t>
      </w:r>
      <w:r w:rsidRPr="001A7AE3">
        <w:rPr>
          <w:rFonts w:eastAsia="Calibri"/>
          <w:color w:val="000000"/>
          <w:sz w:val="24"/>
          <w:szCs w:val="24"/>
        </w:rPr>
        <w:t>, 19ª Ed., Valencia, Tirant lo Blanch.</w:t>
      </w:r>
    </w:p>
    <w:p w:rsidR="001A7AE3" w:rsidRPr="001A7AE3" w:rsidRDefault="001A7AE3" w:rsidP="00EA0579">
      <w:pPr>
        <w:spacing w:after="200" w:line="360" w:lineRule="auto"/>
        <w:jc w:val="both"/>
        <w:rPr>
          <w:rFonts w:eastAsia="Calibri"/>
          <w:color w:val="000000"/>
          <w:sz w:val="24"/>
          <w:szCs w:val="24"/>
        </w:rPr>
      </w:pPr>
      <w:r w:rsidRPr="001A7AE3">
        <w:rPr>
          <w:rFonts w:eastAsia="Calibri"/>
          <w:color w:val="000000"/>
          <w:sz w:val="24"/>
          <w:szCs w:val="24"/>
        </w:rPr>
        <w:t>MUÑOZ RUÍZ, J. (2015),  “Delitos contra la vida y la integridad física” en MORILLAS VUEVA, L. (Dir</w:t>
      </w:r>
      <w:r w:rsidR="00B303F6">
        <w:rPr>
          <w:rFonts w:eastAsia="Calibri"/>
          <w:color w:val="000000"/>
          <w:sz w:val="24"/>
          <w:szCs w:val="24"/>
        </w:rPr>
        <w:t>.</w:t>
      </w:r>
      <w:r w:rsidRPr="001A7AE3">
        <w:rPr>
          <w:rFonts w:eastAsia="Calibri"/>
          <w:color w:val="000000"/>
          <w:sz w:val="24"/>
          <w:szCs w:val="24"/>
        </w:rPr>
        <w:t xml:space="preserve">), </w:t>
      </w:r>
      <w:r w:rsidRPr="001A7AE3">
        <w:rPr>
          <w:rFonts w:eastAsia="Calibri"/>
          <w:i/>
          <w:color w:val="000000"/>
          <w:sz w:val="24"/>
          <w:szCs w:val="24"/>
        </w:rPr>
        <w:t>Estudios sobre el Código Penal Reformado</w:t>
      </w:r>
      <w:r w:rsidRPr="001A7AE3">
        <w:rPr>
          <w:rFonts w:eastAsia="Calibri"/>
          <w:color w:val="000000"/>
          <w:sz w:val="24"/>
          <w:szCs w:val="24"/>
        </w:rPr>
        <w:t>, Madrid, Dykinson, SL.</w:t>
      </w:r>
    </w:p>
    <w:p w:rsidR="001A7AE3" w:rsidRPr="001A7AE3" w:rsidRDefault="001A7AE3" w:rsidP="00EA0579">
      <w:pPr>
        <w:spacing w:after="200" w:line="360" w:lineRule="auto"/>
        <w:jc w:val="both"/>
        <w:rPr>
          <w:rFonts w:eastAsia="Calibri"/>
          <w:i/>
          <w:iCs/>
          <w:color w:val="000000"/>
          <w:sz w:val="24"/>
          <w:szCs w:val="24"/>
        </w:rPr>
      </w:pPr>
      <w:r w:rsidRPr="001A7AE3">
        <w:rPr>
          <w:rFonts w:eastAsia="Calibri"/>
          <w:iCs/>
          <w:color w:val="000000"/>
          <w:sz w:val="24"/>
          <w:szCs w:val="24"/>
        </w:rPr>
        <w:t>PÉREZ ALONSO, E. J. (2010), “El concepto jurídico del delito”, en ZUGALDÍA ESPINAR, J. M. (Dir.)</w:t>
      </w:r>
      <w:r w:rsidRPr="001A7AE3">
        <w:rPr>
          <w:rFonts w:eastAsia="Calibri"/>
          <w:color w:val="000000"/>
          <w:sz w:val="24"/>
          <w:szCs w:val="24"/>
        </w:rPr>
        <w:t xml:space="preserve"> </w:t>
      </w:r>
      <w:r w:rsidRPr="001A7AE3">
        <w:rPr>
          <w:rFonts w:eastAsia="Calibri"/>
          <w:iCs/>
          <w:color w:val="000000"/>
          <w:sz w:val="24"/>
          <w:szCs w:val="24"/>
        </w:rPr>
        <w:t>y MORENO-TORRES HERRERA, Mª. R. (Coord.),</w:t>
      </w:r>
      <w:r w:rsidRPr="001A7AE3">
        <w:rPr>
          <w:rFonts w:eastAsia="Calibri"/>
          <w:i/>
          <w:iCs/>
          <w:color w:val="000000"/>
          <w:sz w:val="24"/>
          <w:szCs w:val="24"/>
        </w:rPr>
        <w:t xml:space="preserve"> Fundamentos de Derecho Penal. Parte General</w:t>
      </w:r>
      <w:r w:rsidRPr="001A7AE3">
        <w:rPr>
          <w:rFonts w:eastAsia="Calibri"/>
          <w:iCs/>
          <w:color w:val="000000"/>
          <w:sz w:val="24"/>
          <w:szCs w:val="24"/>
        </w:rPr>
        <w:t>, Valencia, Tirant lo Blanch</w:t>
      </w:r>
      <w:r w:rsidRPr="001A7AE3">
        <w:rPr>
          <w:rFonts w:eastAsia="Calibri"/>
          <w:i/>
          <w:iCs/>
          <w:color w:val="000000"/>
          <w:sz w:val="24"/>
          <w:szCs w:val="24"/>
        </w:rPr>
        <w:t>.</w:t>
      </w:r>
    </w:p>
    <w:p w:rsidR="001A7AE3" w:rsidRPr="001A7AE3" w:rsidRDefault="001A7AE3" w:rsidP="00EA0579">
      <w:pPr>
        <w:spacing w:after="200" w:line="360" w:lineRule="auto"/>
        <w:jc w:val="both"/>
        <w:rPr>
          <w:rFonts w:eastAsia="Calibri"/>
          <w:i/>
          <w:iCs/>
          <w:color w:val="000000"/>
          <w:sz w:val="24"/>
          <w:szCs w:val="24"/>
        </w:rPr>
      </w:pPr>
      <w:r w:rsidRPr="001A7AE3">
        <w:rPr>
          <w:rFonts w:eastAsia="Calibri"/>
          <w:iCs/>
          <w:color w:val="000000"/>
          <w:sz w:val="24"/>
          <w:szCs w:val="24"/>
        </w:rPr>
        <w:t>PÉREZ ALONSO, E.</w:t>
      </w:r>
      <w:r w:rsidR="00B303F6">
        <w:rPr>
          <w:rFonts w:eastAsia="Calibri"/>
          <w:iCs/>
          <w:color w:val="000000"/>
          <w:sz w:val="24"/>
          <w:szCs w:val="24"/>
        </w:rPr>
        <w:t xml:space="preserve"> </w:t>
      </w:r>
      <w:r w:rsidRPr="001A7AE3">
        <w:rPr>
          <w:rFonts w:eastAsia="Calibri"/>
          <w:iCs/>
          <w:color w:val="000000"/>
          <w:sz w:val="24"/>
          <w:szCs w:val="24"/>
        </w:rPr>
        <w:t>J. (2010), “Delitos de acción. La tipicidad (II)” en ZUGALDÍA ESPINAR, J.</w:t>
      </w:r>
      <w:r w:rsidR="00B303F6">
        <w:rPr>
          <w:rFonts w:eastAsia="Calibri"/>
          <w:iCs/>
          <w:color w:val="000000"/>
          <w:sz w:val="24"/>
          <w:szCs w:val="24"/>
        </w:rPr>
        <w:t xml:space="preserve"> </w:t>
      </w:r>
      <w:r w:rsidRPr="001A7AE3">
        <w:rPr>
          <w:rFonts w:eastAsia="Calibri"/>
          <w:iCs/>
          <w:color w:val="000000"/>
          <w:sz w:val="24"/>
          <w:szCs w:val="24"/>
        </w:rPr>
        <w:t>M. (Dir.) y MORENO-TORRES HERRERA, Mª.</w:t>
      </w:r>
      <w:r w:rsidR="00B303F6">
        <w:rPr>
          <w:rFonts w:eastAsia="Calibri"/>
          <w:iCs/>
          <w:color w:val="000000"/>
          <w:sz w:val="24"/>
          <w:szCs w:val="24"/>
        </w:rPr>
        <w:t xml:space="preserve"> </w:t>
      </w:r>
      <w:r w:rsidRPr="001A7AE3">
        <w:rPr>
          <w:rFonts w:eastAsia="Calibri"/>
          <w:iCs/>
          <w:color w:val="000000"/>
          <w:sz w:val="24"/>
          <w:szCs w:val="24"/>
        </w:rPr>
        <w:t>R. (Coord.),</w:t>
      </w:r>
      <w:r w:rsidRPr="001A7AE3">
        <w:rPr>
          <w:rFonts w:eastAsia="Calibri"/>
          <w:i/>
          <w:iCs/>
          <w:color w:val="000000"/>
          <w:sz w:val="24"/>
          <w:szCs w:val="24"/>
        </w:rPr>
        <w:t xml:space="preserve"> Fundamentos de Derecho Penal. Parte General, Valencia</w:t>
      </w:r>
      <w:r w:rsidRPr="001A7AE3">
        <w:rPr>
          <w:rFonts w:eastAsia="Calibri"/>
          <w:iCs/>
          <w:color w:val="000000"/>
          <w:sz w:val="24"/>
          <w:szCs w:val="24"/>
        </w:rPr>
        <w:t>, Tirant lo Blanch.</w:t>
      </w:r>
    </w:p>
    <w:p w:rsidR="001A7AE3" w:rsidRPr="001A7AE3" w:rsidRDefault="001A7AE3" w:rsidP="00EA0579">
      <w:pPr>
        <w:spacing w:after="200" w:line="360" w:lineRule="auto"/>
        <w:jc w:val="both"/>
        <w:rPr>
          <w:rFonts w:eastAsia="Calibri"/>
          <w:color w:val="000000"/>
          <w:sz w:val="24"/>
          <w:szCs w:val="24"/>
        </w:rPr>
      </w:pPr>
      <w:r w:rsidRPr="001A7AE3">
        <w:rPr>
          <w:rFonts w:eastAsia="Calibri"/>
          <w:color w:val="000000"/>
          <w:sz w:val="24"/>
          <w:szCs w:val="24"/>
        </w:rPr>
        <w:t xml:space="preserve">PÉREZ DEL VALLE, C. (2012), </w:t>
      </w:r>
      <w:r w:rsidRPr="001A7AE3">
        <w:rPr>
          <w:rFonts w:eastAsia="Calibri"/>
          <w:i/>
          <w:iCs/>
          <w:color w:val="000000"/>
          <w:sz w:val="24"/>
          <w:szCs w:val="24"/>
        </w:rPr>
        <w:t>La imprudencia en el Derecho penal: El tipo subjetivo del delito imprudente</w:t>
      </w:r>
      <w:r w:rsidRPr="001A7AE3">
        <w:rPr>
          <w:rFonts w:eastAsia="Calibri"/>
          <w:color w:val="000000"/>
          <w:sz w:val="24"/>
          <w:szCs w:val="24"/>
        </w:rPr>
        <w:t>, Barcelona, Atelier.</w:t>
      </w:r>
    </w:p>
    <w:p w:rsidR="001A7AE3" w:rsidRPr="001A7AE3" w:rsidRDefault="001A7AE3" w:rsidP="00EA0579">
      <w:pPr>
        <w:spacing w:after="200" w:line="360" w:lineRule="auto"/>
        <w:jc w:val="both"/>
        <w:rPr>
          <w:rFonts w:eastAsia="Calibri"/>
          <w:color w:val="000000"/>
          <w:sz w:val="24"/>
          <w:szCs w:val="24"/>
        </w:rPr>
      </w:pPr>
      <w:r w:rsidRPr="001A7AE3">
        <w:rPr>
          <w:rFonts w:eastAsia="Calibri"/>
          <w:color w:val="000000"/>
          <w:sz w:val="24"/>
          <w:szCs w:val="24"/>
        </w:rPr>
        <w:t xml:space="preserve">POMARES CINTAS, E. (2004), </w:t>
      </w:r>
      <w:r w:rsidRPr="001A7AE3">
        <w:rPr>
          <w:rFonts w:eastAsia="Calibri"/>
          <w:i/>
          <w:color w:val="000000"/>
          <w:sz w:val="24"/>
          <w:szCs w:val="24"/>
        </w:rPr>
        <w:t>La relevancia de las causas de justificación en los delitos imprudentes</w:t>
      </w:r>
      <w:r w:rsidRPr="001A7AE3">
        <w:rPr>
          <w:rFonts w:eastAsia="Calibri"/>
          <w:color w:val="000000"/>
          <w:sz w:val="24"/>
          <w:szCs w:val="24"/>
        </w:rPr>
        <w:t xml:space="preserve">, Granada, Comares. </w:t>
      </w:r>
    </w:p>
    <w:p w:rsidR="001A7AE3" w:rsidRPr="001A7AE3" w:rsidRDefault="001A7AE3" w:rsidP="00EA0579">
      <w:pPr>
        <w:spacing w:after="200" w:line="360" w:lineRule="auto"/>
        <w:jc w:val="both"/>
        <w:rPr>
          <w:rFonts w:eastAsia="Calibri"/>
          <w:color w:val="000000"/>
          <w:sz w:val="24"/>
          <w:szCs w:val="24"/>
        </w:rPr>
      </w:pPr>
      <w:r w:rsidRPr="001A7AE3">
        <w:rPr>
          <w:rFonts w:eastAsia="Calibri"/>
          <w:color w:val="000000"/>
          <w:sz w:val="24"/>
          <w:szCs w:val="24"/>
        </w:rPr>
        <w:t xml:space="preserve">QUINTANO RIPOLLÉS, A. (1958), </w:t>
      </w:r>
      <w:r w:rsidRPr="001A7AE3">
        <w:rPr>
          <w:rFonts w:eastAsia="Calibri"/>
          <w:i/>
          <w:iCs/>
          <w:color w:val="000000"/>
          <w:sz w:val="24"/>
          <w:szCs w:val="24"/>
        </w:rPr>
        <w:t>Derecho Penal de la Culpa</w:t>
      </w:r>
      <w:r w:rsidRPr="001A7AE3">
        <w:rPr>
          <w:rFonts w:eastAsia="Calibri"/>
          <w:color w:val="000000"/>
          <w:sz w:val="24"/>
          <w:szCs w:val="24"/>
        </w:rPr>
        <w:t>, Barcelona, Bosch.</w:t>
      </w:r>
    </w:p>
    <w:p w:rsidR="001A7AE3" w:rsidRPr="001A7AE3" w:rsidRDefault="001A7AE3" w:rsidP="00EA0579">
      <w:pPr>
        <w:spacing w:after="200" w:line="360" w:lineRule="auto"/>
        <w:jc w:val="both"/>
        <w:rPr>
          <w:rFonts w:eastAsia="Calibri"/>
          <w:color w:val="000000"/>
          <w:sz w:val="24"/>
          <w:szCs w:val="24"/>
        </w:rPr>
      </w:pPr>
      <w:r w:rsidRPr="001A7AE3">
        <w:rPr>
          <w:rFonts w:eastAsia="Calibri"/>
          <w:color w:val="000000"/>
          <w:sz w:val="24"/>
          <w:szCs w:val="24"/>
        </w:rPr>
        <w:t xml:space="preserve">QUINTERO OLIVARES, G. (2010), </w:t>
      </w:r>
      <w:r w:rsidRPr="001A7AE3">
        <w:rPr>
          <w:rFonts w:eastAsia="Calibri"/>
          <w:i/>
          <w:iCs/>
          <w:color w:val="000000"/>
          <w:sz w:val="24"/>
          <w:szCs w:val="24"/>
        </w:rPr>
        <w:t>Parte General del Derecho Penal</w:t>
      </w:r>
      <w:r w:rsidRPr="001A7AE3">
        <w:rPr>
          <w:rFonts w:eastAsia="Calibri"/>
          <w:color w:val="000000"/>
          <w:sz w:val="24"/>
          <w:szCs w:val="24"/>
        </w:rPr>
        <w:t>, 4ª Ed., Pamplona, Aranzadi.</w:t>
      </w:r>
    </w:p>
    <w:p w:rsidR="001A7AE3" w:rsidRPr="001A7AE3" w:rsidRDefault="001A7AE3" w:rsidP="00EA0579">
      <w:pPr>
        <w:spacing w:after="200" w:line="360" w:lineRule="auto"/>
        <w:jc w:val="both"/>
        <w:rPr>
          <w:rFonts w:eastAsia="Calibri"/>
          <w:color w:val="000000"/>
          <w:sz w:val="24"/>
          <w:szCs w:val="24"/>
        </w:rPr>
      </w:pPr>
      <w:r w:rsidRPr="001A7AE3">
        <w:rPr>
          <w:rFonts w:eastAsia="Calibri"/>
          <w:color w:val="000000"/>
          <w:sz w:val="24"/>
          <w:szCs w:val="24"/>
        </w:rPr>
        <w:t xml:space="preserve">QUINTERO OLIVARES, G. (2011), </w:t>
      </w:r>
      <w:r w:rsidRPr="001A7AE3">
        <w:rPr>
          <w:rFonts w:eastAsia="Calibri"/>
          <w:i/>
          <w:iCs/>
          <w:color w:val="000000"/>
          <w:sz w:val="24"/>
          <w:szCs w:val="24"/>
        </w:rPr>
        <w:t>Comentarios a la Parte Especial del Derecho Penal</w:t>
      </w:r>
      <w:r w:rsidRPr="001A7AE3">
        <w:rPr>
          <w:rFonts w:eastAsia="Calibri"/>
          <w:color w:val="000000"/>
          <w:sz w:val="24"/>
          <w:szCs w:val="24"/>
        </w:rPr>
        <w:t>, 9ª Ed., Pamplona, Aranzadi, SA.</w:t>
      </w:r>
    </w:p>
    <w:p w:rsidR="001A7AE3" w:rsidRPr="001A7AE3" w:rsidRDefault="001A7AE3" w:rsidP="00EA0579">
      <w:pPr>
        <w:spacing w:after="200" w:line="360" w:lineRule="auto"/>
        <w:jc w:val="both"/>
        <w:rPr>
          <w:rFonts w:eastAsia="Calibri"/>
          <w:color w:val="000000"/>
          <w:sz w:val="24"/>
          <w:szCs w:val="24"/>
        </w:rPr>
      </w:pPr>
      <w:r w:rsidRPr="001A7AE3">
        <w:rPr>
          <w:rFonts w:eastAsia="Calibri"/>
          <w:color w:val="000000"/>
          <w:sz w:val="24"/>
          <w:szCs w:val="24"/>
        </w:rPr>
        <w:t>Aranzadi, p. 338.</w:t>
      </w:r>
    </w:p>
    <w:p w:rsidR="001A7AE3" w:rsidRPr="001A7AE3" w:rsidRDefault="001A7AE3" w:rsidP="00EA0579">
      <w:pPr>
        <w:spacing w:after="200" w:line="360" w:lineRule="auto"/>
        <w:jc w:val="both"/>
        <w:rPr>
          <w:rFonts w:eastAsia="Calibri"/>
          <w:color w:val="000000"/>
          <w:sz w:val="24"/>
          <w:szCs w:val="24"/>
        </w:rPr>
      </w:pPr>
      <w:r w:rsidRPr="001A7AE3">
        <w:rPr>
          <w:rFonts w:eastAsia="Calibri"/>
          <w:color w:val="000000"/>
          <w:sz w:val="24"/>
          <w:szCs w:val="24"/>
        </w:rPr>
        <w:t xml:space="preserve">QUINTERO OLIVARES, G. (2015), </w:t>
      </w:r>
      <w:r w:rsidRPr="001A7AE3">
        <w:rPr>
          <w:rFonts w:eastAsia="Calibri"/>
          <w:i/>
          <w:color w:val="000000"/>
          <w:sz w:val="24"/>
          <w:szCs w:val="24"/>
        </w:rPr>
        <w:t>Comentario a la Reforma Penal de 2015</w:t>
      </w:r>
      <w:r w:rsidRPr="001A7AE3">
        <w:rPr>
          <w:rFonts w:eastAsia="Calibri"/>
          <w:color w:val="000000"/>
          <w:sz w:val="24"/>
          <w:szCs w:val="24"/>
        </w:rPr>
        <w:t>, Cizur Menor (Navarra), Aranzadi, p. 51.</w:t>
      </w:r>
    </w:p>
    <w:p w:rsidR="001A7AE3" w:rsidRPr="001A7AE3" w:rsidRDefault="001A7AE3" w:rsidP="00EA0579">
      <w:pPr>
        <w:spacing w:after="200" w:line="360" w:lineRule="auto"/>
        <w:jc w:val="both"/>
        <w:rPr>
          <w:rFonts w:eastAsia="Calibri"/>
          <w:color w:val="000000"/>
          <w:sz w:val="24"/>
          <w:szCs w:val="24"/>
        </w:rPr>
      </w:pPr>
      <w:r w:rsidRPr="001A7AE3">
        <w:rPr>
          <w:rFonts w:eastAsia="Calibri"/>
          <w:color w:val="000000"/>
          <w:sz w:val="24"/>
          <w:szCs w:val="24"/>
        </w:rPr>
        <w:t xml:space="preserve">RAMOS TAPIA, Mª. I. (2010), “Delitos de acción. La tipicidad (V)” en ZUGALDÍA ESPINAR, J. M. (Dir.) y MORENO-TORRES HERRERA, Mª. R. (Coord.), </w:t>
      </w:r>
      <w:r w:rsidRPr="001A7AE3">
        <w:rPr>
          <w:rFonts w:eastAsia="Calibri"/>
          <w:i/>
          <w:color w:val="000000"/>
          <w:sz w:val="24"/>
          <w:szCs w:val="24"/>
        </w:rPr>
        <w:t>Fundamentos de Derecho Penal. Parte General</w:t>
      </w:r>
      <w:r w:rsidRPr="001A7AE3">
        <w:rPr>
          <w:rFonts w:eastAsia="Calibri"/>
          <w:color w:val="000000"/>
          <w:sz w:val="24"/>
          <w:szCs w:val="24"/>
        </w:rPr>
        <w:t>, Valencia, Tirant lo Blanch.</w:t>
      </w:r>
    </w:p>
    <w:p w:rsidR="001A7AE3" w:rsidRPr="001A7AE3" w:rsidRDefault="001A7AE3" w:rsidP="00EA0579">
      <w:pPr>
        <w:spacing w:after="200" w:line="360" w:lineRule="auto"/>
        <w:jc w:val="both"/>
        <w:rPr>
          <w:rFonts w:eastAsia="Calibri"/>
          <w:color w:val="000000"/>
          <w:sz w:val="24"/>
          <w:szCs w:val="24"/>
        </w:rPr>
      </w:pPr>
      <w:r w:rsidRPr="001A7AE3">
        <w:rPr>
          <w:rFonts w:eastAsia="Calibri"/>
          <w:color w:val="000000"/>
          <w:sz w:val="24"/>
          <w:szCs w:val="24"/>
        </w:rPr>
        <w:t xml:space="preserve">SANTOS MARTÍNEZ, A. M. (2011), “La desjudicialización de las faltas”, en </w:t>
      </w:r>
      <w:r w:rsidRPr="001A7AE3">
        <w:rPr>
          <w:rFonts w:eastAsia="Calibri"/>
          <w:i/>
          <w:iCs/>
          <w:color w:val="000000"/>
          <w:sz w:val="24"/>
          <w:szCs w:val="24"/>
        </w:rPr>
        <w:t>Diario La Ley</w:t>
      </w:r>
      <w:r w:rsidRPr="001A7AE3">
        <w:rPr>
          <w:rFonts w:eastAsia="Calibri"/>
          <w:color w:val="000000"/>
          <w:sz w:val="24"/>
          <w:szCs w:val="24"/>
        </w:rPr>
        <w:t>, núm. 7688.</w:t>
      </w:r>
    </w:p>
    <w:p w:rsidR="001A7AE3" w:rsidRPr="001A7AE3" w:rsidRDefault="001A7AE3" w:rsidP="00EA0579">
      <w:pPr>
        <w:spacing w:after="200" w:line="360" w:lineRule="auto"/>
        <w:jc w:val="both"/>
        <w:rPr>
          <w:rFonts w:eastAsia="Calibri"/>
          <w:color w:val="000000"/>
          <w:sz w:val="24"/>
          <w:szCs w:val="24"/>
        </w:rPr>
      </w:pPr>
      <w:r w:rsidRPr="001A7AE3">
        <w:rPr>
          <w:rFonts w:eastAsia="Calibri"/>
          <w:color w:val="000000"/>
          <w:sz w:val="24"/>
          <w:szCs w:val="24"/>
        </w:rPr>
        <w:lastRenderedPageBreak/>
        <w:t xml:space="preserve">SERRANO BUTRAGUEÑO, I. (1991), </w:t>
      </w:r>
      <w:r w:rsidRPr="001A7AE3">
        <w:rPr>
          <w:rFonts w:eastAsia="Calibri"/>
          <w:i/>
          <w:color w:val="000000"/>
          <w:sz w:val="24"/>
          <w:szCs w:val="24"/>
        </w:rPr>
        <w:t>Prácticas de Derecho Penal. Parte General</w:t>
      </w:r>
      <w:r w:rsidRPr="001A7AE3">
        <w:rPr>
          <w:rFonts w:eastAsia="Calibri"/>
          <w:color w:val="000000"/>
          <w:sz w:val="24"/>
          <w:szCs w:val="24"/>
        </w:rPr>
        <w:t>, Madrid, Ezcurra.</w:t>
      </w:r>
    </w:p>
    <w:p w:rsidR="001A7AE3" w:rsidRPr="001A7AE3" w:rsidRDefault="001A7AE3" w:rsidP="00EA0579">
      <w:pPr>
        <w:spacing w:after="200" w:line="360" w:lineRule="auto"/>
        <w:jc w:val="both"/>
        <w:rPr>
          <w:rFonts w:eastAsia="Calibri"/>
          <w:color w:val="000000"/>
          <w:sz w:val="24"/>
          <w:szCs w:val="24"/>
        </w:rPr>
      </w:pPr>
      <w:r w:rsidRPr="001A7AE3">
        <w:rPr>
          <w:rFonts w:eastAsia="Calibri"/>
          <w:color w:val="000000"/>
          <w:sz w:val="24"/>
          <w:szCs w:val="24"/>
        </w:rPr>
        <w:t xml:space="preserve">SERRANO GÓMEZ, A. (2013), “Notas al Anteproyecto de Reforma del Código Penal Español de Octubre de 2012”, en </w:t>
      </w:r>
      <w:r w:rsidRPr="001A7AE3">
        <w:rPr>
          <w:rFonts w:eastAsia="Calibri"/>
          <w:i/>
          <w:iCs/>
          <w:color w:val="000000"/>
          <w:sz w:val="24"/>
          <w:szCs w:val="24"/>
        </w:rPr>
        <w:t>Revista Electrónica de Ciencia Penal y Criminología</w:t>
      </w:r>
      <w:r w:rsidRPr="001A7AE3">
        <w:rPr>
          <w:rFonts w:eastAsia="Calibri"/>
          <w:color w:val="000000"/>
          <w:sz w:val="24"/>
          <w:szCs w:val="24"/>
        </w:rPr>
        <w:t>.</w:t>
      </w:r>
    </w:p>
    <w:p w:rsidR="001A7AE3" w:rsidRPr="001A7AE3" w:rsidRDefault="001A7AE3" w:rsidP="00EA0579">
      <w:pPr>
        <w:spacing w:after="200" w:line="360" w:lineRule="auto"/>
        <w:jc w:val="both"/>
        <w:rPr>
          <w:rFonts w:eastAsia="Calibri"/>
          <w:color w:val="000000"/>
          <w:sz w:val="24"/>
          <w:szCs w:val="24"/>
        </w:rPr>
      </w:pPr>
      <w:r w:rsidRPr="001A7AE3">
        <w:rPr>
          <w:rFonts w:eastAsia="Calibri"/>
          <w:color w:val="000000"/>
          <w:sz w:val="24"/>
          <w:szCs w:val="24"/>
        </w:rPr>
        <w:t xml:space="preserve">SILVA SÁNCHEZ, J. M. (1996), "La regulación de la imprudencia y la comisión por omisión en el nuevo Código Penal", en </w:t>
      </w:r>
      <w:r w:rsidRPr="001A7AE3">
        <w:rPr>
          <w:rFonts w:eastAsia="Calibri"/>
          <w:i/>
          <w:iCs/>
          <w:color w:val="000000"/>
          <w:sz w:val="24"/>
          <w:szCs w:val="24"/>
        </w:rPr>
        <w:t>Jornadas sobre el nuevo Código Penal del Ilustre Colegio de Abogados de Barcelona</w:t>
      </w:r>
      <w:r w:rsidRPr="001A7AE3">
        <w:rPr>
          <w:rFonts w:eastAsia="Calibri"/>
          <w:color w:val="000000"/>
          <w:sz w:val="24"/>
          <w:szCs w:val="24"/>
        </w:rPr>
        <w:t>, núm. 127.</w:t>
      </w:r>
    </w:p>
    <w:p w:rsidR="001A7AE3" w:rsidRPr="001A7AE3" w:rsidRDefault="001A7AE3" w:rsidP="00EA0579">
      <w:pPr>
        <w:spacing w:after="200" w:line="360" w:lineRule="auto"/>
        <w:jc w:val="both"/>
        <w:rPr>
          <w:rFonts w:eastAsia="Calibri"/>
          <w:color w:val="000000"/>
          <w:sz w:val="24"/>
          <w:szCs w:val="24"/>
        </w:rPr>
      </w:pPr>
      <w:r w:rsidRPr="001A7AE3">
        <w:rPr>
          <w:rFonts w:eastAsia="Calibri"/>
          <w:color w:val="000000"/>
          <w:sz w:val="24"/>
          <w:szCs w:val="24"/>
        </w:rPr>
        <w:t xml:space="preserve">STRUENSEE, E. (1987), “El tipo subjetivo del delito imprudente”, en </w:t>
      </w:r>
      <w:r w:rsidRPr="001A7AE3">
        <w:rPr>
          <w:rFonts w:eastAsia="Calibri"/>
          <w:i/>
          <w:iCs/>
          <w:color w:val="000000"/>
          <w:sz w:val="24"/>
          <w:szCs w:val="24"/>
        </w:rPr>
        <w:t>Anuario de Derecho Penal</w:t>
      </w:r>
      <w:r w:rsidRPr="001A7AE3">
        <w:rPr>
          <w:rFonts w:eastAsia="Calibri"/>
          <w:color w:val="000000"/>
          <w:sz w:val="24"/>
          <w:szCs w:val="24"/>
        </w:rPr>
        <w:t xml:space="preserve">. </w:t>
      </w:r>
    </w:p>
    <w:p w:rsidR="001A7AE3" w:rsidRPr="001A7AE3" w:rsidRDefault="001A7AE3" w:rsidP="00EA0579">
      <w:pPr>
        <w:spacing w:after="200" w:line="360" w:lineRule="auto"/>
        <w:jc w:val="both"/>
        <w:rPr>
          <w:rFonts w:eastAsia="Calibri"/>
          <w:color w:val="000000"/>
          <w:sz w:val="24"/>
          <w:szCs w:val="24"/>
        </w:rPr>
      </w:pPr>
      <w:r w:rsidRPr="001A7AE3">
        <w:rPr>
          <w:rFonts w:eastAsia="Calibri"/>
          <w:color w:val="000000"/>
          <w:sz w:val="24"/>
          <w:szCs w:val="24"/>
        </w:rPr>
        <w:t xml:space="preserve">SUÁREZ-MIRA RODRÍGUEZ, C. (2015), “Del homicidio y sus formas”, en GONZÁLEZ CUSSAC, J. L. (Dir.), </w:t>
      </w:r>
      <w:r w:rsidRPr="001A7AE3">
        <w:rPr>
          <w:rFonts w:eastAsia="Calibri"/>
          <w:i/>
          <w:iCs/>
          <w:color w:val="000000"/>
          <w:sz w:val="24"/>
          <w:szCs w:val="24"/>
        </w:rPr>
        <w:t>Comentarios a la Reforma del Código Penal de 2015</w:t>
      </w:r>
      <w:r w:rsidRPr="001A7AE3">
        <w:rPr>
          <w:rFonts w:eastAsia="Calibri"/>
          <w:color w:val="000000"/>
          <w:sz w:val="24"/>
          <w:szCs w:val="24"/>
        </w:rPr>
        <w:t>, Valencia, Tirant lo Blanch.</w:t>
      </w:r>
    </w:p>
    <w:p w:rsidR="001A7AE3" w:rsidRPr="001A7AE3" w:rsidRDefault="001A7AE3" w:rsidP="00EA0579">
      <w:pPr>
        <w:spacing w:after="200" w:line="360" w:lineRule="auto"/>
        <w:jc w:val="both"/>
        <w:rPr>
          <w:rFonts w:eastAsia="Calibri"/>
          <w:color w:val="000000"/>
          <w:sz w:val="24"/>
          <w:szCs w:val="24"/>
        </w:rPr>
      </w:pPr>
      <w:r w:rsidRPr="001A7AE3">
        <w:rPr>
          <w:rFonts w:eastAsia="Calibri"/>
          <w:color w:val="000000"/>
          <w:sz w:val="24"/>
          <w:szCs w:val="24"/>
        </w:rPr>
        <w:t xml:space="preserve">SUÁREZ-MIRA RODRÍGUEZ, C., JUDEL PRIETO, A. y PIÑOL RODRÍGUEZ, J. R. (2011), </w:t>
      </w:r>
      <w:r w:rsidRPr="001A7AE3">
        <w:rPr>
          <w:rFonts w:eastAsia="Calibri"/>
          <w:i/>
          <w:iCs/>
          <w:color w:val="000000"/>
          <w:sz w:val="24"/>
          <w:szCs w:val="24"/>
        </w:rPr>
        <w:t>Manual de Derecho Penal. Tomo II. Parte Especial</w:t>
      </w:r>
      <w:r w:rsidRPr="001A7AE3">
        <w:rPr>
          <w:rFonts w:eastAsia="Calibri"/>
          <w:color w:val="000000"/>
          <w:sz w:val="24"/>
          <w:szCs w:val="24"/>
        </w:rPr>
        <w:t>, 6ª Ed., Madrid, Civitas.</w:t>
      </w:r>
    </w:p>
    <w:p w:rsidR="001A7AE3" w:rsidRPr="001A7AE3" w:rsidRDefault="001A7AE3" w:rsidP="00EA0579">
      <w:pPr>
        <w:spacing w:after="200" w:line="360" w:lineRule="auto"/>
        <w:jc w:val="both"/>
        <w:rPr>
          <w:rFonts w:eastAsia="Calibri"/>
          <w:color w:val="000000"/>
          <w:sz w:val="24"/>
          <w:szCs w:val="24"/>
        </w:rPr>
      </w:pPr>
      <w:r w:rsidRPr="001A7AE3">
        <w:rPr>
          <w:rFonts w:eastAsia="Calibri"/>
          <w:color w:val="000000"/>
          <w:sz w:val="24"/>
          <w:szCs w:val="24"/>
        </w:rPr>
        <w:t xml:space="preserve">TAMARIT SUMALLA J. Mª (2008), “De las lesiones”, en QUINTERO OLIVARES, G. (Dir.), </w:t>
      </w:r>
      <w:r w:rsidRPr="001A7AE3">
        <w:rPr>
          <w:rFonts w:eastAsia="Calibri"/>
          <w:i/>
          <w:iCs/>
          <w:color w:val="000000"/>
          <w:sz w:val="24"/>
          <w:szCs w:val="24"/>
        </w:rPr>
        <w:t>Comentarios al Código Penal. Tomo II. Parte Especial</w:t>
      </w:r>
      <w:r w:rsidRPr="001A7AE3">
        <w:rPr>
          <w:rFonts w:eastAsia="Calibri"/>
          <w:color w:val="000000"/>
          <w:sz w:val="24"/>
          <w:szCs w:val="24"/>
        </w:rPr>
        <w:t>, 5ª Ed., Cizur Menor (Navarra), Thomson Aranzadi.</w:t>
      </w:r>
    </w:p>
    <w:p w:rsidR="001A7AE3" w:rsidRPr="001A7AE3" w:rsidRDefault="001A7AE3" w:rsidP="00EA0579">
      <w:pPr>
        <w:spacing w:after="200" w:line="360" w:lineRule="auto"/>
        <w:jc w:val="both"/>
        <w:rPr>
          <w:rFonts w:eastAsia="Calibri"/>
          <w:color w:val="000000"/>
          <w:sz w:val="24"/>
          <w:szCs w:val="24"/>
        </w:rPr>
      </w:pPr>
      <w:r w:rsidRPr="001A7AE3">
        <w:rPr>
          <w:rFonts w:eastAsia="Calibri"/>
          <w:color w:val="000000"/>
          <w:sz w:val="24"/>
          <w:szCs w:val="24"/>
        </w:rPr>
        <w:t xml:space="preserve">TORÍO LÓPEZ, A. (1974), “El deber objetivo de cuidado en los delitos culposos”, en </w:t>
      </w:r>
      <w:r w:rsidRPr="001A7AE3">
        <w:rPr>
          <w:rFonts w:eastAsia="Calibri"/>
          <w:i/>
          <w:iCs/>
          <w:color w:val="000000"/>
          <w:sz w:val="24"/>
          <w:szCs w:val="24"/>
        </w:rPr>
        <w:t>Anuario de Derecho Penal</w:t>
      </w:r>
      <w:r w:rsidRPr="001A7AE3">
        <w:rPr>
          <w:rFonts w:eastAsia="Calibri"/>
          <w:color w:val="000000"/>
          <w:sz w:val="24"/>
          <w:szCs w:val="24"/>
        </w:rPr>
        <w:t xml:space="preserve">. </w:t>
      </w:r>
    </w:p>
    <w:p w:rsidR="001A7AE3" w:rsidRPr="001A7AE3" w:rsidRDefault="001A7AE3" w:rsidP="00EA0579">
      <w:pPr>
        <w:spacing w:after="200" w:line="360" w:lineRule="auto"/>
        <w:jc w:val="both"/>
        <w:rPr>
          <w:rFonts w:eastAsia="Calibri"/>
          <w:color w:val="000000"/>
          <w:sz w:val="24"/>
          <w:szCs w:val="24"/>
        </w:rPr>
      </w:pPr>
      <w:r w:rsidRPr="001A7AE3">
        <w:rPr>
          <w:rFonts w:eastAsia="Calibri"/>
          <w:color w:val="000000"/>
          <w:sz w:val="24"/>
          <w:szCs w:val="24"/>
        </w:rPr>
        <w:t xml:space="preserve">TORÍO LÓPEZ, A. (1980), “El conocimiento de la antijuridicidad en el delito culposo”, en </w:t>
      </w:r>
      <w:r w:rsidRPr="001A7AE3">
        <w:rPr>
          <w:rFonts w:eastAsia="Calibri"/>
          <w:i/>
          <w:iCs/>
          <w:color w:val="000000"/>
          <w:sz w:val="24"/>
          <w:szCs w:val="24"/>
        </w:rPr>
        <w:t>Anuario de Derecho Penal</w:t>
      </w:r>
      <w:r w:rsidRPr="001A7AE3">
        <w:rPr>
          <w:rFonts w:eastAsia="Calibri"/>
          <w:color w:val="000000"/>
          <w:sz w:val="24"/>
          <w:szCs w:val="24"/>
        </w:rPr>
        <w:t xml:space="preserve">. </w:t>
      </w:r>
    </w:p>
    <w:p w:rsidR="001A7AE3" w:rsidRPr="001A7AE3" w:rsidRDefault="001A7AE3" w:rsidP="00EA0579">
      <w:pPr>
        <w:spacing w:after="200" w:line="360" w:lineRule="auto"/>
        <w:jc w:val="both"/>
        <w:rPr>
          <w:rFonts w:eastAsia="Calibri"/>
          <w:color w:val="000000"/>
          <w:sz w:val="24"/>
          <w:szCs w:val="24"/>
        </w:rPr>
      </w:pPr>
      <w:r w:rsidRPr="001A7AE3">
        <w:rPr>
          <w:rFonts w:eastAsia="Calibri"/>
          <w:color w:val="000000"/>
          <w:sz w:val="24"/>
          <w:szCs w:val="24"/>
        </w:rPr>
        <w:t xml:space="preserve">VIVES ANTÓN, T. S. (2015), “La reforma penal de 2015: una valoración genérica”, en GONZÁLEZ CUSSAC, J. L. (Dir.), </w:t>
      </w:r>
      <w:r w:rsidRPr="001A7AE3">
        <w:rPr>
          <w:rFonts w:eastAsia="Calibri"/>
          <w:i/>
          <w:iCs/>
          <w:color w:val="000000"/>
          <w:sz w:val="24"/>
          <w:szCs w:val="24"/>
        </w:rPr>
        <w:t>Comentarios a la Reforma del Código Penal de 2015</w:t>
      </w:r>
      <w:r w:rsidRPr="001A7AE3">
        <w:rPr>
          <w:rFonts w:eastAsia="Calibri"/>
          <w:color w:val="000000"/>
          <w:sz w:val="24"/>
          <w:szCs w:val="24"/>
        </w:rPr>
        <w:t>, Valencia, Tirant lo Blanch.</w:t>
      </w:r>
    </w:p>
    <w:p w:rsidR="001A7AE3" w:rsidRPr="001A7AE3" w:rsidRDefault="001A7AE3" w:rsidP="00EA0579">
      <w:pPr>
        <w:spacing w:after="200" w:line="360" w:lineRule="auto"/>
        <w:jc w:val="both"/>
        <w:rPr>
          <w:rFonts w:eastAsia="Calibri"/>
          <w:color w:val="000000"/>
          <w:sz w:val="24"/>
          <w:szCs w:val="24"/>
        </w:rPr>
      </w:pPr>
      <w:r w:rsidRPr="001A7AE3">
        <w:rPr>
          <w:rFonts w:eastAsia="Calibri"/>
          <w:color w:val="000000"/>
          <w:sz w:val="24"/>
          <w:szCs w:val="24"/>
        </w:rPr>
        <w:t xml:space="preserve">VIZUETA FERNÁNDEZ, J.  (2014), “Novedades del Proyecto de Reforma del Código Penal de 2013 en algunos delitos contra bienes jurídicos fundamentales”, en </w:t>
      </w:r>
      <w:r w:rsidRPr="001A7AE3">
        <w:rPr>
          <w:rFonts w:eastAsia="Calibri"/>
          <w:i/>
          <w:iCs/>
          <w:color w:val="000000"/>
          <w:sz w:val="24"/>
          <w:szCs w:val="24"/>
        </w:rPr>
        <w:t>Diario La Ley</w:t>
      </w:r>
      <w:r w:rsidRPr="001A7AE3">
        <w:rPr>
          <w:rFonts w:eastAsia="Calibri"/>
          <w:color w:val="000000"/>
          <w:sz w:val="24"/>
          <w:szCs w:val="24"/>
        </w:rPr>
        <w:t>, núm. 8311.</w:t>
      </w:r>
    </w:p>
    <w:p w:rsidR="001A7AE3" w:rsidRPr="001A7AE3" w:rsidRDefault="001A7AE3" w:rsidP="00EA0579">
      <w:pPr>
        <w:spacing w:after="200" w:line="360" w:lineRule="auto"/>
        <w:jc w:val="both"/>
        <w:rPr>
          <w:rFonts w:eastAsia="Calibri"/>
          <w:color w:val="000000"/>
          <w:sz w:val="24"/>
          <w:szCs w:val="24"/>
        </w:rPr>
      </w:pPr>
      <w:r w:rsidRPr="001A7AE3">
        <w:rPr>
          <w:rFonts w:eastAsia="Calibri"/>
          <w:color w:val="000000"/>
          <w:sz w:val="24"/>
          <w:szCs w:val="24"/>
        </w:rPr>
        <w:lastRenderedPageBreak/>
        <w:t xml:space="preserve">YÁNEZ DE ANDRÉS, A. (2012), “Sobre la pretendida supresión de las faltas de imprudencia y su remedio para las víctimas”, en </w:t>
      </w:r>
      <w:r w:rsidRPr="001A7AE3">
        <w:rPr>
          <w:rFonts w:eastAsia="Calibri"/>
          <w:i/>
          <w:iCs/>
          <w:color w:val="000000"/>
          <w:sz w:val="24"/>
          <w:szCs w:val="24"/>
        </w:rPr>
        <w:t>Diario La Ley</w:t>
      </w:r>
      <w:r w:rsidRPr="001A7AE3">
        <w:rPr>
          <w:rFonts w:eastAsia="Calibri"/>
          <w:color w:val="000000"/>
          <w:sz w:val="24"/>
          <w:szCs w:val="24"/>
        </w:rPr>
        <w:t>, núm. 7973.</w:t>
      </w:r>
    </w:p>
    <w:p w:rsidR="001A7AE3" w:rsidRPr="001A7AE3" w:rsidRDefault="001A7AE3" w:rsidP="00EA0579">
      <w:pPr>
        <w:spacing w:after="200" w:line="360" w:lineRule="auto"/>
        <w:jc w:val="both"/>
        <w:rPr>
          <w:rFonts w:eastAsia="Calibri"/>
          <w:b/>
          <w:bCs/>
          <w:color w:val="000000"/>
          <w:sz w:val="24"/>
          <w:szCs w:val="24"/>
        </w:rPr>
      </w:pPr>
      <w:r w:rsidRPr="001A7AE3">
        <w:rPr>
          <w:rFonts w:eastAsia="Calibri"/>
          <w:b/>
          <w:bCs/>
          <w:color w:val="000000"/>
          <w:sz w:val="24"/>
          <w:szCs w:val="24"/>
        </w:rPr>
        <w:t>9. REFERENCIAS LEGALES</w:t>
      </w:r>
    </w:p>
    <w:p w:rsidR="001A7AE3" w:rsidRPr="001A7AE3" w:rsidRDefault="001A7AE3" w:rsidP="00EA0579">
      <w:pPr>
        <w:spacing w:after="200" w:line="360" w:lineRule="auto"/>
        <w:jc w:val="both"/>
        <w:rPr>
          <w:rFonts w:eastAsia="Calibri"/>
          <w:color w:val="000000"/>
          <w:sz w:val="24"/>
          <w:szCs w:val="24"/>
        </w:rPr>
      </w:pPr>
      <w:r w:rsidRPr="001A7AE3">
        <w:rPr>
          <w:rFonts w:eastAsia="Calibri"/>
          <w:color w:val="000000"/>
          <w:sz w:val="24"/>
          <w:szCs w:val="24"/>
        </w:rPr>
        <w:t xml:space="preserve">España. Ley Orgánica 10/1995, de 23 de noviembre, del Código Penal. (BOE, núm. 281, 24-11-1995). </w:t>
      </w:r>
    </w:p>
    <w:p w:rsidR="001A7AE3" w:rsidRPr="001A7AE3" w:rsidRDefault="001A7AE3" w:rsidP="00EA0579">
      <w:pPr>
        <w:spacing w:after="200" w:line="360" w:lineRule="auto"/>
        <w:jc w:val="both"/>
        <w:rPr>
          <w:rFonts w:eastAsia="Calibri"/>
          <w:color w:val="000000"/>
          <w:sz w:val="24"/>
          <w:szCs w:val="24"/>
        </w:rPr>
      </w:pPr>
      <w:r w:rsidRPr="001A7AE3">
        <w:rPr>
          <w:rFonts w:eastAsia="Calibri"/>
          <w:color w:val="000000"/>
          <w:sz w:val="24"/>
          <w:szCs w:val="24"/>
        </w:rPr>
        <w:t>España. Ley Orgánica 1/2015, de 30 de marzo, por la que se modifica la Ley Orgánica 10/1995, de 23 de noviembre, del Código Penal. (BOE, núm. 77, 31-3-2015).</w:t>
      </w:r>
    </w:p>
    <w:p w:rsidR="001A7AE3" w:rsidRPr="001A7AE3" w:rsidRDefault="001A7AE3" w:rsidP="00EA0579">
      <w:pPr>
        <w:spacing w:after="200" w:line="360" w:lineRule="auto"/>
        <w:jc w:val="both"/>
        <w:rPr>
          <w:rFonts w:eastAsia="Calibri"/>
          <w:color w:val="000000"/>
          <w:sz w:val="24"/>
          <w:szCs w:val="24"/>
        </w:rPr>
      </w:pPr>
      <w:r w:rsidRPr="001A7AE3">
        <w:rPr>
          <w:rFonts w:eastAsia="Calibri"/>
          <w:color w:val="000000"/>
          <w:sz w:val="24"/>
          <w:szCs w:val="24"/>
        </w:rPr>
        <w:t>España.</w:t>
      </w:r>
      <w:r w:rsidRPr="001A7AE3">
        <w:rPr>
          <w:rFonts w:eastAsia="Calibri"/>
          <w:sz w:val="24"/>
          <w:szCs w:val="24"/>
        </w:rPr>
        <w:t xml:space="preserve"> </w:t>
      </w:r>
      <w:r w:rsidRPr="001A7AE3">
        <w:rPr>
          <w:rFonts w:eastAsia="Calibri"/>
          <w:color w:val="000000"/>
          <w:sz w:val="24"/>
          <w:szCs w:val="24"/>
        </w:rPr>
        <w:t>Ley 1/2000, de 7 de enero, de Enjuiciamiento Civil. (BOE, núm. 7, 08-01-2000).</w:t>
      </w:r>
    </w:p>
    <w:p w:rsidR="001A7AE3" w:rsidRPr="001A7AE3" w:rsidRDefault="001A7AE3" w:rsidP="00EA0579">
      <w:pPr>
        <w:spacing w:after="200" w:line="360" w:lineRule="auto"/>
        <w:jc w:val="both"/>
        <w:rPr>
          <w:rFonts w:eastAsia="Calibri"/>
          <w:color w:val="000000"/>
          <w:sz w:val="24"/>
          <w:szCs w:val="24"/>
        </w:rPr>
      </w:pPr>
      <w:r w:rsidRPr="001A7AE3">
        <w:rPr>
          <w:rFonts w:eastAsia="Calibri"/>
          <w:color w:val="000000"/>
          <w:sz w:val="24"/>
          <w:szCs w:val="24"/>
        </w:rPr>
        <w:t>España. Ley 41/2015, de 5 de octubre, de modificación de la Ley de Enjuiciamiento Criminal para la agilización de la justicia penal y el fortalecimiento de las garantías procesales. (BOE, núm. 239, 6-10-2015).</w:t>
      </w:r>
    </w:p>
    <w:p w:rsidR="001A7AE3" w:rsidRPr="001A7AE3" w:rsidRDefault="001A7AE3" w:rsidP="00EA0579">
      <w:pPr>
        <w:spacing w:after="200" w:line="360" w:lineRule="auto"/>
        <w:jc w:val="both"/>
        <w:rPr>
          <w:rFonts w:eastAsia="Calibri"/>
          <w:color w:val="000000"/>
          <w:sz w:val="24"/>
          <w:szCs w:val="24"/>
        </w:rPr>
      </w:pPr>
      <w:r w:rsidRPr="001A7AE3">
        <w:rPr>
          <w:rFonts w:eastAsia="Calibri"/>
          <w:color w:val="000000"/>
          <w:sz w:val="24"/>
          <w:szCs w:val="24"/>
        </w:rPr>
        <w:t>España. Proyecto de Ley Orgánica por la que se modifica la Ley Orgánica 10/1995, de 23 de noviembre, del Código Penal. (BOCG, núm. 66-1, 4-10-2013).</w:t>
      </w:r>
    </w:p>
    <w:p w:rsidR="001A7AE3" w:rsidRPr="001A7AE3" w:rsidRDefault="001A7AE3" w:rsidP="00EA0579">
      <w:pPr>
        <w:spacing w:after="200" w:line="360" w:lineRule="auto"/>
        <w:jc w:val="both"/>
        <w:rPr>
          <w:rFonts w:eastAsia="Calibri"/>
          <w:color w:val="000000"/>
          <w:sz w:val="24"/>
          <w:szCs w:val="24"/>
        </w:rPr>
      </w:pPr>
      <w:r w:rsidRPr="001A7AE3">
        <w:rPr>
          <w:rFonts w:eastAsia="Calibri"/>
          <w:color w:val="000000"/>
          <w:sz w:val="24"/>
          <w:szCs w:val="24"/>
        </w:rPr>
        <w:t>España.</w:t>
      </w:r>
      <w:r w:rsidRPr="001A7AE3">
        <w:rPr>
          <w:rFonts w:eastAsia="Calibri"/>
          <w:sz w:val="24"/>
          <w:szCs w:val="24"/>
        </w:rPr>
        <w:t xml:space="preserve"> </w:t>
      </w:r>
      <w:r w:rsidRPr="001A7AE3">
        <w:rPr>
          <w:rFonts w:eastAsia="Calibri"/>
          <w:color w:val="000000"/>
          <w:sz w:val="24"/>
          <w:szCs w:val="24"/>
        </w:rPr>
        <w:t>Real decreto de 14 de septiembre de 1882 por el que se aprueba la Ley de Enjuiciamiento Criminal.</w:t>
      </w:r>
      <w:r w:rsidRPr="001A7AE3">
        <w:rPr>
          <w:rFonts w:eastAsia="Calibri"/>
          <w:sz w:val="24"/>
          <w:szCs w:val="24"/>
        </w:rPr>
        <w:t xml:space="preserve"> </w:t>
      </w:r>
      <w:r w:rsidRPr="001A7AE3">
        <w:rPr>
          <w:rFonts w:eastAsia="Calibri"/>
          <w:color w:val="000000"/>
          <w:sz w:val="24"/>
          <w:szCs w:val="24"/>
        </w:rPr>
        <w:t>(BOE, núm. 260, 17-09-1882).</w:t>
      </w:r>
    </w:p>
    <w:p w:rsidR="001A7AE3" w:rsidRPr="001A7AE3" w:rsidRDefault="001A7AE3" w:rsidP="00EA0579">
      <w:pPr>
        <w:spacing w:after="200" w:line="360" w:lineRule="auto"/>
        <w:jc w:val="both"/>
        <w:rPr>
          <w:rFonts w:eastAsia="Calibri"/>
          <w:b/>
          <w:bCs/>
          <w:color w:val="000000"/>
          <w:sz w:val="24"/>
          <w:szCs w:val="24"/>
        </w:rPr>
      </w:pPr>
      <w:r w:rsidRPr="001A7AE3">
        <w:rPr>
          <w:rFonts w:eastAsia="Calibri"/>
          <w:b/>
          <w:bCs/>
          <w:color w:val="000000"/>
          <w:sz w:val="24"/>
          <w:szCs w:val="24"/>
        </w:rPr>
        <w:t>10. RELACIÓN DE SENTENCIAS</w:t>
      </w:r>
    </w:p>
    <w:p w:rsidR="001A7AE3" w:rsidRPr="001A7AE3" w:rsidRDefault="001A7AE3" w:rsidP="00EA0579">
      <w:pPr>
        <w:spacing w:after="200" w:line="360" w:lineRule="auto"/>
        <w:jc w:val="both"/>
        <w:rPr>
          <w:rFonts w:eastAsia="Calibri"/>
          <w:color w:val="000000"/>
          <w:sz w:val="24"/>
          <w:szCs w:val="24"/>
        </w:rPr>
      </w:pPr>
      <w:r w:rsidRPr="001A7AE3">
        <w:rPr>
          <w:rFonts w:eastAsia="Calibri"/>
          <w:color w:val="000000"/>
          <w:sz w:val="24"/>
          <w:szCs w:val="24"/>
        </w:rPr>
        <w:t>STS núm. 2872/1988, de 25 de abril de 1988.</w:t>
      </w:r>
    </w:p>
    <w:p w:rsidR="001A7AE3" w:rsidRPr="001A7AE3" w:rsidRDefault="001A7AE3" w:rsidP="00EA0579">
      <w:pPr>
        <w:spacing w:after="200" w:line="360" w:lineRule="auto"/>
        <w:jc w:val="both"/>
        <w:rPr>
          <w:rFonts w:eastAsia="Calibri"/>
          <w:b/>
          <w:bCs/>
          <w:color w:val="000000"/>
          <w:sz w:val="24"/>
          <w:szCs w:val="24"/>
        </w:rPr>
      </w:pPr>
      <w:r w:rsidRPr="001A7AE3">
        <w:rPr>
          <w:rFonts w:eastAsia="Calibri"/>
          <w:color w:val="000000"/>
          <w:sz w:val="24"/>
          <w:szCs w:val="24"/>
        </w:rPr>
        <w:t>STS núm. 5387/1988, de 30 de junio de 1988.</w:t>
      </w:r>
    </w:p>
    <w:p w:rsidR="001A7AE3" w:rsidRPr="001A7AE3" w:rsidRDefault="001A7AE3" w:rsidP="00EA0579">
      <w:pPr>
        <w:spacing w:after="200" w:line="360" w:lineRule="auto"/>
        <w:jc w:val="both"/>
        <w:rPr>
          <w:rFonts w:eastAsia="Calibri"/>
          <w:sz w:val="24"/>
          <w:szCs w:val="24"/>
        </w:rPr>
      </w:pPr>
      <w:r w:rsidRPr="001A7AE3">
        <w:rPr>
          <w:rFonts w:eastAsia="Calibri"/>
          <w:sz w:val="24"/>
          <w:szCs w:val="24"/>
        </w:rPr>
        <w:t>STS núm. 6783/1992, de 23 de abril de 1992.</w:t>
      </w:r>
    </w:p>
    <w:p w:rsidR="001A7AE3" w:rsidRPr="001A7AE3" w:rsidRDefault="001A7AE3" w:rsidP="00EA0579">
      <w:pPr>
        <w:spacing w:after="200" w:line="360" w:lineRule="auto"/>
        <w:jc w:val="both"/>
        <w:rPr>
          <w:rFonts w:eastAsia="Calibri"/>
          <w:sz w:val="24"/>
          <w:szCs w:val="24"/>
        </w:rPr>
      </w:pPr>
      <w:r w:rsidRPr="001A7AE3">
        <w:rPr>
          <w:rFonts w:eastAsia="Calibri"/>
          <w:sz w:val="24"/>
          <w:szCs w:val="24"/>
        </w:rPr>
        <w:t>STS núm. 746/1996, de 23 de octubre de 1996.</w:t>
      </w:r>
    </w:p>
    <w:p w:rsidR="001A7AE3" w:rsidRPr="001A7AE3" w:rsidRDefault="001A7AE3" w:rsidP="00EA0579">
      <w:pPr>
        <w:spacing w:after="200" w:line="360" w:lineRule="auto"/>
        <w:jc w:val="both"/>
        <w:rPr>
          <w:rFonts w:eastAsia="Calibri"/>
          <w:sz w:val="24"/>
          <w:szCs w:val="24"/>
        </w:rPr>
      </w:pPr>
      <w:r w:rsidRPr="001A7AE3">
        <w:rPr>
          <w:rFonts w:eastAsia="Calibri"/>
          <w:sz w:val="24"/>
          <w:szCs w:val="24"/>
        </w:rPr>
        <w:t>STS núm. 1188/1997, de 3 de octubre de 1997.</w:t>
      </w:r>
    </w:p>
    <w:p w:rsidR="001A7AE3" w:rsidRPr="001A7AE3" w:rsidRDefault="001A7AE3" w:rsidP="00EA0579">
      <w:pPr>
        <w:spacing w:after="200" w:line="360" w:lineRule="auto"/>
        <w:jc w:val="both"/>
        <w:rPr>
          <w:rFonts w:eastAsia="Calibri"/>
          <w:sz w:val="24"/>
          <w:szCs w:val="24"/>
        </w:rPr>
      </w:pPr>
      <w:r w:rsidRPr="001A7AE3">
        <w:rPr>
          <w:rFonts w:eastAsia="Calibri"/>
          <w:sz w:val="24"/>
          <w:szCs w:val="24"/>
        </w:rPr>
        <w:t>STS núm. 726/1998, de 22 de enero de 1998.</w:t>
      </w:r>
    </w:p>
    <w:p w:rsidR="001A7AE3" w:rsidRPr="001A7AE3" w:rsidRDefault="001A7AE3" w:rsidP="00EA0579">
      <w:pPr>
        <w:spacing w:after="200" w:line="360" w:lineRule="auto"/>
        <w:jc w:val="both"/>
        <w:rPr>
          <w:rFonts w:eastAsia="Calibri"/>
          <w:sz w:val="24"/>
          <w:szCs w:val="24"/>
        </w:rPr>
      </w:pPr>
      <w:r w:rsidRPr="001A7AE3">
        <w:rPr>
          <w:rFonts w:eastAsia="Calibri"/>
          <w:sz w:val="24"/>
          <w:szCs w:val="24"/>
        </w:rPr>
        <w:t>STS núm. 844/1999, de 29 de mayo de 1999.</w:t>
      </w:r>
    </w:p>
    <w:p w:rsidR="001A7AE3" w:rsidRPr="001A7AE3" w:rsidRDefault="001A7AE3" w:rsidP="00EA0579">
      <w:pPr>
        <w:spacing w:after="200" w:line="360" w:lineRule="auto"/>
        <w:jc w:val="both"/>
        <w:rPr>
          <w:rFonts w:eastAsia="Calibri"/>
          <w:sz w:val="24"/>
          <w:szCs w:val="24"/>
        </w:rPr>
      </w:pPr>
      <w:r w:rsidRPr="001A7AE3">
        <w:rPr>
          <w:rFonts w:eastAsia="Calibri"/>
          <w:sz w:val="24"/>
          <w:szCs w:val="24"/>
        </w:rPr>
        <w:t>STS núm. 1550/2000, de 20 de octubre de 2000.</w:t>
      </w:r>
    </w:p>
    <w:p w:rsidR="001A7AE3" w:rsidRPr="001A7AE3" w:rsidRDefault="001A7AE3" w:rsidP="00EA0579">
      <w:pPr>
        <w:spacing w:after="200" w:line="360" w:lineRule="auto"/>
        <w:jc w:val="both"/>
        <w:rPr>
          <w:rFonts w:eastAsia="Calibri"/>
          <w:sz w:val="24"/>
          <w:szCs w:val="24"/>
        </w:rPr>
      </w:pPr>
      <w:r w:rsidRPr="001A7AE3">
        <w:rPr>
          <w:rFonts w:eastAsia="Calibri"/>
          <w:sz w:val="24"/>
          <w:szCs w:val="24"/>
        </w:rPr>
        <w:lastRenderedPageBreak/>
        <w:t>STS núm. 83/2001, de 24 de enero de 2001.</w:t>
      </w:r>
    </w:p>
    <w:p w:rsidR="001A7AE3" w:rsidRPr="001A7AE3" w:rsidRDefault="001A7AE3" w:rsidP="00EA0579">
      <w:pPr>
        <w:spacing w:after="200" w:line="360" w:lineRule="auto"/>
        <w:jc w:val="both"/>
        <w:rPr>
          <w:rFonts w:eastAsia="Calibri"/>
          <w:sz w:val="24"/>
          <w:szCs w:val="24"/>
        </w:rPr>
      </w:pPr>
      <w:r w:rsidRPr="001A7AE3">
        <w:rPr>
          <w:rFonts w:eastAsia="Calibri"/>
          <w:sz w:val="24"/>
          <w:szCs w:val="24"/>
        </w:rPr>
        <w:t>STS núm. 2235/2001, de 30 de noviembre de 2001.</w:t>
      </w:r>
    </w:p>
    <w:p w:rsidR="001A7AE3" w:rsidRPr="001A7AE3" w:rsidRDefault="001A7AE3" w:rsidP="00EA0579">
      <w:pPr>
        <w:spacing w:after="200" w:line="360" w:lineRule="auto"/>
        <w:jc w:val="both"/>
        <w:rPr>
          <w:rFonts w:eastAsia="Calibri"/>
          <w:sz w:val="24"/>
          <w:szCs w:val="24"/>
        </w:rPr>
      </w:pPr>
      <w:r w:rsidRPr="001A7AE3">
        <w:rPr>
          <w:rFonts w:eastAsia="Calibri"/>
          <w:sz w:val="24"/>
          <w:szCs w:val="24"/>
        </w:rPr>
        <w:t>STS núm. 282/2005, de 4 de marzo de 2002.</w:t>
      </w:r>
    </w:p>
    <w:p w:rsidR="001A7AE3" w:rsidRPr="001A7AE3" w:rsidRDefault="001A7AE3" w:rsidP="00EA0579">
      <w:pPr>
        <w:spacing w:after="200" w:line="360" w:lineRule="auto"/>
        <w:jc w:val="both"/>
        <w:rPr>
          <w:rFonts w:eastAsia="Calibri"/>
          <w:sz w:val="24"/>
          <w:szCs w:val="24"/>
        </w:rPr>
      </w:pPr>
      <w:r w:rsidRPr="001A7AE3">
        <w:rPr>
          <w:rFonts w:eastAsia="Calibri"/>
          <w:sz w:val="24"/>
          <w:szCs w:val="24"/>
        </w:rPr>
        <w:t>STS núm. 547/2002, de 27 de marzo de 2002.</w:t>
      </w:r>
    </w:p>
    <w:p w:rsidR="001A7AE3" w:rsidRPr="001A7AE3" w:rsidRDefault="001A7AE3" w:rsidP="00EA0579">
      <w:pPr>
        <w:spacing w:after="200" w:line="360" w:lineRule="auto"/>
        <w:jc w:val="both"/>
        <w:rPr>
          <w:rFonts w:eastAsia="Calibri"/>
          <w:sz w:val="24"/>
          <w:szCs w:val="24"/>
        </w:rPr>
      </w:pPr>
      <w:r w:rsidRPr="001A7AE3">
        <w:rPr>
          <w:rFonts w:eastAsia="Calibri"/>
          <w:sz w:val="24"/>
          <w:szCs w:val="24"/>
        </w:rPr>
        <w:t xml:space="preserve">STS núm. 636/2002, de 15 de abril de 2002. </w:t>
      </w:r>
    </w:p>
    <w:p w:rsidR="001A7AE3" w:rsidRPr="001A7AE3" w:rsidRDefault="001A7AE3" w:rsidP="00EA0579">
      <w:pPr>
        <w:spacing w:after="200" w:line="360" w:lineRule="auto"/>
        <w:jc w:val="both"/>
        <w:rPr>
          <w:rFonts w:eastAsia="Calibri"/>
          <w:sz w:val="24"/>
          <w:szCs w:val="24"/>
        </w:rPr>
      </w:pPr>
      <w:r w:rsidRPr="001A7AE3">
        <w:rPr>
          <w:rFonts w:eastAsia="Calibri"/>
          <w:sz w:val="24"/>
          <w:szCs w:val="24"/>
        </w:rPr>
        <w:t>STS núm. 1454/2002, de 13 de septiembre de 2002.</w:t>
      </w:r>
    </w:p>
    <w:p w:rsidR="001A7AE3" w:rsidRPr="001A7AE3" w:rsidRDefault="001A7AE3" w:rsidP="00EA0579">
      <w:pPr>
        <w:spacing w:after="200" w:line="360" w:lineRule="auto"/>
        <w:jc w:val="both"/>
        <w:rPr>
          <w:rFonts w:eastAsia="Calibri"/>
          <w:sz w:val="24"/>
          <w:szCs w:val="24"/>
        </w:rPr>
      </w:pPr>
      <w:r w:rsidRPr="001A7AE3">
        <w:rPr>
          <w:rFonts w:eastAsia="Calibri"/>
          <w:sz w:val="24"/>
          <w:szCs w:val="24"/>
        </w:rPr>
        <w:t>STS núm. 720/2003, de 21 de mayo de 2003.</w:t>
      </w:r>
    </w:p>
    <w:p w:rsidR="001A7AE3" w:rsidRPr="001A7AE3" w:rsidRDefault="001A7AE3" w:rsidP="00EA0579">
      <w:pPr>
        <w:spacing w:after="200" w:line="360" w:lineRule="auto"/>
        <w:jc w:val="both"/>
        <w:rPr>
          <w:rFonts w:eastAsia="Calibri"/>
          <w:sz w:val="24"/>
          <w:szCs w:val="24"/>
        </w:rPr>
      </w:pPr>
      <w:r w:rsidRPr="001A7AE3">
        <w:rPr>
          <w:rFonts w:eastAsia="Calibri"/>
          <w:sz w:val="24"/>
          <w:szCs w:val="24"/>
        </w:rPr>
        <w:t>STS núm. 966/2003, de 4 de julio de 2003.</w:t>
      </w:r>
    </w:p>
    <w:p w:rsidR="001A7AE3" w:rsidRPr="001A7AE3" w:rsidRDefault="001A7AE3" w:rsidP="00EA0579">
      <w:pPr>
        <w:spacing w:after="200" w:line="360" w:lineRule="auto"/>
        <w:jc w:val="both"/>
        <w:rPr>
          <w:rFonts w:eastAsia="Calibri"/>
          <w:sz w:val="24"/>
          <w:szCs w:val="24"/>
        </w:rPr>
      </w:pPr>
      <w:r w:rsidRPr="001A7AE3">
        <w:rPr>
          <w:rFonts w:eastAsia="Calibri"/>
          <w:sz w:val="24"/>
          <w:szCs w:val="24"/>
        </w:rPr>
        <w:t>STS núm. 282/2005, de 4 de marzo de 2005.</w:t>
      </w:r>
    </w:p>
    <w:p w:rsidR="001A7AE3" w:rsidRPr="001A7AE3" w:rsidRDefault="001A7AE3" w:rsidP="00EA0579">
      <w:pPr>
        <w:spacing w:after="200" w:line="360" w:lineRule="auto"/>
        <w:jc w:val="both"/>
        <w:rPr>
          <w:rFonts w:eastAsia="Calibri"/>
          <w:sz w:val="24"/>
          <w:szCs w:val="24"/>
        </w:rPr>
      </w:pPr>
      <w:r w:rsidRPr="001A7AE3">
        <w:rPr>
          <w:rFonts w:eastAsia="Calibri"/>
          <w:sz w:val="24"/>
          <w:szCs w:val="24"/>
        </w:rPr>
        <w:t>STS núm. 211/2007, de 15 de marzo de 2007.</w:t>
      </w:r>
    </w:p>
    <w:p w:rsidR="001A7AE3" w:rsidRPr="001A7AE3" w:rsidRDefault="001A7AE3" w:rsidP="00EA0579">
      <w:pPr>
        <w:spacing w:after="200" w:line="360" w:lineRule="auto"/>
        <w:jc w:val="both"/>
        <w:rPr>
          <w:rFonts w:eastAsia="Calibri"/>
          <w:sz w:val="24"/>
          <w:szCs w:val="24"/>
        </w:rPr>
      </w:pPr>
      <w:r w:rsidRPr="001A7AE3">
        <w:rPr>
          <w:rFonts w:eastAsia="Calibri"/>
          <w:sz w:val="24"/>
          <w:szCs w:val="24"/>
        </w:rPr>
        <w:t>STS núm. 1089/2009, de 27 de octubre de 2009.</w:t>
      </w:r>
    </w:p>
    <w:p w:rsidR="001A7AE3" w:rsidRPr="001A7AE3" w:rsidRDefault="001A7AE3" w:rsidP="00EA0579">
      <w:pPr>
        <w:spacing w:after="200" w:line="360" w:lineRule="auto"/>
        <w:jc w:val="both"/>
        <w:rPr>
          <w:rFonts w:eastAsia="Calibri"/>
          <w:sz w:val="24"/>
          <w:szCs w:val="24"/>
        </w:rPr>
      </w:pPr>
      <w:r w:rsidRPr="001A7AE3">
        <w:rPr>
          <w:rFonts w:eastAsia="Calibri"/>
          <w:sz w:val="24"/>
          <w:szCs w:val="24"/>
        </w:rPr>
        <w:t>STS núm. 749/2015, de 13 de noviembre de 2015.</w:t>
      </w:r>
    </w:p>
    <w:p w:rsidR="001A7AE3" w:rsidRPr="001A7AE3" w:rsidRDefault="001A7AE3" w:rsidP="00EA0579">
      <w:pPr>
        <w:spacing w:after="200" w:line="360" w:lineRule="auto"/>
        <w:jc w:val="both"/>
        <w:rPr>
          <w:rFonts w:eastAsia="Calibri"/>
          <w:sz w:val="24"/>
          <w:szCs w:val="24"/>
        </w:rPr>
      </w:pPr>
      <w:r w:rsidRPr="001A7AE3">
        <w:rPr>
          <w:rFonts w:eastAsia="Calibri"/>
          <w:sz w:val="24"/>
          <w:szCs w:val="24"/>
        </w:rPr>
        <w:t>STS núm. 731/2015, de 19 de noviembre d 2015.</w:t>
      </w:r>
    </w:p>
    <w:p w:rsidR="001A7AE3" w:rsidRPr="001A7AE3" w:rsidRDefault="001A7AE3" w:rsidP="00EA0579">
      <w:pPr>
        <w:spacing w:after="200" w:line="360" w:lineRule="auto"/>
        <w:jc w:val="both"/>
        <w:rPr>
          <w:rFonts w:eastAsia="Calibri"/>
          <w:sz w:val="24"/>
          <w:szCs w:val="24"/>
        </w:rPr>
      </w:pPr>
      <w:r w:rsidRPr="001A7AE3">
        <w:rPr>
          <w:rFonts w:eastAsia="Calibri"/>
          <w:sz w:val="24"/>
          <w:szCs w:val="24"/>
        </w:rPr>
        <w:t>STS núm. 1577/2015, de 11 de diciembre de 2015.</w:t>
      </w:r>
    </w:p>
    <w:p w:rsidR="001A7AE3" w:rsidRPr="001A7AE3" w:rsidRDefault="001A7AE3" w:rsidP="00EA0579">
      <w:pPr>
        <w:spacing w:after="200" w:line="360" w:lineRule="auto"/>
        <w:jc w:val="both"/>
        <w:rPr>
          <w:rFonts w:eastAsia="Calibri"/>
          <w:sz w:val="24"/>
          <w:szCs w:val="24"/>
        </w:rPr>
      </w:pPr>
      <w:r w:rsidRPr="001A7AE3">
        <w:rPr>
          <w:rFonts w:eastAsia="Calibri"/>
          <w:sz w:val="24"/>
          <w:szCs w:val="24"/>
        </w:rPr>
        <w:t>STS núm. 238/2016, de 29 de marzo de 2016.</w:t>
      </w:r>
    </w:p>
    <w:p w:rsidR="001A7AE3" w:rsidRPr="001A7AE3" w:rsidRDefault="001A7AE3" w:rsidP="00EA0579">
      <w:pPr>
        <w:spacing w:after="200" w:line="360" w:lineRule="auto"/>
        <w:jc w:val="both"/>
        <w:rPr>
          <w:rFonts w:eastAsia="Calibri"/>
          <w:sz w:val="24"/>
          <w:szCs w:val="24"/>
        </w:rPr>
      </w:pPr>
      <w:r w:rsidRPr="001A7AE3">
        <w:rPr>
          <w:rFonts w:eastAsia="Calibri"/>
          <w:sz w:val="24"/>
          <w:szCs w:val="24"/>
        </w:rPr>
        <w:t>STS núm. 731/2016, de 14 de abril de 2016</w:t>
      </w:r>
    </w:p>
    <w:p w:rsidR="001A7AE3" w:rsidRPr="001A7AE3" w:rsidRDefault="001A7AE3" w:rsidP="00EA0579">
      <w:pPr>
        <w:spacing w:after="200" w:line="360" w:lineRule="auto"/>
        <w:jc w:val="both"/>
        <w:rPr>
          <w:rFonts w:eastAsia="Calibri"/>
          <w:sz w:val="24"/>
          <w:szCs w:val="24"/>
        </w:rPr>
      </w:pPr>
      <w:r w:rsidRPr="001A7AE3">
        <w:rPr>
          <w:rFonts w:eastAsia="Calibri"/>
          <w:sz w:val="24"/>
          <w:szCs w:val="24"/>
        </w:rPr>
        <w:t>STS núm. 368/2016, de 26 de abril de 2016.</w:t>
      </w:r>
    </w:p>
    <w:p w:rsidR="001A7AE3" w:rsidRPr="001A7AE3" w:rsidRDefault="001A7AE3" w:rsidP="00EA0579">
      <w:pPr>
        <w:spacing w:after="200" w:line="360" w:lineRule="auto"/>
        <w:jc w:val="both"/>
        <w:rPr>
          <w:rFonts w:eastAsia="Calibri"/>
          <w:sz w:val="24"/>
          <w:szCs w:val="24"/>
        </w:rPr>
      </w:pPr>
      <w:r w:rsidRPr="001A7AE3">
        <w:rPr>
          <w:rFonts w:eastAsia="Calibri"/>
          <w:sz w:val="24"/>
          <w:szCs w:val="24"/>
        </w:rPr>
        <w:t>SPA (Madrid) núm. 387/2015, de 10 de julio de 2015.</w:t>
      </w:r>
    </w:p>
    <w:p w:rsidR="001A7AE3" w:rsidRPr="001A7AE3" w:rsidRDefault="001A7AE3" w:rsidP="00EA0579">
      <w:pPr>
        <w:spacing w:after="200" w:line="360" w:lineRule="auto"/>
        <w:jc w:val="both"/>
        <w:rPr>
          <w:rFonts w:eastAsia="Calibri"/>
          <w:sz w:val="24"/>
          <w:szCs w:val="24"/>
        </w:rPr>
      </w:pPr>
      <w:r w:rsidRPr="001A7AE3">
        <w:rPr>
          <w:rFonts w:eastAsia="Calibri"/>
          <w:sz w:val="24"/>
          <w:szCs w:val="24"/>
        </w:rPr>
        <w:t>SPA (Alicante) núm. 304/2015, de 14 de julio de 2015.</w:t>
      </w:r>
    </w:p>
    <w:p w:rsidR="001A7AE3" w:rsidRPr="001A7AE3" w:rsidRDefault="001A7AE3" w:rsidP="00EA0579">
      <w:pPr>
        <w:spacing w:after="200" w:line="360" w:lineRule="auto"/>
        <w:jc w:val="both"/>
        <w:rPr>
          <w:rFonts w:eastAsia="Calibri"/>
          <w:sz w:val="24"/>
          <w:szCs w:val="24"/>
        </w:rPr>
      </w:pPr>
      <w:r w:rsidRPr="001A7AE3">
        <w:rPr>
          <w:rFonts w:eastAsia="Calibri"/>
          <w:sz w:val="24"/>
          <w:szCs w:val="24"/>
        </w:rPr>
        <w:t>SPA (Soria) núm. 59/2015, de 14 de julio de 2015.</w:t>
      </w:r>
    </w:p>
    <w:p w:rsidR="001A7AE3" w:rsidRPr="001A7AE3" w:rsidRDefault="001A7AE3" w:rsidP="00EA0579">
      <w:pPr>
        <w:spacing w:after="200" w:line="360" w:lineRule="auto"/>
        <w:jc w:val="both"/>
        <w:rPr>
          <w:rFonts w:eastAsia="Calibri"/>
          <w:sz w:val="24"/>
          <w:szCs w:val="24"/>
        </w:rPr>
      </w:pPr>
      <w:r w:rsidRPr="001A7AE3">
        <w:rPr>
          <w:rFonts w:eastAsia="Calibri"/>
          <w:sz w:val="24"/>
          <w:szCs w:val="24"/>
        </w:rPr>
        <w:t>SPA (A Coruña) núm. 274/2015, de 31 de julio de 2015.</w:t>
      </w:r>
    </w:p>
    <w:p w:rsidR="001A7AE3" w:rsidRPr="001A7AE3" w:rsidRDefault="001A7AE3" w:rsidP="00EA0579">
      <w:pPr>
        <w:spacing w:after="200" w:line="360" w:lineRule="auto"/>
        <w:jc w:val="both"/>
        <w:rPr>
          <w:rFonts w:eastAsia="Calibri"/>
          <w:sz w:val="24"/>
          <w:szCs w:val="24"/>
        </w:rPr>
      </w:pPr>
      <w:r w:rsidRPr="001A7AE3">
        <w:rPr>
          <w:rFonts w:eastAsia="Calibri"/>
          <w:sz w:val="24"/>
          <w:szCs w:val="24"/>
        </w:rPr>
        <w:t>SPA (Santa Cruz de Tenerife) núm. 421/2015, de 1 de octubre de 2015.</w:t>
      </w:r>
    </w:p>
    <w:p w:rsidR="001A7AE3" w:rsidRPr="001A7AE3" w:rsidRDefault="001A7AE3" w:rsidP="00EA0579">
      <w:pPr>
        <w:spacing w:after="200" w:line="360" w:lineRule="auto"/>
        <w:jc w:val="both"/>
        <w:rPr>
          <w:rFonts w:eastAsia="Calibri"/>
          <w:sz w:val="24"/>
          <w:szCs w:val="24"/>
        </w:rPr>
      </w:pPr>
      <w:r w:rsidRPr="001A7AE3">
        <w:rPr>
          <w:rFonts w:eastAsia="Calibri"/>
          <w:sz w:val="24"/>
          <w:szCs w:val="24"/>
        </w:rPr>
        <w:t>SPA (Burgos) núm. 379/2015, de 14 de octubre de 2015.</w:t>
      </w:r>
    </w:p>
    <w:p w:rsidR="001A7AE3" w:rsidRPr="001A7AE3" w:rsidRDefault="001A7AE3" w:rsidP="00EA0579">
      <w:pPr>
        <w:spacing w:after="200" w:line="360" w:lineRule="auto"/>
        <w:jc w:val="both"/>
        <w:rPr>
          <w:rFonts w:eastAsia="Calibri"/>
          <w:sz w:val="24"/>
          <w:szCs w:val="24"/>
        </w:rPr>
      </w:pPr>
    </w:p>
    <w:p w:rsidR="001A7AE3" w:rsidRDefault="001A7AE3" w:rsidP="00EA0579">
      <w:pPr>
        <w:spacing w:after="200"/>
      </w:pPr>
    </w:p>
    <w:p w:rsidR="00D406A5" w:rsidRDefault="00D406A5" w:rsidP="00EA0579">
      <w:pPr>
        <w:spacing w:after="200"/>
        <w:jc w:val="right"/>
      </w:pPr>
    </w:p>
    <w:p w:rsidR="00D406A5" w:rsidRDefault="00D406A5" w:rsidP="00EA0579">
      <w:pPr>
        <w:spacing w:after="200"/>
        <w:jc w:val="right"/>
      </w:pPr>
    </w:p>
    <w:p w:rsidR="00D406A5" w:rsidRDefault="00D406A5" w:rsidP="00EA0579">
      <w:pPr>
        <w:spacing w:after="200"/>
        <w:jc w:val="right"/>
      </w:pPr>
    </w:p>
    <w:p w:rsidR="00D406A5" w:rsidRDefault="00D406A5" w:rsidP="00EA0579">
      <w:pPr>
        <w:spacing w:after="200"/>
        <w:jc w:val="right"/>
      </w:pPr>
    </w:p>
    <w:p w:rsidR="00D406A5" w:rsidRDefault="00D406A5" w:rsidP="00EA0579">
      <w:pPr>
        <w:spacing w:after="200"/>
        <w:jc w:val="right"/>
      </w:pPr>
    </w:p>
    <w:p w:rsidR="00D406A5" w:rsidRDefault="00D406A5" w:rsidP="00EA0579">
      <w:pPr>
        <w:spacing w:after="200"/>
        <w:jc w:val="right"/>
      </w:pPr>
    </w:p>
    <w:p w:rsidR="00D406A5" w:rsidRDefault="00D406A5" w:rsidP="00EA0579">
      <w:pPr>
        <w:spacing w:after="200"/>
      </w:pPr>
    </w:p>
    <w:p w:rsidR="00D406A5" w:rsidRDefault="00AB6BA8" w:rsidP="00EA0579">
      <w:pPr>
        <w:tabs>
          <w:tab w:val="left" w:pos="6510"/>
        </w:tabs>
        <w:spacing w:after="200"/>
      </w:pPr>
      <w:r>
        <w:tab/>
        <w:t xml:space="preserve">  </w:t>
      </w:r>
    </w:p>
    <w:sectPr w:rsidR="00D406A5" w:rsidSect="00886CFB">
      <w:headerReference w:type="default" r:id="rId11"/>
      <w:footerReference w:type="default" r:id="rId12"/>
      <w:pgSz w:w="11906" w:h="16838" w:code="9"/>
      <w:pgMar w:top="1418" w:right="1701" w:bottom="1418" w:left="1701" w:header="720" w:footer="720" w:gutter="0"/>
      <w:cols w:space="720"/>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F5375" w:rsidRDefault="00EF5375" w:rsidP="00557D47">
      <w:r>
        <w:separator/>
      </w:r>
    </w:p>
  </w:endnote>
  <w:endnote w:type="continuationSeparator" w:id="0">
    <w:p w:rsidR="00EF5375" w:rsidRDefault="00EF5375" w:rsidP="00557D4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NewBskvll BT">
    <w:altName w:val="Times New Roman"/>
    <w:charset w:val="00"/>
    <w:family w:val="roman"/>
    <w:pitch w:val="variable"/>
    <w:sig w:usb0="00000007" w:usb1="00000000" w:usb2="00000000" w:usb3="00000000" w:csb0="0000001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D60B2" w:rsidRPr="002206B8" w:rsidRDefault="004D60B2">
    <w:pPr>
      <w:pStyle w:val="Piedepgina"/>
      <w:jc w:val="right"/>
      <w:rPr>
        <w:sz w:val="24"/>
      </w:rPr>
    </w:pPr>
  </w:p>
  <w:p w:rsidR="004D60B2" w:rsidRDefault="004D60B2">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74853227"/>
      <w:docPartObj>
        <w:docPartGallery w:val="Page Numbers (Bottom of Page)"/>
        <w:docPartUnique/>
      </w:docPartObj>
    </w:sdtPr>
    <w:sdtEndPr>
      <w:rPr>
        <w:sz w:val="24"/>
      </w:rPr>
    </w:sdtEndPr>
    <w:sdtContent>
      <w:p w:rsidR="004D60B2" w:rsidRPr="000119EA" w:rsidRDefault="004D60B2">
        <w:pPr>
          <w:pStyle w:val="Piedepgina"/>
          <w:jc w:val="right"/>
          <w:rPr>
            <w:sz w:val="24"/>
          </w:rPr>
        </w:pPr>
        <w:r w:rsidRPr="000119EA">
          <w:rPr>
            <w:sz w:val="24"/>
          </w:rPr>
          <w:fldChar w:fldCharType="begin"/>
        </w:r>
        <w:r w:rsidRPr="000119EA">
          <w:rPr>
            <w:sz w:val="24"/>
          </w:rPr>
          <w:instrText>PAGE   \* MERGEFORMAT</w:instrText>
        </w:r>
        <w:r w:rsidRPr="000119EA">
          <w:rPr>
            <w:sz w:val="24"/>
          </w:rPr>
          <w:fldChar w:fldCharType="separate"/>
        </w:r>
        <w:r w:rsidR="00527914">
          <w:rPr>
            <w:noProof/>
            <w:sz w:val="24"/>
          </w:rPr>
          <w:t>4</w:t>
        </w:r>
        <w:r w:rsidRPr="000119EA">
          <w:rPr>
            <w:sz w:val="24"/>
          </w:rPr>
          <w:fldChar w:fldCharType="end"/>
        </w:r>
      </w:p>
    </w:sdtContent>
  </w:sdt>
  <w:p w:rsidR="004D60B2" w:rsidRDefault="004D60B2">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F5375" w:rsidRDefault="00EF5375" w:rsidP="00557D47">
      <w:r>
        <w:separator/>
      </w:r>
    </w:p>
  </w:footnote>
  <w:footnote w:type="continuationSeparator" w:id="0">
    <w:p w:rsidR="00EF5375" w:rsidRDefault="00EF5375" w:rsidP="00557D47">
      <w:r>
        <w:continuationSeparator/>
      </w:r>
    </w:p>
  </w:footnote>
  <w:footnote w:id="1">
    <w:p w:rsidR="004D60B2" w:rsidRDefault="004D60B2" w:rsidP="001A7AE3">
      <w:pPr>
        <w:pStyle w:val="Textonotapie"/>
        <w:jc w:val="both"/>
      </w:pPr>
      <w:r>
        <w:rPr>
          <w:rStyle w:val="Refdenotaalpie"/>
        </w:rPr>
        <w:footnoteRef/>
      </w:r>
      <w:r>
        <w:t xml:space="preserve"> El Proyecto de Ley fue presentado el 24 de septiembre de 2013.</w:t>
      </w:r>
    </w:p>
  </w:footnote>
  <w:footnote w:id="2">
    <w:p w:rsidR="004D60B2" w:rsidRDefault="004D60B2" w:rsidP="001A7AE3">
      <w:pPr>
        <w:pStyle w:val="Textonotapie"/>
        <w:jc w:val="both"/>
      </w:pPr>
      <w:r>
        <w:rPr>
          <w:rStyle w:val="Refdenotaalpie"/>
        </w:rPr>
        <w:footnoteRef/>
      </w:r>
      <w:r>
        <w:t xml:space="preserve"> En el ámbito académico han sido muchas las reuniones y documentos producidos en torno al Proyecto, y todo en línea de severa crítica.</w:t>
      </w:r>
    </w:p>
  </w:footnote>
  <w:footnote w:id="3">
    <w:p w:rsidR="004D60B2" w:rsidRDefault="004D60B2" w:rsidP="001A7AE3">
      <w:pPr>
        <w:pStyle w:val="Textonotapie"/>
        <w:jc w:val="both"/>
      </w:pPr>
      <w:r>
        <w:rPr>
          <w:rStyle w:val="Refdenotaalpie"/>
        </w:rPr>
        <w:footnoteRef/>
      </w:r>
      <w:r>
        <w:t xml:space="preserve"> </w:t>
      </w:r>
      <w:r w:rsidRPr="00C60E75">
        <w:t>QUINTERO OLIVARES, G. (20</w:t>
      </w:r>
      <w:r>
        <w:t>15)</w:t>
      </w:r>
      <w:r w:rsidRPr="00C60E75">
        <w:t xml:space="preserve">, </w:t>
      </w:r>
      <w:r>
        <w:rPr>
          <w:i/>
          <w:iCs/>
        </w:rPr>
        <w:t>Comentario</w:t>
      </w:r>
      <w:r w:rsidRPr="000A5934">
        <w:rPr>
          <w:i/>
          <w:iCs/>
        </w:rPr>
        <w:t xml:space="preserve"> a</w:t>
      </w:r>
      <w:r>
        <w:rPr>
          <w:i/>
          <w:iCs/>
        </w:rPr>
        <w:t xml:space="preserve"> </w:t>
      </w:r>
      <w:r w:rsidRPr="000A5934">
        <w:rPr>
          <w:i/>
          <w:iCs/>
        </w:rPr>
        <w:t>l</w:t>
      </w:r>
      <w:r>
        <w:rPr>
          <w:i/>
          <w:iCs/>
        </w:rPr>
        <w:t>a Reforma Penal de 2015</w:t>
      </w:r>
      <w:r w:rsidRPr="00C60E75">
        <w:t>, Cizur Menor (Navarra</w:t>
      </w:r>
      <w:r>
        <w:t>), Thomson Aranzadi, p. 35</w:t>
      </w:r>
      <w:r w:rsidRPr="00C60E75">
        <w:t>.</w:t>
      </w:r>
    </w:p>
  </w:footnote>
  <w:footnote w:id="4">
    <w:p w:rsidR="004D60B2" w:rsidRPr="002A74AA" w:rsidRDefault="004D60B2" w:rsidP="001A7AE3">
      <w:pPr>
        <w:pStyle w:val="Textonotapie"/>
        <w:jc w:val="both"/>
        <w:rPr>
          <w:color w:val="000000"/>
        </w:rPr>
      </w:pPr>
      <w:r w:rsidRPr="002A74AA">
        <w:rPr>
          <w:rStyle w:val="Refdenotaalpie"/>
          <w:color w:val="000000"/>
        </w:rPr>
        <w:footnoteRef/>
      </w:r>
      <w:r w:rsidRPr="002A74AA">
        <w:rPr>
          <w:color w:val="000000"/>
        </w:rPr>
        <w:t xml:space="preserve"> DOVAL PAÍS A. (2015), “El nuevo régimen penal de las imprudencias menos graves y leves”, en QUINTERO OLIVARES G. (Dir.), </w:t>
      </w:r>
      <w:r w:rsidRPr="002A74AA">
        <w:rPr>
          <w:i/>
          <w:iCs/>
          <w:color w:val="000000"/>
        </w:rPr>
        <w:t>Comentario a la Reforma Penal de 2015</w:t>
      </w:r>
      <w:r w:rsidRPr="002A74AA">
        <w:rPr>
          <w:color w:val="000000"/>
        </w:rPr>
        <w:t>. Ciur Menor (Navarra), Aranzadi, p. 334.</w:t>
      </w:r>
    </w:p>
  </w:footnote>
  <w:footnote w:id="5">
    <w:p w:rsidR="004D60B2" w:rsidRDefault="004D60B2" w:rsidP="001A7AE3">
      <w:pPr>
        <w:pStyle w:val="Textonotapie"/>
        <w:jc w:val="both"/>
      </w:pPr>
      <w:r>
        <w:rPr>
          <w:rStyle w:val="Refdenotaalpie"/>
        </w:rPr>
        <w:footnoteRef/>
      </w:r>
      <w:r>
        <w:t xml:space="preserve"> Concretamente, el Proyecto de Ley de modificación de la LECrim para la agilización de la justicia penal y el fortalecimiento de las garantías procesales y, el Proyecto de Ley Orgánica de modificación de la LECrim para el fortalecimiento de las garantías procesales y la regulación de las medidas de investigación tecnológica, ambos de 13 de marzo de 2015.</w:t>
      </w:r>
    </w:p>
  </w:footnote>
  <w:footnote w:id="6">
    <w:p w:rsidR="004D60B2" w:rsidRDefault="004D60B2" w:rsidP="001A7AE3">
      <w:pPr>
        <w:pStyle w:val="Textonotapie"/>
        <w:jc w:val="both"/>
      </w:pPr>
      <w:r>
        <w:rPr>
          <w:rStyle w:val="Refdenotaalpie"/>
        </w:rPr>
        <w:footnoteRef/>
      </w:r>
      <w:r>
        <w:t xml:space="preserve"> QUINTERO OLIVARES, G. (2015), </w:t>
      </w:r>
      <w:r w:rsidRPr="00C413BB">
        <w:rPr>
          <w:i/>
          <w:iCs/>
        </w:rPr>
        <w:t>Comentario a la Reforma Penal de 2015</w:t>
      </w:r>
      <w:r>
        <w:t>, Cizur Menor (Navarra), Aranzadi, p. 51.</w:t>
      </w:r>
    </w:p>
  </w:footnote>
  <w:footnote w:id="7">
    <w:p w:rsidR="004D60B2" w:rsidRDefault="004D60B2" w:rsidP="001A7AE3">
      <w:pPr>
        <w:pStyle w:val="Textonotapie"/>
        <w:jc w:val="both"/>
      </w:pPr>
      <w:r w:rsidRPr="00FE6EB6">
        <w:rPr>
          <w:rStyle w:val="Refdenotaalpie"/>
        </w:rPr>
        <w:footnoteRef/>
      </w:r>
      <w:r w:rsidRPr="00FE6EB6">
        <w:t xml:space="preserve"> E</w:t>
      </w:r>
      <w:r>
        <w:t>n el trámite de las enmiendas, e</w:t>
      </w:r>
      <w:r w:rsidRPr="00FE6EB6">
        <w:t>l Grupo Parlamentario Socialista planteó mantener las faltas de homicidio y lesiones por imprudencia leve, y los Grupos Parla</w:t>
      </w:r>
      <w:r>
        <w:t>mentarios La Izquierda Plural, y</w:t>
      </w:r>
      <w:r w:rsidRPr="00FE6EB6">
        <w:t xml:space="preserve"> Unión Progreso y Democracia, propusieron introducir la imprudencia leve como deli</w:t>
      </w:r>
      <w:r>
        <w:t xml:space="preserve">to, aunque con diverso alcance. No obstante, </w:t>
      </w:r>
      <w:r w:rsidRPr="00FE6EB6">
        <w:t>la modificación definitivamente asumida por la Comisión fue la presentada por el Grupo Popular, que consistía en incorporar dos nuevos delitos de homicidio y lesiones graves cometidos por imprudencia menos grave.</w:t>
      </w:r>
    </w:p>
  </w:footnote>
  <w:footnote w:id="8">
    <w:p w:rsidR="004D60B2" w:rsidRDefault="004D60B2" w:rsidP="001A7AE3">
      <w:pPr>
        <w:pStyle w:val="Textonotapie"/>
        <w:jc w:val="both"/>
      </w:pPr>
      <w:r>
        <w:rPr>
          <w:rStyle w:val="Refdenotaalpie"/>
        </w:rPr>
        <w:footnoteRef/>
      </w:r>
      <w:r>
        <w:t xml:space="preserve"> </w:t>
      </w:r>
      <w:r w:rsidRPr="00FF21E8">
        <w:t xml:space="preserve">DOVAL PAÍS A. (2015), “El nuevo régimen penal de las imprudencias menos graves y leves”, en QUINTERO OLIVARES G. (Dir.), </w:t>
      </w:r>
      <w:r w:rsidRPr="00FF21E8">
        <w:rPr>
          <w:i/>
          <w:iCs/>
        </w:rPr>
        <w:t>Comentario a la Reforma Penal de 2015</w:t>
      </w:r>
      <w:r w:rsidRPr="00FF21E8">
        <w:t>. Ci</w:t>
      </w:r>
      <w:r>
        <w:t>z</w:t>
      </w:r>
      <w:r w:rsidRPr="00FF21E8">
        <w:t>ur Menor (N</w:t>
      </w:r>
      <w:r>
        <w:t>avarra), Aranzadi, p. 338.</w:t>
      </w:r>
    </w:p>
  </w:footnote>
  <w:footnote w:id="9">
    <w:p w:rsidR="004D60B2" w:rsidRDefault="004D60B2" w:rsidP="001A7AE3">
      <w:pPr>
        <w:pStyle w:val="Textonotapie"/>
        <w:jc w:val="both"/>
      </w:pPr>
      <w:r>
        <w:rPr>
          <w:rStyle w:val="Refdenotaalpie"/>
        </w:rPr>
        <w:footnoteRef/>
      </w:r>
      <w:r>
        <w:t xml:space="preserve"> </w:t>
      </w:r>
      <w:r w:rsidRPr="00EF48BF">
        <w:t>SILVA SÁNCHEZ, J.</w:t>
      </w:r>
      <w:r>
        <w:t xml:space="preserve"> </w:t>
      </w:r>
      <w:r w:rsidRPr="00EF48BF">
        <w:t xml:space="preserve">M. (1996), "La regulación de la imprudencia y la comisión por omisión en el nuevo Código Penal", </w:t>
      </w:r>
      <w:r>
        <w:t xml:space="preserve">en </w:t>
      </w:r>
      <w:r w:rsidRPr="00EF48BF">
        <w:rPr>
          <w:i/>
        </w:rPr>
        <w:t>Jornadas sobre el nuevo Código Penal del Ilustre Colegio de Abogados de Barcelona</w:t>
      </w:r>
      <w:r w:rsidRPr="00EF48BF">
        <w:t xml:space="preserve">, </w:t>
      </w:r>
      <w:r>
        <w:t xml:space="preserve"> núm.</w:t>
      </w:r>
      <w:r w:rsidRPr="00EF48BF">
        <w:t xml:space="preserve"> 127.</w:t>
      </w:r>
    </w:p>
  </w:footnote>
  <w:footnote w:id="10">
    <w:p w:rsidR="004D60B2" w:rsidRDefault="004D60B2" w:rsidP="001A7AE3">
      <w:pPr>
        <w:pStyle w:val="Textonotapie"/>
        <w:jc w:val="both"/>
      </w:pPr>
      <w:r>
        <w:rPr>
          <w:rStyle w:val="Refdenotaalpie"/>
        </w:rPr>
        <w:footnoteRef/>
      </w:r>
      <w:r>
        <w:t xml:space="preserve"> RAMOS TAPIA, Mª. </w:t>
      </w:r>
      <w:r w:rsidRPr="007B4888">
        <w:t>I. (2010), “Delitos de acción. La tipicidad (V)” en ZUGALDÍA ESPINAR, J.</w:t>
      </w:r>
      <w:r>
        <w:t xml:space="preserve"> </w:t>
      </w:r>
      <w:r w:rsidRPr="007B4888">
        <w:t>M. (Dir.) y MORENO-TORRES HERRERA, Mª.</w:t>
      </w:r>
      <w:r>
        <w:t xml:space="preserve"> </w:t>
      </w:r>
      <w:r w:rsidRPr="007B4888">
        <w:t xml:space="preserve">R. (Coord.), </w:t>
      </w:r>
      <w:r w:rsidRPr="007B4888">
        <w:rPr>
          <w:i/>
        </w:rPr>
        <w:t>Fundamentos de Derecho Penal. Parte General, Valencia</w:t>
      </w:r>
      <w:r>
        <w:t>, Tirant lo Blanch, pp. 285-286.</w:t>
      </w:r>
    </w:p>
  </w:footnote>
  <w:footnote w:id="11">
    <w:p w:rsidR="004D60B2" w:rsidRDefault="004D60B2" w:rsidP="001A7AE3">
      <w:pPr>
        <w:pStyle w:val="Textonotapie"/>
        <w:jc w:val="both"/>
      </w:pPr>
      <w:r>
        <w:rPr>
          <w:rStyle w:val="Refdenotaalpie"/>
        </w:rPr>
        <w:footnoteRef/>
      </w:r>
      <w:r>
        <w:t xml:space="preserve"> </w:t>
      </w:r>
      <w:r w:rsidRPr="00830E38">
        <w:t xml:space="preserve">LUZÓN PEÑA, D. (1996), </w:t>
      </w:r>
      <w:r w:rsidRPr="003F5C42">
        <w:rPr>
          <w:i/>
        </w:rPr>
        <w:t>Curso de Derecho Penal, Parte General I</w:t>
      </w:r>
      <w:r w:rsidRPr="00830E38">
        <w:t>. Madri</w:t>
      </w:r>
      <w:r>
        <w:t>d, Universitas, p. 492.</w:t>
      </w:r>
    </w:p>
  </w:footnote>
  <w:footnote w:id="12">
    <w:p w:rsidR="004D60B2" w:rsidRDefault="004D60B2" w:rsidP="001A7AE3">
      <w:pPr>
        <w:pStyle w:val="Textonotapie"/>
        <w:jc w:val="both"/>
      </w:pPr>
      <w:r>
        <w:rPr>
          <w:rStyle w:val="Refdenotaalpie"/>
        </w:rPr>
        <w:footnoteRef/>
      </w:r>
      <w:r>
        <w:t xml:space="preserve"> </w:t>
      </w:r>
      <w:r w:rsidRPr="00EB4046">
        <w:t>PÉREZ ALONSO, E.</w:t>
      </w:r>
      <w:r>
        <w:t xml:space="preserve"> </w:t>
      </w:r>
      <w:r w:rsidRPr="00EB4046">
        <w:t>J. (2010), “El concepto jurídico del delito”, en ZUGALDÍA ESPINAR, J.</w:t>
      </w:r>
      <w:r>
        <w:t xml:space="preserve"> </w:t>
      </w:r>
      <w:r w:rsidRPr="00EB4046">
        <w:t>M. (Dir.) y MORENO-TORRES HERRERA, Mª.</w:t>
      </w:r>
      <w:r>
        <w:t xml:space="preserve"> </w:t>
      </w:r>
      <w:r w:rsidRPr="00EB4046">
        <w:t xml:space="preserve">R. (Coord.), </w:t>
      </w:r>
      <w:r w:rsidRPr="00EB4046">
        <w:rPr>
          <w:i/>
        </w:rPr>
        <w:t>Fundamentos de Derecho Penal. Parte General</w:t>
      </w:r>
      <w:r w:rsidRPr="00EB4046">
        <w:t>, Valencia, Tirant lo Blanch</w:t>
      </w:r>
      <w:r>
        <w:t>, p. 207</w:t>
      </w:r>
      <w:r w:rsidRPr="00EB4046">
        <w:t>.</w:t>
      </w:r>
    </w:p>
  </w:footnote>
  <w:footnote w:id="13">
    <w:p w:rsidR="004D60B2" w:rsidRDefault="004D60B2" w:rsidP="001A7AE3">
      <w:pPr>
        <w:pStyle w:val="Textonotapie"/>
        <w:jc w:val="both"/>
      </w:pPr>
      <w:r>
        <w:rPr>
          <w:rStyle w:val="Refdenotaalpie"/>
        </w:rPr>
        <w:footnoteRef/>
      </w:r>
      <w:r>
        <w:t xml:space="preserve"> </w:t>
      </w:r>
      <w:r w:rsidRPr="00830E38">
        <w:t xml:space="preserve">QUINTERO OLIVARES, G. (2010), </w:t>
      </w:r>
      <w:r>
        <w:rPr>
          <w:i/>
        </w:rPr>
        <w:t>Parte General del Derecho P</w:t>
      </w:r>
      <w:r w:rsidRPr="006D4B3E">
        <w:rPr>
          <w:i/>
        </w:rPr>
        <w:t>enal</w:t>
      </w:r>
      <w:r w:rsidRPr="00830E38">
        <w:t>, 4ª E</w:t>
      </w:r>
      <w:r>
        <w:t>d., Pamplona, Aranzadi,  p. 372.</w:t>
      </w:r>
    </w:p>
  </w:footnote>
  <w:footnote w:id="14">
    <w:p w:rsidR="004D60B2" w:rsidRDefault="004D60B2" w:rsidP="001A7AE3">
      <w:pPr>
        <w:pStyle w:val="Textonotapie"/>
        <w:jc w:val="both"/>
      </w:pPr>
      <w:r>
        <w:rPr>
          <w:rStyle w:val="Refdenotaalpie"/>
        </w:rPr>
        <w:footnoteRef/>
      </w:r>
      <w:r>
        <w:t xml:space="preserve"> </w:t>
      </w:r>
      <w:r w:rsidRPr="00843C4C">
        <w:t xml:space="preserve">  SILVA SÁNCHEZ, J.</w:t>
      </w:r>
      <w:r>
        <w:t xml:space="preserve"> </w:t>
      </w:r>
      <w:r w:rsidRPr="00843C4C">
        <w:t>M. (1996), "La regulación de la imprudencia y la comisión por omisión en el nuevo Código Penal",</w:t>
      </w:r>
      <w:r>
        <w:t xml:space="preserve"> en</w:t>
      </w:r>
      <w:r w:rsidRPr="00843C4C">
        <w:t xml:space="preserve"> </w:t>
      </w:r>
      <w:r w:rsidRPr="00843C4C">
        <w:rPr>
          <w:i/>
        </w:rPr>
        <w:t>Jornadas sobre el nuevo Código Penal del Ilustre Colegio de Abogados de Barcelona</w:t>
      </w:r>
      <w:r w:rsidRPr="00843C4C">
        <w:t xml:space="preserve">, </w:t>
      </w:r>
      <w:r>
        <w:t>núm.</w:t>
      </w:r>
      <w:r w:rsidRPr="00843C4C">
        <w:t xml:space="preserve"> 127.</w:t>
      </w:r>
    </w:p>
  </w:footnote>
  <w:footnote w:id="15">
    <w:p w:rsidR="004D60B2" w:rsidRDefault="004D60B2" w:rsidP="001A7AE3">
      <w:pPr>
        <w:pStyle w:val="Textonotapie"/>
        <w:jc w:val="both"/>
      </w:pPr>
      <w:r>
        <w:rPr>
          <w:rStyle w:val="Refdenotaalpie"/>
        </w:rPr>
        <w:footnoteRef/>
      </w:r>
      <w:r>
        <w:t xml:space="preserve"> </w:t>
      </w:r>
      <w:r>
        <w:rPr>
          <w:noProof/>
        </w:rPr>
        <w:t xml:space="preserve">QUINTERO OLIVARES, G. (2010), </w:t>
      </w:r>
      <w:r w:rsidRPr="008F545F">
        <w:rPr>
          <w:i/>
          <w:iCs/>
          <w:noProof/>
        </w:rPr>
        <w:t>Parte general del derecho penal</w:t>
      </w:r>
      <w:r w:rsidRPr="00B0653D">
        <w:rPr>
          <w:noProof/>
        </w:rPr>
        <w:t>, 4ª Ed., Pamplona</w:t>
      </w:r>
      <w:r>
        <w:rPr>
          <w:noProof/>
        </w:rPr>
        <w:t>, Aranzadi, p. 262.</w:t>
      </w:r>
    </w:p>
  </w:footnote>
  <w:footnote w:id="16">
    <w:p w:rsidR="004D60B2" w:rsidRDefault="004D60B2" w:rsidP="001A7AE3">
      <w:pPr>
        <w:pStyle w:val="Textonotapie"/>
        <w:jc w:val="both"/>
      </w:pPr>
      <w:r>
        <w:rPr>
          <w:rStyle w:val="Refdenotaalpie"/>
        </w:rPr>
        <w:footnoteRef/>
      </w:r>
      <w:r>
        <w:t xml:space="preserve"> </w:t>
      </w:r>
      <w:r w:rsidRPr="00A82003">
        <w:t xml:space="preserve">LUZÓN PEÑA, D. (2012), </w:t>
      </w:r>
      <w:r w:rsidRPr="00F541F1">
        <w:rPr>
          <w:i/>
        </w:rPr>
        <w:t>Lecciones de Derecho Penal, Parte General</w:t>
      </w:r>
      <w:r w:rsidRPr="00A82003">
        <w:t>, 2ª Ed., Valencia, Tirant Lo Blanch, p. 492.</w:t>
      </w:r>
    </w:p>
  </w:footnote>
  <w:footnote w:id="17">
    <w:p w:rsidR="004D60B2" w:rsidRDefault="004D60B2" w:rsidP="001A7AE3">
      <w:pPr>
        <w:pStyle w:val="Textonotapie"/>
        <w:jc w:val="both"/>
      </w:pPr>
      <w:r>
        <w:rPr>
          <w:rStyle w:val="Refdenotaalpie"/>
        </w:rPr>
        <w:footnoteRef/>
      </w:r>
      <w:r>
        <w:t xml:space="preserve"> La diferencia entre el delito doloso y el imprudente reside en el distinto componente subjetivo: conocer o poder conocer que el autor ha actuado con conocimiento o previsión de los elementos objetivos del tipo. </w:t>
      </w:r>
    </w:p>
  </w:footnote>
  <w:footnote w:id="18">
    <w:p w:rsidR="004D60B2" w:rsidRDefault="004D60B2" w:rsidP="001A7AE3">
      <w:pPr>
        <w:pStyle w:val="Textonotapie"/>
        <w:jc w:val="both"/>
      </w:pPr>
      <w:r>
        <w:rPr>
          <w:rStyle w:val="Refdenotaalpie"/>
        </w:rPr>
        <w:footnoteRef/>
      </w:r>
      <w:r>
        <w:t xml:space="preserve"> </w:t>
      </w:r>
      <w:r w:rsidRPr="00F11BD9">
        <w:rPr>
          <w:noProof/>
        </w:rPr>
        <w:t xml:space="preserve">QUINTERO OLIVARES, G. (2010), </w:t>
      </w:r>
      <w:r>
        <w:rPr>
          <w:i/>
          <w:iCs/>
          <w:noProof/>
        </w:rPr>
        <w:t>Parte General del Derecho P</w:t>
      </w:r>
      <w:r w:rsidRPr="00F11BD9">
        <w:rPr>
          <w:i/>
          <w:iCs/>
          <w:noProof/>
        </w:rPr>
        <w:t>enal</w:t>
      </w:r>
      <w:r>
        <w:rPr>
          <w:i/>
          <w:iCs/>
          <w:noProof/>
        </w:rPr>
        <w:t xml:space="preserve">, </w:t>
      </w:r>
      <w:r w:rsidRPr="00B0653D">
        <w:rPr>
          <w:noProof/>
        </w:rPr>
        <w:t>4ª Ed.,</w:t>
      </w:r>
      <w:r>
        <w:rPr>
          <w:noProof/>
        </w:rPr>
        <w:t xml:space="preserve"> Pamplona, Aranza</w:t>
      </w:r>
      <w:r w:rsidRPr="00F11BD9">
        <w:rPr>
          <w:noProof/>
        </w:rPr>
        <w:t>di,</w:t>
      </w:r>
      <w:r>
        <w:rPr>
          <w:noProof/>
        </w:rPr>
        <w:t xml:space="preserve"> </w:t>
      </w:r>
      <w:r w:rsidRPr="00F11BD9">
        <w:rPr>
          <w:noProof/>
        </w:rPr>
        <w:t xml:space="preserve"> p. </w:t>
      </w:r>
      <w:r>
        <w:rPr>
          <w:noProof/>
        </w:rPr>
        <w:t>371</w:t>
      </w:r>
      <w:r w:rsidRPr="00F11BD9">
        <w:rPr>
          <w:noProof/>
        </w:rPr>
        <w:t>.</w:t>
      </w:r>
    </w:p>
  </w:footnote>
  <w:footnote w:id="19">
    <w:p w:rsidR="004D60B2" w:rsidRDefault="004D60B2" w:rsidP="001A7AE3">
      <w:pPr>
        <w:pStyle w:val="Textonotapie"/>
        <w:jc w:val="both"/>
      </w:pPr>
      <w:r>
        <w:rPr>
          <w:rStyle w:val="Refdenotaalpie"/>
        </w:rPr>
        <w:footnoteRef/>
      </w:r>
      <w:r>
        <w:t xml:space="preserve"> LUZÓN PEÑ</w:t>
      </w:r>
      <w:r w:rsidRPr="00A74DFB">
        <w:t xml:space="preserve">A, D. (2012), </w:t>
      </w:r>
      <w:r w:rsidRPr="00B0653D">
        <w:rPr>
          <w:i/>
          <w:iCs/>
        </w:rPr>
        <w:t>Lecciones de Derecho Penal, Parte General</w:t>
      </w:r>
      <w:r>
        <w:t>, 2ª Ed., Valencia, Tirant Lo Blanch, p. 492.</w:t>
      </w:r>
    </w:p>
  </w:footnote>
  <w:footnote w:id="20">
    <w:p w:rsidR="004D60B2" w:rsidRDefault="004D60B2" w:rsidP="001A7AE3">
      <w:pPr>
        <w:pStyle w:val="Textonotapie"/>
        <w:jc w:val="both"/>
      </w:pPr>
      <w:r>
        <w:rPr>
          <w:rStyle w:val="Refdenotaalpie"/>
        </w:rPr>
        <w:footnoteRef/>
      </w:r>
      <w:r>
        <w:t xml:space="preserve"> p.e. Un conductor decide adelantar en una curva con poca visibilidad invadiendo el carril contrario y ocasionando una colisión mortal.</w:t>
      </w:r>
    </w:p>
  </w:footnote>
  <w:footnote w:id="21">
    <w:p w:rsidR="004D60B2" w:rsidRDefault="004D60B2" w:rsidP="001A7AE3">
      <w:pPr>
        <w:pStyle w:val="Textonotapie"/>
        <w:jc w:val="both"/>
      </w:pPr>
      <w:r>
        <w:rPr>
          <w:rStyle w:val="Refdenotaalpie"/>
        </w:rPr>
        <w:footnoteRef/>
      </w:r>
      <w:r>
        <w:t xml:space="preserve"> En el ejemplo anterior, el conductor cree erróneamente que, si viene un coche de frente, le da tiempo a incorporarse de nuevo a su carril.</w:t>
      </w:r>
    </w:p>
  </w:footnote>
  <w:footnote w:id="22">
    <w:p w:rsidR="004D60B2" w:rsidRDefault="004D60B2" w:rsidP="001A7AE3">
      <w:pPr>
        <w:pStyle w:val="Textonotapie"/>
        <w:jc w:val="both"/>
      </w:pPr>
      <w:r>
        <w:rPr>
          <w:rStyle w:val="Refdenotaalpie"/>
        </w:rPr>
        <w:footnoteRef/>
      </w:r>
      <w:r>
        <w:t xml:space="preserve"> Se trataría del caso del conductor que, sin consciencia de la peligrosidad de su conducta y distraído por la discusión que mantiene con su cónyuge  en el coche, invade el carril contrario y colisiona con otro vehículo que venía de frente.</w:t>
      </w:r>
    </w:p>
  </w:footnote>
  <w:footnote w:id="23">
    <w:p w:rsidR="004D60B2" w:rsidRDefault="004D60B2" w:rsidP="001A7AE3">
      <w:pPr>
        <w:pStyle w:val="Textonotapie"/>
        <w:jc w:val="both"/>
      </w:pPr>
      <w:r>
        <w:rPr>
          <w:rStyle w:val="Refdenotaalpie"/>
        </w:rPr>
        <w:footnoteRef/>
      </w:r>
      <w:r>
        <w:t xml:space="preserve"> Cuando el CP incrimina una conducta imprudente no distingue si dicha imprudencia es consciente o inconsciente. Tampoco desde un punto de vista dogmático tiene relevancia la distinción.</w:t>
      </w:r>
    </w:p>
  </w:footnote>
  <w:footnote w:id="24">
    <w:p w:rsidR="004D60B2" w:rsidRDefault="004D60B2" w:rsidP="001A7AE3">
      <w:pPr>
        <w:pStyle w:val="Textonotapie"/>
        <w:jc w:val="both"/>
      </w:pPr>
      <w:r>
        <w:rPr>
          <w:rStyle w:val="Refdenotaalpie"/>
        </w:rPr>
        <w:footnoteRef/>
      </w:r>
      <w:r>
        <w:t xml:space="preserve"> </w:t>
      </w:r>
      <w:r w:rsidRPr="000E721D">
        <w:t>PÉREZ ALONSO, E.</w:t>
      </w:r>
      <w:r>
        <w:t xml:space="preserve"> </w:t>
      </w:r>
      <w:r w:rsidRPr="000E721D">
        <w:t>J. (2010), “El concepto jurídico del delito”, en ZUGALDÍA ESPINAR, J.</w:t>
      </w:r>
      <w:r>
        <w:t xml:space="preserve"> </w:t>
      </w:r>
      <w:r w:rsidRPr="000E721D">
        <w:t>M. (Dir.) y MORENO-TORRES HERRERA, Mª.</w:t>
      </w:r>
      <w:r>
        <w:t xml:space="preserve"> </w:t>
      </w:r>
      <w:r w:rsidRPr="000E721D">
        <w:t xml:space="preserve">R. (Coord.), </w:t>
      </w:r>
      <w:r w:rsidRPr="000E721D">
        <w:rPr>
          <w:i/>
        </w:rPr>
        <w:t>Fundamentos de Derecho Penal. Parte General</w:t>
      </w:r>
      <w:r w:rsidRPr="000E721D">
        <w:t>, Valencia, Tirant lo Blanch</w:t>
      </w:r>
      <w:r>
        <w:t>, p. 206</w:t>
      </w:r>
      <w:r w:rsidRPr="000E721D">
        <w:t>.</w:t>
      </w:r>
    </w:p>
  </w:footnote>
  <w:footnote w:id="25">
    <w:p w:rsidR="004D60B2" w:rsidRDefault="004D60B2" w:rsidP="001A7AE3">
      <w:pPr>
        <w:pStyle w:val="Textonotapie"/>
        <w:jc w:val="both"/>
      </w:pPr>
      <w:r>
        <w:rPr>
          <w:rStyle w:val="Refdenotaalpie"/>
        </w:rPr>
        <w:footnoteRef/>
      </w:r>
      <w:r>
        <w:t xml:space="preserve"> </w:t>
      </w:r>
      <w:r w:rsidRPr="00EB4046">
        <w:t>PÉREZ ALONSO, E.</w:t>
      </w:r>
      <w:r>
        <w:t xml:space="preserve"> </w:t>
      </w:r>
      <w:r w:rsidRPr="00EB4046">
        <w:t>J. (2010), “El concepto jurídico del delito”, en ZUGALDÍA ESPINAR, J.</w:t>
      </w:r>
      <w:r>
        <w:t xml:space="preserve"> </w:t>
      </w:r>
      <w:r w:rsidRPr="00EB4046">
        <w:t>M. (Di</w:t>
      </w:r>
      <w:r>
        <w:t xml:space="preserve">r.) y MORENO-TORRES HERRERA, Mª. </w:t>
      </w:r>
      <w:r w:rsidRPr="00EB4046">
        <w:t>R. (Coord.), Fundamentos de Derecho Penal. Parte General, Valencia, Tirant lo Blanch</w:t>
      </w:r>
      <w:r>
        <w:t>, p. 207</w:t>
      </w:r>
      <w:r w:rsidRPr="00EB4046">
        <w:t>.</w:t>
      </w:r>
    </w:p>
  </w:footnote>
  <w:footnote w:id="26">
    <w:p w:rsidR="004D60B2" w:rsidRDefault="004D60B2" w:rsidP="001A7AE3">
      <w:pPr>
        <w:pStyle w:val="Textonotapie"/>
        <w:jc w:val="both"/>
      </w:pPr>
      <w:r>
        <w:rPr>
          <w:rStyle w:val="Refdenotaalpie"/>
        </w:rPr>
        <w:footnoteRef/>
      </w:r>
      <w:r>
        <w:t xml:space="preserve"> p.e. Responde por homicidio imprudente el policía que se pone a limpiar su arma reglamentaria delante de varios compañeros y, tras realizar una manipulación defectuosa de la misma, sin haber comprobado previamente si estaba descargada, realiza un disparo que causa la muerte de uno de ellos; o el padre que está vistiendo a su hijo recién nacido y lo deja encima de la mesa para atender una importante llamada telefónica que esperaba, mientras que el niño se mueve y cae de la mesa al suelo produciéndose un traumatismo craneoencefálico.</w:t>
      </w:r>
    </w:p>
  </w:footnote>
  <w:footnote w:id="27">
    <w:p w:rsidR="004D60B2" w:rsidRPr="002A74AA" w:rsidRDefault="004D60B2" w:rsidP="001A7AE3">
      <w:pPr>
        <w:pStyle w:val="Textonotapie"/>
        <w:jc w:val="both"/>
        <w:rPr>
          <w:color w:val="000000"/>
        </w:rPr>
      </w:pPr>
      <w:r w:rsidRPr="002A74AA">
        <w:rPr>
          <w:rStyle w:val="Refdenotaalpie"/>
          <w:color w:val="000000"/>
        </w:rPr>
        <w:footnoteRef/>
      </w:r>
      <w:r w:rsidRPr="002A74AA">
        <w:rPr>
          <w:color w:val="000000"/>
        </w:rPr>
        <w:t xml:space="preserve"> TORÍO LÓPEZ, A. (1980), “</w:t>
      </w:r>
      <w:r w:rsidRPr="002A74AA">
        <w:rPr>
          <w:i/>
          <w:iCs/>
          <w:color w:val="000000"/>
        </w:rPr>
        <w:t>El conocimiento de la antijuricidad en el delito culposo”</w:t>
      </w:r>
      <w:r w:rsidRPr="002A74AA">
        <w:rPr>
          <w:color w:val="000000"/>
        </w:rPr>
        <w:t xml:space="preserve">, en </w:t>
      </w:r>
      <w:r w:rsidRPr="002A74AA">
        <w:rPr>
          <w:i/>
          <w:color w:val="000000"/>
        </w:rPr>
        <w:t>Anuario de Derecho Penal</w:t>
      </w:r>
      <w:r w:rsidRPr="002A74AA">
        <w:rPr>
          <w:color w:val="000000"/>
        </w:rPr>
        <w:t>, p. 87.</w:t>
      </w:r>
    </w:p>
  </w:footnote>
  <w:footnote w:id="28">
    <w:p w:rsidR="004D60B2" w:rsidRPr="002A74AA" w:rsidRDefault="004D60B2" w:rsidP="001A7AE3">
      <w:pPr>
        <w:pStyle w:val="Textonotapie"/>
        <w:jc w:val="both"/>
        <w:rPr>
          <w:color w:val="000000"/>
        </w:rPr>
      </w:pPr>
      <w:r w:rsidRPr="002A74AA">
        <w:rPr>
          <w:rStyle w:val="Refdenotaalpie"/>
          <w:color w:val="000000"/>
        </w:rPr>
        <w:footnoteRef/>
      </w:r>
      <w:r w:rsidRPr="002A74AA">
        <w:rPr>
          <w:color w:val="000000"/>
        </w:rPr>
        <w:t xml:space="preserve"> QUINTANO RIPOLLÉS, A. (1958), </w:t>
      </w:r>
      <w:r w:rsidRPr="002A74AA">
        <w:rPr>
          <w:i/>
          <w:iCs/>
          <w:color w:val="000000"/>
        </w:rPr>
        <w:t>Derecho Penal de la Culpa</w:t>
      </w:r>
      <w:r w:rsidRPr="002A74AA">
        <w:rPr>
          <w:color w:val="000000"/>
        </w:rPr>
        <w:t>, Barcelona, Bosch, pp. 264-266.</w:t>
      </w:r>
    </w:p>
  </w:footnote>
  <w:footnote w:id="29">
    <w:p w:rsidR="004D60B2" w:rsidRPr="002A74AA" w:rsidRDefault="004D60B2" w:rsidP="001A7AE3">
      <w:pPr>
        <w:pStyle w:val="Textonotapie"/>
        <w:jc w:val="both"/>
        <w:rPr>
          <w:color w:val="000000"/>
        </w:rPr>
      </w:pPr>
      <w:r w:rsidRPr="002A74AA">
        <w:rPr>
          <w:rStyle w:val="Refdenotaalpie"/>
          <w:color w:val="000000"/>
        </w:rPr>
        <w:footnoteRef/>
      </w:r>
      <w:r w:rsidRPr="002A74AA">
        <w:rPr>
          <w:color w:val="000000"/>
        </w:rPr>
        <w:t xml:space="preserve"> STRUENSEE, E (1987), “El tipo subjetivo del delito imprudente”, en </w:t>
      </w:r>
      <w:r w:rsidRPr="002A74AA">
        <w:rPr>
          <w:i/>
          <w:color w:val="000000"/>
        </w:rPr>
        <w:t>Anuario de Derecho Penal</w:t>
      </w:r>
      <w:r w:rsidRPr="002A74AA">
        <w:rPr>
          <w:color w:val="000000"/>
        </w:rPr>
        <w:t>, pp. 440.</w:t>
      </w:r>
    </w:p>
  </w:footnote>
  <w:footnote w:id="30">
    <w:p w:rsidR="004D60B2" w:rsidRDefault="004D60B2" w:rsidP="001A7AE3">
      <w:pPr>
        <w:pStyle w:val="Textonotapie"/>
        <w:jc w:val="both"/>
      </w:pPr>
      <w:r w:rsidRPr="002A74AA">
        <w:rPr>
          <w:rStyle w:val="Refdenotaalpie"/>
          <w:color w:val="000000"/>
        </w:rPr>
        <w:footnoteRef/>
      </w:r>
      <w:r w:rsidRPr="002A74AA">
        <w:rPr>
          <w:color w:val="000000"/>
        </w:rPr>
        <w:t xml:space="preserve"> STS 636/2002</w:t>
      </w:r>
      <w:r>
        <w:rPr>
          <w:color w:val="000000"/>
        </w:rPr>
        <w:t>,</w:t>
      </w:r>
      <w:r w:rsidRPr="002A74AA">
        <w:rPr>
          <w:color w:val="000000"/>
        </w:rPr>
        <w:t xml:space="preserve"> de 15 abril de 2002 (FD segundo).</w:t>
      </w:r>
    </w:p>
  </w:footnote>
  <w:footnote w:id="31">
    <w:p w:rsidR="004D60B2" w:rsidRDefault="004D60B2" w:rsidP="001A7AE3">
      <w:pPr>
        <w:pStyle w:val="Textonotapie"/>
        <w:jc w:val="both"/>
      </w:pPr>
      <w:r>
        <w:rPr>
          <w:rStyle w:val="Refdenotaalpie"/>
        </w:rPr>
        <w:footnoteRef/>
      </w:r>
      <w:r>
        <w:t xml:space="preserve"> La imprudencia admite ser graduada y con ello la pena a imponer. Tradicionalmente, nuestro CP, a la hora de graduar la imprudencia, distinguía entre </w:t>
      </w:r>
      <w:r w:rsidRPr="00361A31">
        <w:t>la imprudencia temeraria (la única que podía dar lugar a delito) o simple con o sin infracción de reglamentos</w:t>
      </w:r>
      <w:r>
        <w:t xml:space="preserve">.  Posteriormente, en el </w:t>
      </w:r>
      <w:r w:rsidRPr="00361A31">
        <w:t>CP de 1995</w:t>
      </w:r>
      <w:r>
        <w:t>,</w:t>
      </w:r>
      <w:r w:rsidRPr="00361A31">
        <w:t xml:space="preserve"> </w:t>
      </w:r>
      <w:r>
        <w:t>l</w:t>
      </w:r>
      <w:r w:rsidRPr="00361A31">
        <w:t xml:space="preserve">a imprudencia punible pasa a configurarse como grave y leve, equiparándose la imprudencia grave a la clásica temeraria y la imprudencia leve a la simple, en sus dos modalidades, desapareciendo cualquier referencia punitiva </w:t>
      </w:r>
      <w:r>
        <w:t xml:space="preserve">de la infracción de reglamentos. Si bien, tras la Reforma de 2015, el CP </w:t>
      </w:r>
      <w:r w:rsidRPr="00361A31">
        <w:t xml:space="preserve">rompe con la catalogación de </w:t>
      </w:r>
      <w:r>
        <w:t>imprudencia grave y leve y pasa a configurarse como imprudencia grave o menos grave.</w:t>
      </w:r>
    </w:p>
  </w:footnote>
  <w:footnote w:id="32">
    <w:p w:rsidR="004D60B2" w:rsidRPr="002A74AA" w:rsidRDefault="004D60B2" w:rsidP="001A7AE3">
      <w:pPr>
        <w:spacing w:line="360" w:lineRule="auto"/>
        <w:jc w:val="both"/>
        <w:rPr>
          <w:color w:val="000000"/>
        </w:rPr>
      </w:pPr>
      <w:r>
        <w:rPr>
          <w:rStyle w:val="Refdenotaalpie"/>
        </w:rPr>
        <w:footnoteRef/>
      </w:r>
      <w:r>
        <w:t xml:space="preserve"> </w:t>
      </w:r>
      <w:r w:rsidRPr="00161C6F">
        <w:rPr>
          <w:color w:val="000000"/>
        </w:rPr>
        <w:t xml:space="preserve">RAMOS TAPIA, Mª. I. (2010), “Delitos de acción. La tipicidad (V)” en ZUGALDÍA ESPINAR, J. M. (Dir.) y MORENO-TORRES HERRERA, Mª. R. (Coord.), </w:t>
      </w:r>
      <w:r w:rsidRPr="00161C6F">
        <w:rPr>
          <w:i/>
          <w:color w:val="000000"/>
        </w:rPr>
        <w:t>Fundamentos de Derecho Penal. Parte General</w:t>
      </w:r>
      <w:r>
        <w:rPr>
          <w:color w:val="000000"/>
        </w:rPr>
        <w:t>, Valencia, Tirant lo Blanch, p. 290.</w:t>
      </w:r>
    </w:p>
    <w:p w:rsidR="004D60B2" w:rsidRDefault="004D60B2" w:rsidP="001A7AE3">
      <w:pPr>
        <w:pStyle w:val="Textonotapie"/>
      </w:pPr>
    </w:p>
  </w:footnote>
  <w:footnote w:id="33">
    <w:p w:rsidR="004D60B2" w:rsidRDefault="004D60B2" w:rsidP="001A7AE3">
      <w:pPr>
        <w:pStyle w:val="Textonotapie"/>
        <w:jc w:val="both"/>
      </w:pPr>
      <w:r>
        <w:rPr>
          <w:rStyle w:val="Refdenotaalpie"/>
        </w:rPr>
        <w:footnoteRef/>
      </w:r>
      <w:r>
        <w:t xml:space="preserve"> SUÁREZ-MIRA RODRÍGUEZ, C. y </w:t>
      </w:r>
      <w:r w:rsidRPr="0016732F">
        <w:t>GONZÁLEZ CUSSAC J.</w:t>
      </w:r>
      <w:r>
        <w:t xml:space="preserve"> L. (D</w:t>
      </w:r>
      <w:r w:rsidRPr="0016732F">
        <w:t xml:space="preserve">ir.) (2015), </w:t>
      </w:r>
      <w:r w:rsidRPr="004F132C">
        <w:rPr>
          <w:i/>
        </w:rPr>
        <w:t>Comentarios a la Reforma del Código Penal</w:t>
      </w:r>
      <w:r w:rsidRPr="0016732F">
        <w:t>, Valencia, Tirant Lo Blanch, p. 486.</w:t>
      </w:r>
    </w:p>
  </w:footnote>
  <w:footnote w:id="34">
    <w:p w:rsidR="004D60B2" w:rsidRDefault="004D60B2" w:rsidP="001A7AE3">
      <w:pPr>
        <w:pStyle w:val="Textonotapie"/>
        <w:jc w:val="both"/>
      </w:pPr>
      <w:r>
        <w:rPr>
          <w:rStyle w:val="Refdenotaalpie"/>
        </w:rPr>
        <w:footnoteRef/>
      </w:r>
      <w:r>
        <w:t xml:space="preserve"> SUÁREZ-MIRA RODRÍGUEZ, C. y</w:t>
      </w:r>
      <w:r w:rsidRPr="00462320">
        <w:t xml:space="preserve"> GONZÁLEZ CUSSAC J.</w:t>
      </w:r>
      <w:r>
        <w:t xml:space="preserve"> L. (D</w:t>
      </w:r>
      <w:r w:rsidRPr="00462320">
        <w:t xml:space="preserve">ir.) (2015), </w:t>
      </w:r>
      <w:r w:rsidRPr="004F132C">
        <w:rPr>
          <w:i/>
        </w:rPr>
        <w:t>Comentarios a la Reforma del Código Penal</w:t>
      </w:r>
      <w:r w:rsidRPr="00462320">
        <w:t>, Valencia, Tirant Lo Blanch, p. 486.</w:t>
      </w:r>
    </w:p>
  </w:footnote>
  <w:footnote w:id="35">
    <w:p w:rsidR="004D60B2" w:rsidRDefault="004D60B2" w:rsidP="001A7AE3">
      <w:pPr>
        <w:pStyle w:val="Textonotapie"/>
        <w:jc w:val="both"/>
      </w:pPr>
      <w:r>
        <w:rPr>
          <w:rStyle w:val="Refdenotaalpie"/>
        </w:rPr>
        <w:footnoteRef/>
      </w:r>
      <w:r>
        <w:t xml:space="preserve"> STS 1188/1997, de 3 octubre de 1997 (FD sexto).</w:t>
      </w:r>
    </w:p>
  </w:footnote>
  <w:footnote w:id="36">
    <w:p w:rsidR="004D60B2" w:rsidRPr="002A74AA" w:rsidRDefault="004D60B2" w:rsidP="001A7AE3">
      <w:pPr>
        <w:pStyle w:val="Textonotapie"/>
        <w:jc w:val="both"/>
        <w:rPr>
          <w:color w:val="000000"/>
        </w:rPr>
      </w:pPr>
      <w:r w:rsidRPr="002A74AA">
        <w:rPr>
          <w:rStyle w:val="Refdenotaalpie"/>
          <w:color w:val="000000"/>
        </w:rPr>
        <w:footnoteRef/>
      </w:r>
      <w:r w:rsidRPr="002A74AA">
        <w:rPr>
          <w:color w:val="000000"/>
        </w:rPr>
        <w:t xml:space="preserve"> SUÁREZ-MIRA RODRÍGUEZ, C. y GONZÁLEZ CUSSAC J. L. (Dir.) (2015), </w:t>
      </w:r>
      <w:r w:rsidRPr="002A74AA">
        <w:rPr>
          <w:i/>
          <w:iCs/>
          <w:color w:val="000000"/>
        </w:rPr>
        <w:t>Comentarios a la Reforma del Código Penal</w:t>
      </w:r>
      <w:r w:rsidRPr="002A74AA">
        <w:rPr>
          <w:color w:val="000000"/>
        </w:rPr>
        <w:t>, Valencia, Tirant Lo Blanch, p. 487.</w:t>
      </w:r>
    </w:p>
  </w:footnote>
  <w:footnote w:id="37">
    <w:p w:rsidR="004D60B2" w:rsidRDefault="004D60B2" w:rsidP="001A7AE3">
      <w:pPr>
        <w:pStyle w:val="Textonotapie"/>
        <w:jc w:val="both"/>
      </w:pPr>
      <w:r>
        <w:rPr>
          <w:rStyle w:val="Refdenotaalpie"/>
        </w:rPr>
        <w:footnoteRef/>
      </w:r>
      <w:r>
        <w:t xml:space="preserve">  </w:t>
      </w:r>
      <w:r w:rsidRPr="0071777D">
        <w:t>STS 636/2002</w:t>
      </w:r>
      <w:r>
        <w:t>,</w:t>
      </w:r>
      <w:r w:rsidRPr="0071777D">
        <w:t xml:space="preserve"> de 15 de abril de 2002 (FD tercero).</w:t>
      </w:r>
    </w:p>
  </w:footnote>
  <w:footnote w:id="38">
    <w:p w:rsidR="004D60B2" w:rsidRDefault="004D60B2" w:rsidP="001A7AE3">
      <w:pPr>
        <w:pStyle w:val="Textonotapie"/>
        <w:jc w:val="both"/>
      </w:pPr>
      <w:r>
        <w:rPr>
          <w:rStyle w:val="Refdenotaalpie"/>
        </w:rPr>
        <w:footnoteRef/>
      </w:r>
      <w:r>
        <w:t xml:space="preserve"> STS 159/1976, </w:t>
      </w:r>
      <w:r w:rsidRPr="0071777D">
        <w:t>de 21 de enero de 1976 (FD segundo).</w:t>
      </w:r>
    </w:p>
  </w:footnote>
  <w:footnote w:id="39">
    <w:p w:rsidR="004D60B2" w:rsidRDefault="004D60B2" w:rsidP="001A7AE3">
      <w:pPr>
        <w:pStyle w:val="Textonotapie"/>
        <w:jc w:val="both"/>
      </w:pPr>
      <w:r>
        <w:rPr>
          <w:rStyle w:val="Refdenotaalpie"/>
        </w:rPr>
        <w:footnoteRef/>
      </w:r>
      <w:r>
        <w:t xml:space="preserve"> </w:t>
      </w:r>
      <w:r w:rsidRPr="00926129">
        <w:t>STS 1089/2009</w:t>
      </w:r>
      <w:r>
        <w:t>,</w:t>
      </w:r>
      <w:r w:rsidRPr="00926129">
        <w:t xml:space="preserve"> de 27 de octubre de 2009 (FD tercero).</w:t>
      </w:r>
    </w:p>
  </w:footnote>
  <w:footnote w:id="40">
    <w:p w:rsidR="004D60B2" w:rsidRPr="00F0765C" w:rsidRDefault="004D60B2" w:rsidP="001A7AE3">
      <w:pPr>
        <w:pStyle w:val="Textonotapie"/>
        <w:jc w:val="both"/>
        <w:rPr>
          <w:color w:val="000000"/>
        </w:rPr>
      </w:pPr>
      <w:r w:rsidRPr="00F0765C">
        <w:rPr>
          <w:rStyle w:val="Refdenotaalpie"/>
          <w:color w:val="000000"/>
        </w:rPr>
        <w:footnoteRef/>
      </w:r>
      <w:r w:rsidRPr="00F0765C">
        <w:rPr>
          <w:color w:val="000000"/>
        </w:rPr>
        <w:t xml:space="preserve"> </w:t>
      </w:r>
      <w:r w:rsidRPr="00580EF6">
        <w:rPr>
          <w:color w:val="000000"/>
        </w:rPr>
        <w:t>CASTRO CORREDERA, Mª. y GUINARTE CABADA, G. (2015), “La reforma de los delitos de lesiones”, en GONZÁLEZ CUSSAC, J.</w:t>
      </w:r>
      <w:r>
        <w:rPr>
          <w:color w:val="000000"/>
        </w:rPr>
        <w:t xml:space="preserve"> </w:t>
      </w:r>
      <w:r w:rsidRPr="00580EF6">
        <w:rPr>
          <w:color w:val="000000"/>
        </w:rPr>
        <w:t xml:space="preserve">L. (Dir.), </w:t>
      </w:r>
      <w:r w:rsidRPr="00580EF6">
        <w:rPr>
          <w:i/>
          <w:color w:val="000000"/>
        </w:rPr>
        <w:t>Comentarios a la Reforma del Código Penal de 2015</w:t>
      </w:r>
      <w:r>
        <w:rPr>
          <w:color w:val="000000"/>
        </w:rPr>
        <w:t>, Valencia, Tirant lo Blanch</w:t>
      </w:r>
      <w:r w:rsidRPr="00F0765C">
        <w:rPr>
          <w:color w:val="000000"/>
        </w:rPr>
        <w:t>, p. 494.</w:t>
      </w:r>
    </w:p>
  </w:footnote>
  <w:footnote w:id="41">
    <w:p w:rsidR="004D60B2" w:rsidRDefault="004D60B2" w:rsidP="001A7AE3">
      <w:pPr>
        <w:pStyle w:val="Textonotapie"/>
        <w:jc w:val="both"/>
      </w:pPr>
      <w:r>
        <w:rPr>
          <w:rStyle w:val="Refdenotaalpie"/>
        </w:rPr>
        <w:footnoteRef/>
      </w:r>
      <w:r>
        <w:t xml:space="preserve"> </w:t>
      </w:r>
      <w:r w:rsidRPr="00926129">
        <w:t>STS 665/2004</w:t>
      </w:r>
      <w:r>
        <w:t>,</w:t>
      </w:r>
      <w:r w:rsidRPr="00926129">
        <w:t xml:space="preserve"> de 30 de junio de 2004 (FD segundo).</w:t>
      </w:r>
    </w:p>
  </w:footnote>
  <w:footnote w:id="42">
    <w:p w:rsidR="004D60B2" w:rsidRDefault="004D60B2" w:rsidP="001A7AE3">
      <w:pPr>
        <w:pStyle w:val="Textonotapie"/>
      </w:pPr>
      <w:r>
        <w:rPr>
          <w:rStyle w:val="Refdenotaalpie"/>
        </w:rPr>
        <w:footnoteRef/>
      </w:r>
      <w:r>
        <w:t xml:space="preserve"> El intento de impedir el resultado puede ser valorado de manera indiciaria, para descartar el dolo en la conducta del autor, pero no para calificar la gravedad de la imprudencia.</w:t>
      </w:r>
    </w:p>
  </w:footnote>
  <w:footnote w:id="43">
    <w:p w:rsidR="004D60B2" w:rsidRDefault="004D60B2" w:rsidP="001A7AE3">
      <w:pPr>
        <w:pStyle w:val="Textonotapie"/>
        <w:jc w:val="both"/>
      </w:pPr>
      <w:r>
        <w:rPr>
          <w:rStyle w:val="Refdenotaalpie"/>
        </w:rPr>
        <w:footnoteRef/>
      </w:r>
      <w:r>
        <w:t xml:space="preserve"> STS 1089/2009, de 27 de octubre de 2009 (FD tercero).</w:t>
      </w:r>
    </w:p>
  </w:footnote>
  <w:footnote w:id="44">
    <w:p w:rsidR="004D60B2" w:rsidRPr="00F0765C" w:rsidRDefault="004D60B2" w:rsidP="001A7AE3">
      <w:pPr>
        <w:pStyle w:val="Textonotapie"/>
        <w:jc w:val="both"/>
        <w:rPr>
          <w:color w:val="000000"/>
        </w:rPr>
      </w:pPr>
      <w:r w:rsidRPr="00F0765C">
        <w:rPr>
          <w:rStyle w:val="Refdenotaalpie"/>
          <w:color w:val="000000"/>
        </w:rPr>
        <w:footnoteRef/>
      </w:r>
      <w:r w:rsidRPr="00F0765C">
        <w:rPr>
          <w:color w:val="000000"/>
        </w:rPr>
        <w:t xml:space="preserve"> TAMARIT SUMALLA, J. Mª, </w:t>
      </w:r>
      <w:r>
        <w:rPr>
          <w:color w:val="000000"/>
        </w:rPr>
        <w:t>“</w:t>
      </w:r>
      <w:r w:rsidRPr="00F0765C">
        <w:rPr>
          <w:color w:val="000000"/>
        </w:rPr>
        <w:t>De las lesiones</w:t>
      </w:r>
      <w:r>
        <w:rPr>
          <w:color w:val="000000"/>
        </w:rPr>
        <w:t>”</w:t>
      </w:r>
      <w:r w:rsidRPr="00F0765C">
        <w:rPr>
          <w:color w:val="000000"/>
        </w:rPr>
        <w:t xml:space="preserve">, en QUINTERO OLIVARES, G. (2008) (Dir.), </w:t>
      </w:r>
      <w:r w:rsidRPr="00F0765C">
        <w:rPr>
          <w:i/>
          <w:iCs/>
          <w:color w:val="000000"/>
        </w:rPr>
        <w:t>Comentarios al Código Penal. Tomo II. Parte Especial</w:t>
      </w:r>
      <w:r w:rsidRPr="00F0765C">
        <w:rPr>
          <w:color w:val="000000"/>
        </w:rPr>
        <w:t>, 5ª Ed., Cizur Menor (Navarra</w:t>
      </w:r>
      <w:r>
        <w:rPr>
          <w:color w:val="000000"/>
        </w:rPr>
        <w:t>)</w:t>
      </w:r>
      <w:r w:rsidRPr="00F0765C">
        <w:rPr>
          <w:color w:val="000000"/>
        </w:rPr>
        <w:t xml:space="preserve"> Thomson Aranzadi, pp. 742 y ss.</w:t>
      </w:r>
    </w:p>
  </w:footnote>
  <w:footnote w:id="45">
    <w:p w:rsidR="004D60B2" w:rsidRPr="00580EF6" w:rsidRDefault="004D60B2" w:rsidP="001A7AE3">
      <w:pPr>
        <w:spacing w:line="360" w:lineRule="auto"/>
        <w:jc w:val="both"/>
        <w:rPr>
          <w:color w:val="000000"/>
        </w:rPr>
      </w:pPr>
      <w:r w:rsidRPr="00580EF6">
        <w:rPr>
          <w:rStyle w:val="Refdenotaalpie"/>
        </w:rPr>
        <w:footnoteRef/>
      </w:r>
      <w:r>
        <w:t xml:space="preserve"> </w:t>
      </w:r>
      <w:r w:rsidRPr="00580EF6">
        <w:t>SUÁREZ</w:t>
      </w:r>
      <w:r w:rsidRPr="00580EF6">
        <w:rPr>
          <w:color w:val="000000"/>
        </w:rPr>
        <w:t xml:space="preserve">-MIRA RODRÍGUEZ, C. (2015), “Del homicidio y sus formas”, en GONZÁLEZ CUSSAC, J. L. (Dir.), </w:t>
      </w:r>
      <w:r w:rsidRPr="00580EF6">
        <w:rPr>
          <w:i/>
          <w:iCs/>
          <w:color w:val="000000"/>
        </w:rPr>
        <w:t>Comentarios a la Reforma del Código Penal de 2015</w:t>
      </w:r>
      <w:r w:rsidRPr="00580EF6">
        <w:rPr>
          <w:color w:val="000000"/>
        </w:rPr>
        <w:t xml:space="preserve">, Valencia, Tirant lo </w:t>
      </w:r>
      <w:r w:rsidRPr="00580EF6">
        <w:t>Blanch, p. 486.</w:t>
      </w:r>
    </w:p>
  </w:footnote>
  <w:footnote w:id="46">
    <w:p w:rsidR="004D60B2" w:rsidRDefault="004D60B2" w:rsidP="001A7AE3">
      <w:pPr>
        <w:pStyle w:val="Textonotapie"/>
        <w:jc w:val="both"/>
      </w:pPr>
      <w:r>
        <w:rPr>
          <w:rStyle w:val="Refdenotaalpie"/>
        </w:rPr>
        <w:footnoteRef/>
      </w:r>
      <w:r>
        <w:t xml:space="preserve"> SUÁREZ-MIRA RODRÍGUEZ, C. </w:t>
      </w:r>
      <w:r w:rsidRPr="00580EF6">
        <w:t xml:space="preserve">(2015), “Del homicidio y sus formas”, en </w:t>
      </w:r>
      <w:r w:rsidRPr="00ED1C90">
        <w:t>GONZÁLEZ CUSSAC J.</w:t>
      </w:r>
      <w:r>
        <w:t xml:space="preserve"> L. (D</w:t>
      </w:r>
      <w:r w:rsidRPr="00ED1C90">
        <w:t xml:space="preserve">ir.) (2015), </w:t>
      </w:r>
      <w:r w:rsidRPr="00580EF6">
        <w:rPr>
          <w:i/>
        </w:rPr>
        <w:t>Comentarios a la Reforma del Código Penal</w:t>
      </w:r>
      <w:r w:rsidRPr="00ED1C90">
        <w:t>, Valencia, Tirant Lo Blanch, p. 486.</w:t>
      </w:r>
    </w:p>
  </w:footnote>
  <w:footnote w:id="47">
    <w:p w:rsidR="004D60B2" w:rsidRDefault="004D60B2" w:rsidP="001A7AE3">
      <w:pPr>
        <w:pStyle w:val="Textonotapie"/>
        <w:jc w:val="both"/>
      </w:pPr>
      <w:r>
        <w:rPr>
          <w:rStyle w:val="Refdenotaalpie"/>
        </w:rPr>
        <w:footnoteRef/>
      </w:r>
      <w:r>
        <w:t xml:space="preserve"> STS 636/2002, </w:t>
      </w:r>
      <w:r w:rsidRPr="0071777D">
        <w:t>de 15 abril de 2002 (FD tercero).</w:t>
      </w:r>
    </w:p>
  </w:footnote>
  <w:footnote w:id="48">
    <w:p w:rsidR="004D60B2" w:rsidRDefault="004D60B2" w:rsidP="001A7AE3">
      <w:pPr>
        <w:pStyle w:val="Textonotapie"/>
        <w:jc w:val="both"/>
      </w:pPr>
      <w:r>
        <w:rPr>
          <w:rStyle w:val="Refdenotaalpie"/>
        </w:rPr>
        <w:footnoteRef/>
      </w:r>
      <w:r>
        <w:t xml:space="preserve"> </w:t>
      </w:r>
      <w:r w:rsidRPr="00066F63">
        <w:t>STS 720/2003</w:t>
      </w:r>
      <w:r>
        <w:t>,</w:t>
      </w:r>
      <w:r w:rsidRPr="00066F63">
        <w:t xml:space="preserve"> de 21 de mayo de 2003 (FD primero); STS 256/2006</w:t>
      </w:r>
      <w:r>
        <w:t>,</w:t>
      </w:r>
      <w:r w:rsidRPr="00066F63">
        <w:t xml:space="preserve"> de 10 </w:t>
      </w:r>
      <w:r>
        <w:t>de</w:t>
      </w:r>
      <w:r w:rsidRPr="00066F63">
        <w:t xml:space="preserve"> febrero de 2006 (FD décimo).</w:t>
      </w:r>
    </w:p>
  </w:footnote>
  <w:footnote w:id="49">
    <w:p w:rsidR="004D60B2" w:rsidRDefault="004D60B2" w:rsidP="001A7AE3">
      <w:pPr>
        <w:pStyle w:val="Textonotapie"/>
      </w:pPr>
      <w:r>
        <w:rPr>
          <w:rStyle w:val="Refdenotaalpie"/>
        </w:rPr>
        <w:footnoteRef/>
      </w:r>
      <w:r>
        <w:t xml:space="preserve"> </w:t>
      </w:r>
      <w:r w:rsidRPr="00A43DB0">
        <w:t xml:space="preserve">STS </w:t>
      </w:r>
      <w:r>
        <w:t>282/2005</w:t>
      </w:r>
      <w:r w:rsidRPr="00A43DB0">
        <w:t xml:space="preserve">, de </w:t>
      </w:r>
      <w:r>
        <w:t>4</w:t>
      </w:r>
      <w:r w:rsidRPr="00A43DB0">
        <w:t xml:space="preserve"> de </w:t>
      </w:r>
      <w:r>
        <w:t>marzo</w:t>
      </w:r>
      <w:r w:rsidRPr="00A43DB0">
        <w:t xml:space="preserve"> de 200</w:t>
      </w:r>
      <w:r>
        <w:t>5</w:t>
      </w:r>
      <w:r w:rsidRPr="00A43DB0">
        <w:t xml:space="preserve"> (FD </w:t>
      </w:r>
      <w:r>
        <w:t>tercero</w:t>
      </w:r>
      <w:r w:rsidRPr="00A43DB0">
        <w:t xml:space="preserve">); STS </w:t>
      </w:r>
      <w:r>
        <w:t>1550</w:t>
      </w:r>
      <w:r w:rsidRPr="00A43DB0">
        <w:t>/200</w:t>
      </w:r>
      <w:r>
        <w:t>0, de 10 de octubre</w:t>
      </w:r>
      <w:r w:rsidRPr="00A43DB0">
        <w:t xml:space="preserve"> de 200</w:t>
      </w:r>
      <w:r>
        <w:t>0</w:t>
      </w:r>
      <w:r w:rsidRPr="00A43DB0">
        <w:t xml:space="preserve"> (FD </w:t>
      </w:r>
      <w:r>
        <w:t>único</w:t>
      </w:r>
      <w:r w:rsidRPr="00A43DB0">
        <w:t>).</w:t>
      </w:r>
    </w:p>
  </w:footnote>
  <w:footnote w:id="50">
    <w:p w:rsidR="004D60B2" w:rsidRDefault="004D60B2" w:rsidP="001A7AE3">
      <w:pPr>
        <w:pStyle w:val="Textonotapie"/>
        <w:jc w:val="both"/>
      </w:pPr>
      <w:r>
        <w:rPr>
          <w:rStyle w:val="Refdenotaalpie"/>
        </w:rPr>
        <w:footnoteRef/>
      </w:r>
      <w:r>
        <w:t xml:space="preserve"> </w:t>
      </w:r>
      <w:r w:rsidRPr="00EA1DA0">
        <w:t>La Instrucción 3/2006 de la Fiscalía General del Estado dispone que se ha venido instaurando en la práctica un criterio ciertamente restrictivo a la hora de calificar como delictivas las imprudencias cometidas en el ámbito de la circulación de vehículos a motor, de manera que, la mayoría de los accidentes de tráfico con resultados mortales o lesivos se tramitan como juicios de faltas, reservando la calificación de delito para aquellos casos en que se decreta ab initio un elemento de riesgo nítidamente delictivo como una especial o flagrante temeridad o la influencia del alcohol en la conducción.) que promueven la actuación del Ministerio Fiscal en relación con este tipo de procesos. Así la Instrucción 3/2006 aboga por una mayor implicación en el proceso de discriminación entre delitos y faltas, para reconducir de oficio las infracciones graves al cauce procesal que les es propio desde el entendimiento de que la seguridad vial es un bien de interés público con independencia de la decisión de la víctima. Alegando que solo así será posible que cada conducta obtenga la respuesta penal adecuada a su gravedad e irá perdiendo fuerza la actual percepción de que la responsabilidad penal, incluso por hechos graves, se puede comprar a través del pago de las indemnizaciones.</w:t>
      </w:r>
    </w:p>
  </w:footnote>
  <w:footnote w:id="51">
    <w:p w:rsidR="004D60B2" w:rsidRDefault="004D60B2">
      <w:pPr>
        <w:pStyle w:val="Textonotapie"/>
      </w:pPr>
      <w:r>
        <w:rPr>
          <w:rStyle w:val="Refdenotaalpie"/>
        </w:rPr>
        <w:footnoteRef/>
      </w:r>
      <w:r>
        <w:t xml:space="preserve"> </w:t>
      </w:r>
      <w:r w:rsidRPr="00486CE9">
        <w:t>El TS establece que el resultado producido no es determinante por sí mismo de la calificación del hecho, sino que la calificación jurídico penal ha de atender esencialmente al desvalor de la acción, es decir, al grado de negligencia con que</w:t>
      </w:r>
      <w:r>
        <w:t xml:space="preserve"> se conduce el autor del hecho.</w:t>
      </w:r>
    </w:p>
  </w:footnote>
  <w:footnote w:id="52">
    <w:p w:rsidR="004D60B2" w:rsidRDefault="004D60B2" w:rsidP="007139FC">
      <w:pPr>
        <w:pStyle w:val="Textonotapie"/>
        <w:jc w:val="both"/>
      </w:pPr>
      <w:r>
        <w:rPr>
          <w:rStyle w:val="Refdenotaalpie"/>
        </w:rPr>
        <w:footnoteRef/>
      </w:r>
      <w:r>
        <w:t xml:space="preserve"> DOVAL PAÍS, A</w:t>
      </w:r>
      <w:r w:rsidRPr="001404E7">
        <w:t>. (2015), “</w:t>
      </w:r>
      <w:r>
        <w:t>El nuevo régimen penal de las imprudencias menos graves y leves”</w:t>
      </w:r>
      <w:r w:rsidRPr="001404E7">
        <w:t xml:space="preserve">, en QUINTERO OLIVARES G. (Dir.), </w:t>
      </w:r>
      <w:r w:rsidRPr="007904D6">
        <w:rPr>
          <w:i/>
        </w:rPr>
        <w:t>Comentario a la Reforma Penal de 2015</w:t>
      </w:r>
      <w:r>
        <w:t>,</w:t>
      </w:r>
      <w:r w:rsidRPr="001404E7">
        <w:t xml:space="preserve"> Ci</w:t>
      </w:r>
      <w:r>
        <w:t>z</w:t>
      </w:r>
      <w:r w:rsidRPr="001404E7">
        <w:t>ur</w:t>
      </w:r>
      <w:r>
        <w:t xml:space="preserve"> Menor (Navarra), Aranzadi, p. 3</w:t>
      </w:r>
      <w:r w:rsidRPr="001404E7">
        <w:t>33.</w:t>
      </w:r>
    </w:p>
  </w:footnote>
  <w:footnote w:id="53">
    <w:p w:rsidR="004D60B2" w:rsidRDefault="004D60B2" w:rsidP="001A7AE3">
      <w:pPr>
        <w:pStyle w:val="Textonotapie"/>
        <w:jc w:val="both"/>
      </w:pPr>
      <w:r>
        <w:rPr>
          <w:rStyle w:val="Refdenotaalpie"/>
        </w:rPr>
        <w:footnoteRef/>
      </w:r>
      <w:r>
        <w:t xml:space="preserve"> DOVAL PAÍS, A</w:t>
      </w:r>
      <w:r w:rsidRPr="00361BFF">
        <w:t>. (2015), “</w:t>
      </w:r>
      <w:r>
        <w:t>El nuevo régimen penal de las imprudencias menos graves y leves”</w:t>
      </w:r>
      <w:r w:rsidRPr="00361BFF">
        <w:t xml:space="preserve">, en QUINTERO OLIVARES G. (Dir.), </w:t>
      </w:r>
      <w:r w:rsidRPr="00361BFF">
        <w:rPr>
          <w:i/>
          <w:iCs/>
        </w:rPr>
        <w:t>Comentario a la Reforma Penal de 2015</w:t>
      </w:r>
      <w:r>
        <w:t>,</w:t>
      </w:r>
      <w:r w:rsidRPr="00361BFF">
        <w:t xml:space="preserve"> Ci</w:t>
      </w:r>
      <w:r>
        <w:t>z</w:t>
      </w:r>
      <w:r w:rsidRPr="00361BFF">
        <w:t>ur</w:t>
      </w:r>
      <w:r>
        <w:t xml:space="preserve"> Menor (Navarra), Aranzadi, p. 335</w:t>
      </w:r>
      <w:r w:rsidRPr="00361BFF">
        <w:t>.</w:t>
      </w:r>
    </w:p>
  </w:footnote>
  <w:footnote w:id="54">
    <w:p w:rsidR="004D60B2" w:rsidRDefault="004D60B2" w:rsidP="001A7AE3">
      <w:pPr>
        <w:pStyle w:val="Textonotapie"/>
        <w:jc w:val="both"/>
      </w:pPr>
      <w:r>
        <w:rPr>
          <w:rStyle w:val="Refdenotaalpie"/>
        </w:rPr>
        <w:footnoteRef/>
      </w:r>
      <w:r>
        <w:t xml:space="preserve"> </w:t>
      </w:r>
      <w:r w:rsidRPr="007904D6">
        <w:t xml:space="preserve">CASTRO CORREDERA, Mª. y GUINARTE CABADA, G. (2015), “La reforma de los delitos de lesiones”, en GONZÁLEZ CUSSAC, J. L. (Dir.), </w:t>
      </w:r>
      <w:r w:rsidRPr="0016156E">
        <w:rPr>
          <w:i/>
        </w:rPr>
        <w:t>Comentarios a la Reforma del Código Penal de 2015</w:t>
      </w:r>
      <w:r>
        <w:t>, Valencia, Tirant lo Blanch</w:t>
      </w:r>
      <w:r w:rsidRPr="00F47849">
        <w:t>, p. 494.</w:t>
      </w:r>
    </w:p>
  </w:footnote>
  <w:footnote w:id="55">
    <w:p w:rsidR="004D60B2" w:rsidRDefault="004D60B2" w:rsidP="001A7AE3">
      <w:pPr>
        <w:pStyle w:val="Textonotapie"/>
        <w:jc w:val="both"/>
      </w:pPr>
      <w:r>
        <w:rPr>
          <w:rStyle w:val="Refdenotaalpie"/>
        </w:rPr>
        <w:footnoteRef/>
      </w:r>
      <w:r>
        <w:t xml:space="preserve"> </w:t>
      </w:r>
      <w:r w:rsidRPr="0016156E">
        <w:t xml:space="preserve">SUÁREZ-MIRA RODRÍGUEZ, C. (2015), “Del homicidio y sus formas”, en GONZÁLEZ CUSSAC, J. L. (Dir.), </w:t>
      </w:r>
      <w:r w:rsidRPr="0016156E">
        <w:rPr>
          <w:i/>
        </w:rPr>
        <w:t>Comentarios a la Reforma del Código Penal de 2015</w:t>
      </w:r>
      <w:r w:rsidRPr="0016156E">
        <w:t>, Valencia, Tirant lo Blanch</w:t>
      </w:r>
      <w:r>
        <w:t>, p. 488.</w:t>
      </w:r>
    </w:p>
  </w:footnote>
  <w:footnote w:id="56">
    <w:p w:rsidR="004D60B2" w:rsidRDefault="004D60B2" w:rsidP="001A7AE3">
      <w:pPr>
        <w:pStyle w:val="Textonotapie"/>
        <w:jc w:val="both"/>
      </w:pPr>
      <w:r>
        <w:rPr>
          <w:rStyle w:val="Refdenotaalpie"/>
        </w:rPr>
        <w:footnoteRef/>
      </w:r>
      <w:r>
        <w:t xml:space="preserve"> </w:t>
      </w:r>
      <w:r w:rsidRPr="0016156E">
        <w:t xml:space="preserve">SUÁREZ-MIRA RODRÍGUEZ, C. (2015), “Del homicidio y sus formas”, en GONZÁLEZ CUSSAC, J. L. (Dir.), </w:t>
      </w:r>
      <w:r w:rsidRPr="0016156E">
        <w:rPr>
          <w:i/>
        </w:rPr>
        <w:t>Comentarios a la Reforma del Código Penal de 2015</w:t>
      </w:r>
      <w:r w:rsidRPr="0016156E">
        <w:t>, Valencia, Tirant lo Blanch</w:t>
      </w:r>
      <w:r>
        <w:t>, p. 488.</w:t>
      </w:r>
    </w:p>
  </w:footnote>
  <w:footnote w:id="57">
    <w:p w:rsidR="004D60B2" w:rsidRDefault="004D60B2" w:rsidP="001A7AE3">
      <w:pPr>
        <w:pStyle w:val="Textonotapie"/>
        <w:jc w:val="both"/>
      </w:pPr>
      <w:r>
        <w:rPr>
          <w:rStyle w:val="Refdenotaalpie"/>
        </w:rPr>
        <w:footnoteRef/>
      </w:r>
      <w:r>
        <w:t xml:space="preserve"> DOVAL PAÍS A</w:t>
      </w:r>
      <w:r w:rsidRPr="00BE6935">
        <w:t>. (2015), “</w:t>
      </w:r>
      <w:r>
        <w:t>El nuevo régimen penal de las imprudencias menos graves y leves”</w:t>
      </w:r>
      <w:r w:rsidRPr="00BE6935">
        <w:t xml:space="preserve">, en QUINTERO OLIVARES G. (Dir.), </w:t>
      </w:r>
      <w:r w:rsidRPr="0016156E">
        <w:rPr>
          <w:i/>
        </w:rPr>
        <w:t>Comentario a la Reforma Penal de 2015</w:t>
      </w:r>
      <w:r>
        <w:t>,</w:t>
      </w:r>
      <w:r w:rsidRPr="00BE6935">
        <w:t xml:space="preserve"> Ci</w:t>
      </w:r>
      <w:r>
        <w:t>z</w:t>
      </w:r>
      <w:r w:rsidRPr="00BE6935">
        <w:t xml:space="preserve">ur Menor (Navarra), Aranzadi, p. </w:t>
      </w:r>
      <w:r>
        <w:t>337</w:t>
      </w:r>
      <w:r w:rsidRPr="00BE6935">
        <w:t>.</w:t>
      </w:r>
    </w:p>
  </w:footnote>
  <w:footnote w:id="58">
    <w:p w:rsidR="004D60B2" w:rsidRDefault="004D60B2" w:rsidP="001A7AE3">
      <w:pPr>
        <w:pStyle w:val="Textonotapie"/>
        <w:jc w:val="both"/>
      </w:pPr>
      <w:r>
        <w:rPr>
          <w:rStyle w:val="Refdenotaalpie"/>
        </w:rPr>
        <w:footnoteRef/>
      </w:r>
      <w:r>
        <w:t xml:space="preserve"> </w:t>
      </w:r>
      <w:r w:rsidRPr="00AB62E0">
        <w:t xml:space="preserve">DOVAL PAÍS A. (2015), “El nuevo régimen penal de las imprudencias menos graves y leves”, en QUINTERO OLIVARES G. (Dir.), </w:t>
      </w:r>
      <w:r w:rsidRPr="0016156E">
        <w:rPr>
          <w:i/>
        </w:rPr>
        <w:t>Comentario a la Reforma Penal de 2015</w:t>
      </w:r>
      <w:r>
        <w:t>,</w:t>
      </w:r>
      <w:r w:rsidRPr="00AB62E0">
        <w:t xml:space="preserve"> Ci</w:t>
      </w:r>
      <w:r>
        <w:t>z</w:t>
      </w:r>
      <w:r w:rsidRPr="00AB62E0">
        <w:t>ur Menor (Navarra), Aranzadi, p. 3</w:t>
      </w:r>
      <w:r>
        <w:t>40</w:t>
      </w:r>
      <w:r w:rsidRPr="00AB62E0">
        <w:t>.</w:t>
      </w:r>
    </w:p>
  </w:footnote>
  <w:footnote w:id="59">
    <w:p w:rsidR="004D60B2" w:rsidRPr="00D468B4" w:rsidRDefault="004D60B2" w:rsidP="001A7AE3">
      <w:pPr>
        <w:pStyle w:val="Textonotapie"/>
        <w:jc w:val="both"/>
        <w:rPr>
          <w:color w:val="FF0000"/>
        </w:rPr>
      </w:pPr>
      <w:r w:rsidRPr="00D468B4">
        <w:rPr>
          <w:rStyle w:val="Refdenotaalpie"/>
        </w:rPr>
        <w:footnoteRef/>
      </w:r>
      <w:r w:rsidRPr="00D468B4">
        <w:t xml:space="preserve"> SUÁREZ-MIRA RODRÍGUEZ, C. (2015), “Del homicidio y sus formas”, en GONZÁLEZ CUSSAC, J. L. (Dir.), </w:t>
      </w:r>
      <w:r w:rsidRPr="00E346AB">
        <w:rPr>
          <w:i/>
        </w:rPr>
        <w:t>Comentarios a la Reforma del Código Penal de 2015</w:t>
      </w:r>
      <w:r w:rsidRPr="00D468B4">
        <w:t>, Valencia, Tirant lo Blanch, p. 486.</w:t>
      </w:r>
    </w:p>
  </w:footnote>
  <w:footnote w:id="60">
    <w:p w:rsidR="004D60B2" w:rsidRDefault="004D60B2" w:rsidP="001A7AE3">
      <w:pPr>
        <w:pStyle w:val="Textonotapie"/>
        <w:jc w:val="both"/>
      </w:pPr>
      <w:r>
        <w:rPr>
          <w:rStyle w:val="Refdenotaalpie"/>
        </w:rPr>
        <w:footnoteRef/>
      </w:r>
      <w:r>
        <w:t xml:space="preserve"> </w:t>
      </w:r>
      <w:r w:rsidRPr="00AB62E0">
        <w:t xml:space="preserve">DOVAL PAÍS A. (2015), “El nuevo régimen penal de las imprudencias menos graves y leves”, en QUINTERO OLIVARES G. (Dir.), </w:t>
      </w:r>
      <w:r w:rsidRPr="00D468B4">
        <w:rPr>
          <w:i/>
        </w:rPr>
        <w:t>Comentario a la Reforma Penal de 2015</w:t>
      </w:r>
      <w:r>
        <w:t>,</w:t>
      </w:r>
      <w:r w:rsidRPr="00AB62E0">
        <w:t xml:space="preserve"> Ci</w:t>
      </w:r>
      <w:r>
        <w:t>z</w:t>
      </w:r>
      <w:r w:rsidRPr="00AB62E0">
        <w:t>ur Menor (Navarra), Aranzadi, p. 3</w:t>
      </w:r>
      <w:r>
        <w:t>38</w:t>
      </w:r>
      <w:r w:rsidRPr="00AB62E0">
        <w:t>.</w:t>
      </w:r>
    </w:p>
  </w:footnote>
  <w:footnote w:id="61">
    <w:p w:rsidR="004D60B2" w:rsidRDefault="004D60B2" w:rsidP="001A7AE3">
      <w:pPr>
        <w:pStyle w:val="Textonotapie"/>
      </w:pPr>
      <w:r>
        <w:rPr>
          <w:rStyle w:val="Refdenotaalpie"/>
        </w:rPr>
        <w:footnoteRef/>
      </w:r>
      <w:r>
        <w:t xml:space="preserve"> Al igual que en el caso de las faltas dolosas, cuya descriminalización sólo implica que se ha agravado la responsabilidad por su comisión, al elevarlas a la condición de delitos.</w:t>
      </w:r>
    </w:p>
  </w:footnote>
  <w:footnote w:id="62">
    <w:p w:rsidR="004D60B2" w:rsidRDefault="004D60B2" w:rsidP="001A7AE3">
      <w:pPr>
        <w:pStyle w:val="Textonotapie"/>
      </w:pPr>
      <w:r>
        <w:rPr>
          <w:rStyle w:val="Refdenotaalpie"/>
        </w:rPr>
        <w:footnoteRef/>
      </w:r>
      <w:r>
        <w:t xml:space="preserve"> </w:t>
      </w:r>
      <w:r w:rsidRPr="00E346AB">
        <w:t xml:space="preserve">CANCIO MELIÁ, M. (2013), “Delito de lesiones: consentimiento de la esterilización de incapacitados: art. 156 CP”, en ÁLVAREZ GARCÍA, F.J. (Dir.), </w:t>
      </w:r>
      <w:r w:rsidRPr="00E346AB">
        <w:rPr>
          <w:i/>
        </w:rPr>
        <w:t>Estudio crítico sobre el Anteproyecto de reforma penal de 2012</w:t>
      </w:r>
      <w:r>
        <w:t>, Valencia, Tirant lo Blanch, p. 530 y ss.</w:t>
      </w:r>
    </w:p>
  </w:footnote>
  <w:footnote w:id="63">
    <w:p w:rsidR="004D60B2" w:rsidRDefault="004D60B2" w:rsidP="001A7AE3">
      <w:pPr>
        <w:pStyle w:val="Textonotapie"/>
        <w:jc w:val="both"/>
      </w:pPr>
      <w:r>
        <w:rPr>
          <w:rStyle w:val="Refdenotaalpie"/>
        </w:rPr>
        <w:footnoteRef/>
      </w:r>
      <w:r>
        <w:t xml:space="preserve"> </w:t>
      </w:r>
      <w:r w:rsidRPr="00F55780">
        <w:t xml:space="preserve">DOVAL PAÍS A. (2015), “El nuevo régimen penal de las imprudencias menos graves y leves”, en QUINTERO OLIVARES G. (Dir.), </w:t>
      </w:r>
      <w:r w:rsidRPr="00D468B4">
        <w:rPr>
          <w:i/>
        </w:rPr>
        <w:t>Comentario a la Reforma Penal de 2015</w:t>
      </w:r>
      <w:r>
        <w:t xml:space="preserve">, </w:t>
      </w:r>
      <w:r w:rsidRPr="00F55780">
        <w:t>Ci</w:t>
      </w:r>
      <w:r>
        <w:t>z</w:t>
      </w:r>
      <w:r w:rsidRPr="00F55780">
        <w:t xml:space="preserve">ur </w:t>
      </w:r>
      <w:r>
        <w:t>Menor (Navarra), Aranzadi, p. 340</w:t>
      </w:r>
      <w:r w:rsidRPr="00F55780">
        <w:t>.</w:t>
      </w:r>
    </w:p>
  </w:footnote>
  <w:footnote w:id="64">
    <w:p w:rsidR="004D60B2" w:rsidRDefault="004D60B2" w:rsidP="001A7AE3">
      <w:pPr>
        <w:pStyle w:val="Textonotapie"/>
      </w:pPr>
      <w:r>
        <w:rPr>
          <w:rStyle w:val="Refdenotaalpie"/>
        </w:rPr>
        <w:footnoteRef/>
      </w:r>
      <w:r>
        <w:t xml:space="preserve"> </w:t>
      </w:r>
      <w:r w:rsidRPr="004C1990">
        <w:t xml:space="preserve">MANZANARES SAMANIEGO, J. L. (2013), “La supresión de las faltas penales”, en </w:t>
      </w:r>
      <w:r w:rsidRPr="004C1990">
        <w:rPr>
          <w:i/>
        </w:rPr>
        <w:t>Diario La Ley</w:t>
      </w:r>
      <w:r>
        <w:t>, núm. 8171, p. 11.</w:t>
      </w:r>
    </w:p>
  </w:footnote>
  <w:footnote w:id="65">
    <w:p w:rsidR="004D60B2" w:rsidRDefault="004D60B2" w:rsidP="001A7AE3">
      <w:pPr>
        <w:pStyle w:val="Textonotapie"/>
      </w:pPr>
      <w:r>
        <w:rPr>
          <w:rStyle w:val="Refdenotaalpie"/>
        </w:rPr>
        <w:footnoteRef/>
      </w:r>
      <w:r>
        <w:t xml:space="preserve"> </w:t>
      </w:r>
      <w:r w:rsidRPr="0067140B">
        <w:t xml:space="preserve">FERNÁNDEZ HERNÁNDEZ, A. y OLLOQUIEGUI SUCUNZA, I. (2013), </w:t>
      </w:r>
      <w:r>
        <w:t>“</w:t>
      </w:r>
      <w:r w:rsidRPr="0067140B">
        <w:t>Falta</w:t>
      </w:r>
      <w:r>
        <w:t>s</w:t>
      </w:r>
      <w:r w:rsidRPr="0067140B">
        <w:t xml:space="preserve"> de lesiones”, en ÁLVAREZ GARCÍA, F. J. (Dir) y DOPICO GÓMEZ-ALLER, J. (Coord.), </w:t>
      </w:r>
      <w:r w:rsidRPr="004C1990">
        <w:rPr>
          <w:i/>
        </w:rPr>
        <w:t>Estudio Crítico sobre el Anteproyecto de reforma penal de 2012</w:t>
      </w:r>
      <w:r>
        <w:t>, Valencia, Tirant lo Blanch, p. 72.</w:t>
      </w:r>
    </w:p>
  </w:footnote>
  <w:footnote w:id="66">
    <w:p w:rsidR="004D60B2" w:rsidRDefault="004D60B2" w:rsidP="001A7AE3">
      <w:pPr>
        <w:pStyle w:val="Textonotapie"/>
        <w:jc w:val="both"/>
      </w:pPr>
      <w:r>
        <w:rPr>
          <w:rStyle w:val="Refdenotaalpie"/>
        </w:rPr>
        <w:footnoteRef/>
      </w:r>
      <w:r>
        <w:t xml:space="preserve"> </w:t>
      </w:r>
      <w:r w:rsidRPr="00691763">
        <w:t>El art.</w:t>
      </w:r>
      <w:r>
        <w:t xml:space="preserve"> </w:t>
      </w:r>
      <w:r w:rsidRPr="00691763">
        <w:t>40 LECiv establece: “Cuando en un proceso civil se ponga de manifiesto un hecho que ofrezca apariencia de delito o falta perseguible de oficio, el tribunal civil, mediante providencia, lo pondrá en</w:t>
      </w:r>
      <w:r>
        <w:t xml:space="preserve"> </w:t>
      </w:r>
      <w:r w:rsidRPr="00691763">
        <w:t>conocimiento del Ministerio Fiscal, por si hubiere lugar al</w:t>
      </w:r>
      <w:r>
        <w:t xml:space="preserve"> ejercicio de la acción penal.”</w:t>
      </w:r>
      <w:r w:rsidRPr="00691763">
        <w:t>.</w:t>
      </w:r>
    </w:p>
  </w:footnote>
  <w:footnote w:id="67">
    <w:p w:rsidR="004D60B2" w:rsidRDefault="004D60B2" w:rsidP="001A7AE3">
      <w:pPr>
        <w:pStyle w:val="Textonotapie"/>
        <w:jc w:val="both"/>
      </w:pPr>
      <w:r>
        <w:rPr>
          <w:rStyle w:val="Refdenotaalpie"/>
        </w:rPr>
        <w:footnoteRef/>
      </w:r>
      <w:r>
        <w:t xml:space="preserve"> Tal vez, el legislador se ha percatado de todas estas consecuencias y, ya muy adelantado el proceso de elaboración del texto, durante la tramitación parlamentaria, ha decidido introducir el delito de homicidio y lesiones por imprudencia menos grave.</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D60B2" w:rsidRDefault="004D60B2">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2D65D90"/>
    <w:multiLevelType w:val="hybridMultilevel"/>
    <w:tmpl w:val="B1F24868"/>
    <w:lvl w:ilvl="0" w:tplc="47BE8FB6">
      <w:start w:val="5"/>
      <w:numFmt w:val="bullet"/>
      <w:lvlText w:val="-"/>
      <w:lvlJc w:val="left"/>
      <w:pPr>
        <w:ind w:left="720" w:hanging="360"/>
      </w:pPr>
      <w:rPr>
        <w:rFonts w:ascii="Times New Roman" w:eastAsia="Times New Roman" w:hAnsi="Times New Roman"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cs="Wingdings" w:hint="default"/>
      </w:rPr>
    </w:lvl>
    <w:lvl w:ilvl="3" w:tplc="0C0A0001">
      <w:start w:val="1"/>
      <w:numFmt w:val="bullet"/>
      <w:lvlText w:val=""/>
      <w:lvlJc w:val="left"/>
      <w:pPr>
        <w:ind w:left="2880" w:hanging="360"/>
      </w:pPr>
      <w:rPr>
        <w:rFonts w:ascii="Symbol" w:hAnsi="Symbol" w:cs="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cs="Wingdings" w:hint="default"/>
      </w:rPr>
    </w:lvl>
    <w:lvl w:ilvl="6" w:tplc="0C0A0001">
      <w:start w:val="1"/>
      <w:numFmt w:val="bullet"/>
      <w:lvlText w:val=""/>
      <w:lvlJc w:val="left"/>
      <w:pPr>
        <w:ind w:left="5040" w:hanging="360"/>
      </w:pPr>
      <w:rPr>
        <w:rFonts w:ascii="Symbol" w:hAnsi="Symbol" w:cs="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cs="Wingdings" w:hint="default"/>
      </w:rPr>
    </w:lvl>
  </w:abstractNum>
  <w:abstractNum w:abstractNumId="1">
    <w:nsid w:val="200815FE"/>
    <w:multiLevelType w:val="hybridMultilevel"/>
    <w:tmpl w:val="CF0CBC4A"/>
    <w:lvl w:ilvl="0" w:tplc="769CBB8E">
      <w:start w:val="5"/>
      <w:numFmt w:val="bullet"/>
      <w:lvlText w:val="-"/>
      <w:lvlJc w:val="left"/>
      <w:pPr>
        <w:ind w:left="720" w:hanging="360"/>
      </w:pPr>
      <w:rPr>
        <w:rFonts w:ascii="Times New Roman" w:eastAsia="Times New Roman" w:hAnsi="Times New Roman"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cs="Wingdings" w:hint="default"/>
      </w:rPr>
    </w:lvl>
    <w:lvl w:ilvl="3" w:tplc="0C0A0001">
      <w:start w:val="1"/>
      <w:numFmt w:val="bullet"/>
      <w:lvlText w:val=""/>
      <w:lvlJc w:val="left"/>
      <w:pPr>
        <w:ind w:left="2880" w:hanging="360"/>
      </w:pPr>
      <w:rPr>
        <w:rFonts w:ascii="Symbol" w:hAnsi="Symbol" w:cs="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cs="Wingdings" w:hint="default"/>
      </w:rPr>
    </w:lvl>
    <w:lvl w:ilvl="6" w:tplc="0C0A0001">
      <w:start w:val="1"/>
      <w:numFmt w:val="bullet"/>
      <w:lvlText w:val=""/>
      <w:lvlJc w:val="left"/>
      <w:pPr>
        <w:ind w:left="5040" w:hanging="360"/>
      </w:pPr>
      <w:rPr>
        <w:rFonts w:ascii="Symbol" w:hAnsi="Symbol" w:cs="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cs="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isplayHorizontalDrawingGridEvery w:val="0"/>
  <w:displayVerticalDrawingGridEvery w:val="0"/>
  <w:doNotUseMarginsForDrawingGridOrigin/>
  <w:noPunctuationKerning/>
  <w:characterSpacingControl w:val="doNotCompress"/>
  <w:hdrShapeDefaults>
    <o:shapedefaults v:ext="edit" spidmax="2049" fillcolor="#3cf" stroke="f">
      <v:fill color="#3cf"/>
      <v:stroke on="f"/>
      <v:textbox style="layout-flow:vertical;mso-layout-flow-alt:bottom-to-top"/>
      <o:colormru v:ext="edit" colors="#3cf"/>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8453E"/>
    <w:rsid w:val="0000596D"/>
    <w:rsid w:val="000101D0"/>
    <w:rsid w:val="000119EA"/>
    <w:rsid w:val="0008453E"/>
    <w:rsid w:val="000875B1"/>
    <w:rsid w:val="000D6212"/>
    <w:rsid w:val="00102AB0"/>
    <w:rsid w:val="00146810"/>
    <w:rsid w:val="00147570"/>
    <w:rsid w:val="001523DF"/>
    <w:rsid w:val="001651B2"/>
    <w:rsid w:val="00181EDB"/>
    <w:rsid w:val="001A7AE3"/>
    <w:rsid w:val="001D56D9"/>
    <w:rsid w:val="001F492A"/>
    <w:rsid w:val="002206B8"/>
    <w:rsid w:val="00394618"/>
    <w:rsid w:val="003A681F"/>
    <w:rsid w:val="00462AF9"/>
    <w:rsid w:val="00486CE9"/>
    <w:rsid w:val="004A4320"/>
    <w:rsid w:val="004D60B2"/>
    <w:rsid w:val="004F3BE3"/>
    <w:rsid w:val="00524691"/>
    <w:rsid w:val="00526C0A"/>
    <w:rsid w:val="00527914"/>
    <w:rsid w:val="00557D47"/>
    <w:rsid w:val="00575A7E"/>
    <w:rsid w:val="005855F6"/>
    <w:rsid w:val="00631193"/>
    <w:rsid w:val="00634083"/>
    <w:rsid w:val="00664DEC"/>
    <w:rsid w:val="00682ED9"/>
    <w:rsid w:val="00692F72"/>
    <w:rsid w:val="006C39CF"/>
    <w:rsid w:val="006F0E0A"/>
    <w:rsid w:val="006F21DD"/>
    <w:rsid w:val="007139FC"/>
    <w:rsid w:val="00714A63"/>
    <w:rsid w:val="00714A8E"/>
    <w:rsid w:val="0074392C"/>
    <w:rsid w:val="00821F90"/>
    <w:rsid w:val="00825193"/>
    <w:rsid w:val="0083468C"/>
    <w:rsid w:val="00885BB4"/>
    <w:rsid w:val="00886CFB"/>
    <w:rsid w:val="00893C79"/>
    <w:rsid w:val="008E1780"/>
    <w:rsid w:val="00910CCE"/>
    <w:rsid w:val="00916DC4"/>
    <w:rsid w:val="00935F0F"/>
    <w:rsid w:val="00953D03"/>
    <w:rsid w:val="0096292E"/>
    <w:rsid w:val="00963723"/>
    <w:rsid w:val="009661E0"/>
    <w:rsid w:val="00982AF2"/>
    <w:rsid w:val="009D27F4"/>
    <w:rsid w:val="00A52907"/>
    <w:rsid w:val="00A75C5C"/>
    <w:rsid w:val="00A96634"/>
    <w:rsid w:val="00AB6BA8"/>
    <w:rsid w:val="00AD769E"/>
    <w:rsid w:val="00B303F6"/>
    <w:rsid w:val="00B666E7"/>
    <w:rsid w:val="00B9129F"/>
    <w:rsid w:val="00BA2310"/>
    <w:rsid w:val="00BD791A"/>
    <w:rsid w:val="00C76EF2"/>
    <w:rsid w:val="00D03871"/>
    <w:rsid w:val="00D114D2"/>
    <w:rsid w:val="00D2489F"/>
    <w:rsid w:val="00D302F2"/>
    <w:rsid w:val="00D406A5"/>
    <w:rsid w:val="00D5404E"/>
    <w:rsid w:val="00D6276B"/>
    <w:rsid w:val="00D91991"/>
    <w:rsid w:val="00D94140"/>
    <w:rsid w:val="00E3686C"/>
    <w:rsid w:val="00E9205F"/>
    <w:rsid w:val="00EA0579"/>
    <w:rsid w:val="00EF5375"/>
    <w:rsid w:val="00F23877"/>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3cf" stroke="f">
      <v:fill color="#3cf"/>
      <v:stroke on="f"/>
      <v:textbox style="layout-flow:vertical;mso-layout-flow-alt:bottom-to-top"/>
      <o:colormru v:ext="edit" colors="#3cf"/>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s-ES" w:eastAsia="es-ES" w:bidi="ar-SA"/>
      </w:rPr>
    </w:rPrDefault>
    <w:pPrDefault/>
  </w:docDefaults>
  <w:latentStyles w:defLockedState="0" w:defUIPriority="0" w:defSemiHidden="1" w:defUnhideWhenUsed="1" w:defQFormat="0" w:count="267">
    <w:lsdException w:name="Normal" w:semiHidden="0" w:unhideWhenUsed="0" w:qFormat="1"/>
    <w:lsdException w:name="heading 1" w:semiHidden="0" w:uiPriority="99"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qFormat="1"/>
    <w:lsdException w:name="heading 7" w:qFormat="1"/>
    <w:lsdException w:name="heading 8" w:qFormat="1"/>
    <w:lsdException w:name="heading 9" w:qFormat="1"/>
    <w:lsdException w:name="footnote text" w:uiPriority="99"/>
    <w:lsdException w:name="header" w:uiPriority="99"/>
    <w:lsdException w:name="footer" w:uiPriority="99"/>
    <w:lsdException w:name="caption" w:qFormat="1"/>
    <w:lsdException w:name="footnote reference" w:uiPriority="99"/>
    <w:lsdException w:name="endnote reference" w:uiPriority="99"/>
    <w:lsdException w:name="endnote text" w:uiPriority="99"/>
    <w:lsdException w:name="List Bullet" w:semiHidden="0" w:unhideWhenUsed="0"/>
    <w:lsdException w:name="List 3" w:semiHidden="0" w:unhideWhenUsed="0"/>
    <w:lsdException w:name="List 4" w:semiHidden="0" w:unhideWhenUsed="0"/>
    <w:lsdException w:name="Title" w:semiHidden="0" w:unhideWhenUsed="0" w:qFormat="1"/>
    <w:lsdException w:name="Message Header" w:semiHidden="0" w:unhideWhenUsed="0"/>
    <w:lsdException w:name="Subtitle" w:semiHidden="0" w:unhideWhenUsed="0" w:qFormat="1"/>
    <w:lsdException w:name="Salutation" w:semiHidden="0" w:unhideWhenUsed="0"/>
    <w:lsdException w:name="Date" w:semiHidden="0" w:unhideWhenUsed="0"/>
    <w:lsdException w:name="Strong" w:semiHidden="0" w:unhideWhenUsed="0" w:qFormat="1"/>
    <w:lsdException w:name="Emphasis" w:semiHidden="0" w:unhideWhenUsed="0" w:qFormat="1"/>
    <w:lsdException w:name="Balloon Tex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99"/>
    <w:lsdException w:name="TOC Heading" w:uiPriority="39" w:qFormat="1"/>
  </w:latentStyles>
  <w:style w:type="paragraph" w:default="1" w:styleId="Normal">
    <w:name w:val="Normal"/>
    <w:qFormat/>
  </w:style>
  <w:style w:type="paragraph" w:styleId="Ttulo1">
    <w:name w:val="heading 1"/>
    <w:basedOn w:val="Normal"/>
    <w:next w:val="Normal"/>
    <w:link w:val="Ttulo1Car"/>
    <w:uiPriority w:val="99"/>
    <w:qFormat/>
    <w:pPr>
      <w:keepNext/>
      <w:outlineLvl w:val="0"/>
    </w:pPr>
    <w:rPr>
      <w:rFonts w:ascii="Arial" w:hAnsi="Arial"/>
      <w:outline/>
      <w:color w:val="000000"/>
      <w:sz w:val="96"/>
      <w14:textOutline w14:w="9525" w14:cap="flat" w14:cmpd="sng" w14:algn="ctr">
        <w14:solidFill>
          <w14:srgbClr w14:val="000000"/>
        </w14:solidFill>
        <w14:prstDash w14:val="solid"/>
        <w14:round/>
      </w14:textOutline>
      <w14:textFill>
        <w14:noFill/>
      </w14:textFill>
    </w:rPr>
  </w:style>
  <w:style w:type="paragraph" w:styleId="Ttulo2">
    <w:name w:val="heading 2"/>
    <w:basedOn w:val="Normal"/>
    <w:next w:val="Normal"/>
    <w:qFormat/>
    <w:pPr>
      <w:keepNext/>
      <w:outlineLvl w:val="1"/>
    </w:pPr>
    <w:rPr>
      <w:rFonts w:ascii="Arial" w:hAnsi="Arial"/>
      <w:color w:val="C0C0C0"/>
      <w:sz w:val="56"/>
    </w:rPr>
  </w:style>
  <w:style w:type="paragraph" w:styleId="Ttulo3">
    <w:name w:val="heading 3"/>
    <w:basedOn w:val="Normal"/>
    <w:next w:val="Normal"/>
    <w:qFormat/>
    <w:pPr>
      <w:keepNext/>
      <w:jc w:val="center"/>
      <w:outlineLvl w:val="2"/>
    </w:pPr>
    <w:rPr>
      <w:rFonts w:ascii="NewBskvll BT" w:hAnsi="NewBskvll BT"/>
      <w:i/>
      <w:sz w:val="24"/>
    </w:rPr>
  </w:style>
  <w:style w:type="paragraph" w:styleId="Ttulo4">
    <w:name w:val="heading 4"/>
    <w:basedOn w:val="Normal"/>
    <w:next w:val="Normal"/>
    <w:link w:val="Ttulo4Car"/>
    <w:qFormat/>
    <w:pPr>
      <w:keepNext/>
      <w:jc w:val="center"/>
      <w:outlineLvl w:val="3"/>
    </w:pPr>
    <w:rPr>
      <w:rFonts w:ascii="Arial" w:hAnsi="Arial"/>
      <w:sz w:val="32"/>
    </w:rPr>
  </w:style>
  <w:style w:type="paragraph" w:styleId="Ttulo5">
    <w:name w:val="heading 5"/>
    <w:basedOn w:val="Normal"/>
    <w:next w:val="Normal"/>
    <w:link w:val="Ttulo5Car"/>
    <w:qFormat/>
    <w:pPr>
      <w:keepNext/>
      <w:outlineLvl w:val="4"/>
    </w:pPr>
    <w:rPr>
      <w:rFonts w:ascii="Arial" w:hAnsi="Arial"/>
      <w:b/>
      <w:sz w:val="32"/>
      <w:u w:val="single"/>
    </w:rPr>
  </w:style>
  <w:style w:type="paragraph" w:styleId="Ttulo6">
    <w:name w:val="heading 6"/>
    <w:basedOn w:val="Normal"/>
    <w:next w:val="Normal"/>
    <w:qFormat/>
    <w:pPr>
      <w:keepNext/>
      <w:jc w:val="center"/>
      <w:outlineLvl w:val="5"/>
    </w:pPr>
    <w:rPr>
      <w:rFonts w:ascii="NewBskvll BT" w:hAnsi="NewBskvll BT"/>
      <w:smallCaps/>
      <w:sz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
    <w:name w:val="Body Text"/>
    <w:basedOn w:val="Normal"/>
    <w:pPr>
      <w:jc w:val="center"/>
    </w:pPr>
    <w:rPr>
      <w:sz w:val="48"/>
    </w:rPr>
  </w:style>
  <w:style w:type="paragraph" w:styleId="Textoindependiente2">
    <w:name w:val="Body Text 2"/>
    <w:basedOn w:val="Normal"/>
    <w:pPr>
      <w:jc w:val="center"/>
    </w:pPr>
    <w:rPr>
      <w:rFonts w:ascii="Arial" w:hAnsi="Arial"/>
      <w:smallCaps/>
      <w:sz w:val="52"/>
    </w:rPr>
  </w:style>
  <w:style w:type="paragraph" w:styleId="Textodeglobo">
    <w:name w:val="Balloon Text"/>
    <w:basedOn w:val="Normal"/>
    <w:link w:val="TextodegloboCar"/>
    <w:uiPriority w:val="99"/>
    <w:rsid w:val="008E1780"/>
    <w:rPr>
      <w:rFonts w:ascii="Tahoma" w:hAnsi="Tahoma" w:cs="Tahoma"/>
      <w:sz w:val="16"/>
      <w:szCs w:val="16"/>
    </w:rPr>
  </w:style>
  <w:style w:type="character" w:customStyle="1" w:styleId="TextodegloboCar">
    <w:name w:val="Texto de globo Car"/>
    <w:basedOn w:val="Fuentedeprrafopredeter"/>
    <w:link w:val="Textodeglobo"/>
    <w:uiPriority w:val="99"/>
    <w:rsid w:val="008E1780"/>
    <w:rPr>
      <w:rFonts w:ascii="Tahoma" w:hAnsi="Tahoma" w:cs="Tahoma"/>
      <w:sz w:val="16"/>
      <w:szCs w:val="16"/>
    </w:rPr>
  </w:style>
  <w:style w:type="paragraph" w:styleId="Encabezado">
    <w:name w:val="header"/>
    <w:basedOn w:val="Normal"/>
    <w:link w:val="EncabezadoCar"/>
    <w:uiPriority w:val="99"/>
    <w:unhideWhenUsed/>
    <w:rsid w:val="00557D47"/>
    <w:pPr>
      <w:tabs>
        <w:tab w:val="center" w:pos="4252"/>
        <w:tab w:val="right" w:pos="8504"/>
      </w:tabs>
    </w:pPr>
  </w:style>
  <w:style w:type="character" w:customStyle="1" w:styleId="EncabezadoCar">
    <w:name w:val="Encabezado Car"/>
    <w:basedOn w:val="Fuentedeprrafopredeter"/>
    <w:link w:val="Encabezado"/>
    <w:uiPriority w:val="99"/>
    <w:rsid w:val="00557D47"/>
  </w:style>
  <w:style w:type="paragraph" w:styleId="Piedepgina">
    <w:name w:val="footer"/>
    <w:basedOn w:val="Normal"/>
    <w:link w:val="PiedepginaCar"/>
    <w:uiPriority w:val="99"/>
    <w:unhideWhenUsed/>
    <w:rsid w:val="00557D47"/>
    <w:pPr>
      <w:tabs>
        <w:tab w:val="center" w:pos="4252"/>
        <w:tab w:val="right" w:pos="8504"/>
      </w:tabs>
    </w:pPr>
  </w:style>
  <w:style w:type="character" w:customStyle="1" w:styleId="PiedepginaCar">
    <w:name w:val="Pie de página Car"/>
    <w:basedOn w:val="Fuentedeprrafopredeter"/>
    <w:link w:val="Piedepgina"/>
    <w:uiPriority w:val="99"/>
    <w:rsid w:val="00557D47"/>
  </w:style>
  <w:style w:type="numbering" w:customStyle="1" w:styleId="Sinlista1">
    <w:name w:val="Sin lista1"/>
    <w:next w:val="Sinlista"/>
    <w:uiPriority w:val="99"/>
    <w:semiHidden/>
    <w:unhideWhenUsed/>
    <w:rsid w:val="001A7AE3"/>
  </w:style>
  <w:style w:type="character" w:customStyle="1" w:styleId="Ttulo1Car">
    <w:name w:val="Título 1 Car"/>
    <w:link w:val="Ttulo1"/>
    <w:uiPriority w:val="99"/>
    <w:locked/>
    <w:rsid w:val="001A7AE3"/>
    <w:rPr>
      <w:rFonts w:ascii="Arial" w:hAnsi="Arial"/>
      <w:outline/>
      <w:color w:val="000000"/>
      <w:sz w:val="96"/>
      <w14:textOutline w14:w="9525" w14:cap="flat" w14:cmpd="sng" w14:algn="ctr">
        <w14:solidFill>
          <w14:srgbClr w14:val="000000"/>
        </w14:solidFill>
        <w14:prstDash w14:val="solid"/>
        <w14:round/>
      </w14:textOutline>
      <w14:textFill>
        <w14:noFill/>
      </w14:textFill>
    </w:rPr>
  </w:style>
  <w:style w:type="paragraph" w:styleId="Bibliografa">
    <w:name w:val="Bibliography"/>
    <w:basedOn w:val="Normal"/>
    <w:next w:val="Normal"/>
    <w:uiPriority w:val="99"/>
    <w:rsid w:val="001A7AE3"/>
    <w:pPr>
      <w:spacing w:after="200" w:line="276" w:lineRule="auto"/>
    </w:pPr>
    <w:rPr>
      <w:rFonts w:eastAsia="Calibri"/>
      <w:sz w:val="24"/>
      <w:szCs w:val="24"/>
    </w:rPr>
  </w:style>
  <w:style w:type="paragraph" w:styleId="Textonotaalfinal">
    <w:name w:val="endnote text"/>
    <w:basedOn w:val="Normal"/>
    <w:link w:val="TextonotaalfinalCar"/>
    <w:uiPriority w:val="99"/>
    <w:semiHidden/>
    <w:rsid w:val="001A7AE3"/>
    <w:pPr>
      <w:spacing w:after="200" w:line="276" w:lineRule="auto"/>
    </w:pPr>
    <w:rPr>
      <w:rFonts w:eastAsia="Calibri"/>
    </w:rPr>
  </w:style>
  <w:style w:type="character" w:customStyle="1" w:styleId="TextonotaalfinalCar">
    <w:name w:val="Texto nota al final Car"/>
    <w:basedOn w:val="Fuentedeprrafopredeter"/>
    <w:link w:val="Textonotaalfinal"/>
    <w:uiPriority w:val="99"/>
    <w:semiHidden/>
    <w:rsid w:val="001A7AE3"/>
    <w:rPr>
      <w:rFonts w:eastAsia="Calibri"/>
    </w:rPr>
  </w:style>
  <w:style w:type="character" w:styleId="Refdenotaalfinal">
    <w:name w:val="endnote reference"/>
    <w:uiPriority w:val="99"/>
    <w:semiHidden/>
    <w:rsid w:val="001A7AE3"/>
    <w:rPr>
      <w:vertAlign w:val="superscript"/>
    </w:rPr>
  </w:style>
  <w:style w:type="paragraph" w:styleId="Textonotapie">
    <w:name w:val="footnote text"/>
    <w:basedOn w:val="Normal"/>
    <w:link w:val="TextonotapieCar"/>
    <w:uiPriority w:val="99"/>
    <w:semiHidden/>
    <w:rsid w:val="001A7AE3"/>
    <w:pPr>
      <w:spacing w:after="200" w:line="276" w:lineRule="auto"/>
    </w:pPr>
    <w:rPr>
      <w:rFonts w:eastAsia="Calibri"/>
    </w:rPr>
  </w:style>
  <w:style w:type="character" w:customStyle="1" w:styleId="TextonotapieCar">
    <w:name w:val="Texto nota pie Car"/>
    <w:basedOn w:val="Fuentedeprrafopredeter"/>
    <w:link w:val="Textonotapie"/>
    <w:uiPriority w:val="99"/>
    <w:semiHidden/>
    <w:rsid w:val="001A7AE3"/>
    <w:rPr>
      <w:rFonts w:eastAsia="Calibri"/>
    </w:rPr>
  </w:style>
  <w:style w:type="character" w:styleId="Refdenotaalpie">
    <w:name w:val="footnote reference"/>
    <w:uiPriority w:val="99"/>
    <w:semiHidden/>
    <w:rsid w:val="001A7AE3"/>
    <w:rPr>
      <w:vertAlign w:val="superscript"/>
    </w:rPr>
  </w:style>
  <w:style w:type="character" w:customStyle="1" w:styleId="Ttulo4Car">
    <w:name w:val="Título 4 Car"/>
    <w:basedOn w:val="Fuentedeprrafopredeter"/>
    <w:link w:val="Ttulo4"/>
    <w:rsid w:val="001A7AE3"/>
    <w:rPr>
      <w:rFonts w:ascii="Arial" w:hAnsi="Arial"/>
      <w:sz w:val="32"/>
    </w:rPr>
  </w:style>
  <w:style w:type="character" w:customStyle="1" w:styleId="Ttulo5Car">
    <w:name w:val="Título 5 Car"/>
    <w:basedOn w:val="Fuentedeprrafopredeter"/>
    <w:link w:val="Ttulo5"/>
    <w:rsid w:val="001A7AE3"/>
    <w:rPr>
      <w:rFonts w:ascii="Arial" w:hAnsi="Arial"/>
      <w:b/>
      <w:sz w:val="32"/>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s-ES" w:eastAsia="es-ES" w:bidi="ar-SA"/>
      </w:rPr>
    </w:rPrDefault>
    <w:pPrDefault/>
  </w:docDefaults>
  <w:latentStyles w:defLockedState="0" w:defUIPriority="0" w:defSemiHidden="1" w:defUnhideWhenUsed="1" w:defQFormat="0" w:count="267">
    <w:lsdException w:name="Normal" w:semiHidden="0" w:unhideWhenUsed="0" w:qFormat="1"/>
    <w:lsdException w:name="heading 1" w:semiHidden="0" w:uiPriority="99"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qFormat="1"/>
    <w:lsdException w:name="heading 7" w:qFormat="1"/>
    <w:lsdException w:name="heading 8" w:qFormat="1"/>
    <w:lsdException w:name="heading 9" w:qFormat="1"/>
    <w:lsdException w:name="footnote text" w:uiPriority="99"/>
    <w:lsdException w:name="header" w:uiPriority="99"/>
    <w:lsdException w:name="footer" w:uiPriority="99"/>
    <w:lsdException w:name="caption" w:qFormat="1"/>
    <w:lsdException w:name="footnote reference" w:uiPriority="99"/>
    <w:lsdException w:name="endnote reference" w:uiPriority="99"/>
    <w:lsdException w:name="endnote text" w:uiPriority="99"/>
    <w:lsdException w:name="List Bullet" w:semiHidden="0" w:unhideWhenUsed="0"/>
    <w:lsdException w:name="List 3" w:semiHidden="0" w:unhideWhenUsed="0"/>
    <w:lsdException w:name="List 4" w:semiHidden="0" w:unhideWhenUsed="0"/>
    <w:lsdException w:name="Title" w:semiHidden="0" w:unhideWhenUsed="0" w:qFormat="1"/>
    <w:lsdException w:name="Message Header" w:semiHidden="0" w:unhideWhenUsed="0"/>
    <w:lsdException w:name="Subtitle" w:semiHidden="0" w:unhideWhenUsed="0" w:qFormat="1"/>
    <w:lsdException w:name="Salutation" w:semiHidden="0" w:unhideWhenUsed="0"/>
    <w:lsdException w:name="Date" w:semiHidden="0" w:unhideWhenUsed="0"/>
    <w:lsdException w:name="Strong" w:semiHidden="0" w:unhideWhenUsed="0" w:qFormat="1"/>
    <w:lsdException w:name="Emphasis" w:semiHidden="0" w:unhideWhenUsed="0" w:qFormat="1"/>
    <w:lsdException w:name="Balloon Tex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99"/>
    <w:lsdException w:name="TOC Heading" w:uiPriority="39" w:qFormat="1"/>
  </w:latentStyles>
  <w:style w:type="paragraph" w:default="1" w:styleId="Normal">
    <w:name w:val="Normal"/>
    <w:qFormat/>
  </w:style>
  <w:style w:type="paragraph" w:styleId="Ttulo1">
    <w:name w:val="heading 1"/>
    <w:basedOn w:val="Normal"/>
    <w:next w:val="Normal"/>
    <w:link w:val="Ttulo1Car"/>
    <w:uiPriority w:val="99"/>
    <w:qFormat/>
    <w:pPr>
      <w:keepNext/>
      <w:outlineLvl w:val="0"/>
    </w:pPr>
    <w:rPr>
      <w:rFonts w:ascii="Arial" w:hAnsi="Arial"/>
      <w:outline/>
      <w:color w:val="000000"/>
      <w:sz w:val="96"/>
      <w14:textOutline w14:w="9525" w14:cap="flat" w14:cmpd="sng" w14:algn="ctr">
        <w14:solidFill>
          <w14:srgbClr w14:val="000000"/>
        </w14:solidFill>
        <w14:prstDash w14:val="solid"/>
        <w14:round/>
      </w14:textOutline>
      <w14:textFill>
        <w14:noFill/>
      </w14:textFill>
    </w:rPr>
  </w:style>
  <w:style w:type="paragraph" w:styleId="Ttulo2">
    <w:name w:val="heading 2"/>
    <w:basedOn w:val="Normal"/>
    <w:next w:val="Normal"/>
    <w:qFormat/>
    <w:pPr>
      <w:keepNext/>
      <w:outlineLvl w:val="1"/>
    </w:pPr>
    <w:rPr>
      <w:rFonts w:ascii="Arial" w:hAnsi="Arial"/>
      <w:color w:val="C0C0C0"/>
      <w:sz w:val="56"/>
    </w:rPr>
  </w:style>
  <w:style w:type="paragraph" w:styleId="Ttulo3">
    <w:name w:val="heading 3"/>
    <w:basedOn w:val="Normal"/>
    <w:next w:val="Normal"/>
    <w:qFormat/>
    <w:pPr>
      <w:keepNext/>
      <w:jc w:val="center"/>
      <w:outlineLvl w:val="2"/>
    </w:pPr>
    <w:rPr>
      <w:rFonts w:ascii="NewBskvll BT" w:hAnsi="NewBskvll BT"/>
      <w:i/>
      <w:sz w:val="24"/>
    </w:rPr>
  </w:style>
  <w:style w:type="paragraph" w:styleId="Ttulo4">
    <w:name w:val="heading 4"/>
    <w:basedOn w:val="Normal"/>
    <w:next w:val="Normal"/>
    <w:link w:val="Ttulo4Car"/>
    <w:qFormat/>
    <w:pPr>
      <w:keepNext/>
      <w:jc w:val="center"/>
      <w:outlineLvl w:val="3"/>
    </w:pPr>
    <w:rPr>
      <w:rFonts w:ascii="Arial" w:hAnsi="Arial"/>
      <w:sz w:val="32"/>
    </w:rPr>
  </w:style>
  <w:style w:type="paragraph" w:styleId="Ttulo5">
    <w:name w:val="heading 5"/>
    <w:basedOn w:val="Normal"/>
    <w:next w:val="Normal"/>
    <w:link w:val="Ttulo5Car"/>
    <w:qFormat/>
    <w:pPr>
      <w:keepNext/>
      <w:outlineLvl w:val="4"/>
    </w:pPr>
    <w:rPr>
      <w:rFonts w:ascii="Arial" w:hAnsi="Arial"/>
      <w:b/>
      <w:sz w:val="32"/>
      <w:u w:val="single"/>
    </w:rPr>
  </w:style>
  <w:style w:type="paragraph" w:styleId="Ttulo6">
    <w:name w:val="heading 6"/>
    <w:basedOn w:val="Normal"/>
    <w:next w:val="Normal"/>
    <w:qFormat/>
    <w:pPr>
      <w:keepNext/>
      <w:jc w:val="center"/>
      <w:outlineLvl w:val="5"/>
    </w:pPr>
    <w:rPr>
      <w:rFonts w:ascii="NewBskvll BT" w:hAnsi="NewBskvll BT"/>
      <w:smallCaps/>
      <w:sz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
    <w:name w:val="Body Text"/>
    <w:basedOn w:val="Normal"/>
    <w:pPr>
      <w:jc w:val="center"/>
    </w:pPr>
    <w:rPr>
      <w:sz w:val="48"/>
    </w:rPr>
  </w:style>
  <w:style w:type="paragraph" w:styleId="Textoindependiente2">
    <w:name w:val="Body Text 2"/>
    <w:basedOn w:val="Normal"/>
    <w:pPr>
      <w:jc w:val="center"/>
    </w:pPr>
    <w:rPr>
      <w:rFonts w:ascii="Arial" w:hAnsi="Arial"/>
      <w:smallCaps/>
      <w:sz w:val="52"/>
    </w:rPr>
  </w:style>
  <w:style w:type="paragraph" w:styleId="Textodeglobo">
    <w:name w:val="Balloon Text"/>
    <w:basedOn w:val="Normal"/>
    <w:link w:val="TextodegloboCar"/>
    <w:uiPriority w:val="99"/>
    <w:rsid w:val="008E1780"/>
    <w:rPr>
      <w:rFonts w:ascii="Tahoma" w:hAnsi="Tahoma" w:cs="Tahoma"/>
      <w:sz w:val="16"/>
      <w:szCs w:val="16"/>
    </w:rPr>
  </w:style>
  <w:style w:type="character" w:customStyle="1" w:styleId="TextodegloboCar">
    <w:name w:val="Texto de globo Car"/>
    <w:basedOn w:val="Fuentedeprrafopredeter"/>
    <w:link w:val="Textodeglobo"/>
    <w:uiPriority w:val="99"/>
    <w:rsid w:val="008E1780"/>
    <w:rPr>
      <w:rFonts w:ascii="Tahoma" w:hAnsi="Tahoma" w:cs="Tahoma"/>
      <w:sz w:val="16"/>
      <w:szCs w:val="16"/>
    </w:rPr>
  </w:style>
  <w:style w:type="paragraph" w:styleId="Encabezado">
    <w:name w:val="header"/>
    <w:basedOn w:val="Normal"/>
    <w:link w:val="EncabezadoCar"/>
    <w:uiPriority w:val="99"/>
    <w:unhideWhenUsed/>
    <w:rsid w:val="00557D47"/>
    <w:pPr>
      <w:tabs>
        <w:tab w:val="center" w:pos="4252"/>
        <w:tab w:val="right" w:pos="8504"/>
      </w:tabs>
    </w:pPr>
  </w:style>
  <w:style w:type="character" w:customStyle="1" w:styleId="EncabezadoCar">
    <w:name w:val="Encabezado Car"/>
    <w:basedOn w:val="Fuentedeprrafopredeter"/>
    <w:link w:val="Encabezado"/>
    <w:uiPriority w:val="99"/>
    <w:rsid w:val="00557D47"/>
  </w:style>
  <w:style w:type="paragraph" w:styleId="Piedepgina">
    <w:name w:val="footer"/>
    <w:basedOn w:val="Normal"/>
    <w:link w:val="PiedepginaCar"/>
    <w:uiPriority w:val="99"/>
    <w:unhideWhenUsed/>
    <w:rsid w:val="00557D47"/>
    <w:pPr>
      <w:tabs>
        <w:tab w:val="center" w:pos="4252"/>
        <w:tab w:val="right" w:pos="8504"/>
      </w:tabs>
    </w:pPr>
  </w:style>
  <w:style w:type="character" w:customStyle="1" w:styleId="PiedepginaCar">
    <w:name w:val="Pie de página Car"/>
    <w:basedOn w:val="Fuentedeprrafopredeter"/>
    <w:link w:val="Piedepgina"/>
    <w:uiPriority w:val="99"/>
    <w:rsid w:val="00557D47"/>
  </w:style>
  <w:style w:type="numbering" w:customStyle="1" w:styleId="Sinlista1">
    <w:name w:val="Sin lista1"/>
    <w:next w:val="Sinlista"/>
    <w:uiPriority w:val="99"/>
    <w:semiHidden/>
    <w:unhideWhenUsed/>
    <w:rsid w:val="001A7AE3"/>
  </w:style>
  <w:style w:type="character" w:customStyle="1" w:styleId="Ttulo1Car">
    <w:name w:val="Título 1 Car"/>
    <w:link w:val="Ttulo1"/>
    <w:uiPriority w:val="99"/>
    <w:locked/>
    <w:rsid w:val="001A7AE3"/>
    <w:rPr>
      <w:rFonts w:ascii="Arial" w:hAnsi="Arial"/>
      <w:outline/>
      <w:color w:val="000000"/>
      <w:sz w:val="96"/>
      <w14:textOutline w14:w="9525" w14:cap="flat" w14:cmpd="sng" w14:algn="ctr">
        <w14:solidFill>
          <w14:srgbClr w14:val="000000"/>
        </w14:solidFill>
        <w14:prstDash w14:val="solid"/>
        <w14:round/>
      </w14:textOutline>
      <w14:textFill>
        <w14:noFill/>
      </w14:textFill>
    </w:rPr>
  </w:style>
  <w:style w:type="paragraph" w:styleId="Bibliografa">
    <w:name w:val="Bibliography"/>
    <w:basedOn w:val="Normal"/>
    <w:next w:val="Normal"/>
    <w:uiPriority w:val="99"/>
    <w:rsid w:val="001A7AE3"/>
    <w:pPr>
      <w:spacing w:after="200" w:line="276" w:lineRule="auto"/>
    </w:pPr>
    <w:rPr>
      <w:rFonts w:eastAsia="Calibri"/>
      <w:sz w:val="24"/>
      <w:szCs w:val="24"/>
    </w:rPr>
  </w:style>
  <w:style w:type="paragraph" w:styleId="Textonotaalfinal">
    <w:name w:val="endnote text"/>
    <w:basedOn w:val="Normal"/>
    <w:link w:val="TextonotaalfinalCar"/>
    <w:uiPriority w:val="99"/>
    <w:semiHidden/>
    <w:rsid w:val="001A7AE3"/>
    <w:pPr>
      <w:spacing w:after="200" w:line="276" w:lineRule="auto"/>
    </w:pPr>
    <w:rPr>
      <w:rFonts w:eastAsia="Calibri"/>
    </w:rPr>
  </w:style>
  <w:style w:type="character" w:customStyle="1" w:styleId="TextonotaalfinalCar">
    <w:name w:val="Texto nota al final Car"/>
    <w:basedOn w:val="Fuentedeprrafopredeter"/>
    <w:link w:val="Textonotaalfinal"/>
    <w:uiPriority w:val="99"/>
    <w:semiHidden/>
    <w:rsid w:val="001A7AE3"/>
    <w:rPr>
      <w:rFonts w:eastAsia="Calibri"/>
    </w:rPr>
  </w:style>
  <w:style w:type="character" w:styleId="Refdenotaalfinal">
    <w:name w:val="endnote reference"/>
    <w:uiPriority w:val="99"/>
    <w:semiHidden/>
    <w:rsid w:val="001A7AE3"/>
    <w:rPr>
      <w:vertAlign w:val="superscript"/>
    </w:rPr>
  </w:style>
  <w:style w:type="paragraph" w:styleId="Textonotapie">
    <w:name w:val="footnote text"/>
    <w:basedOn w:val="Normal"/>
    <w:link w:val="TextonotapieCar"/>
    <w:uiPriority w:val="99"/>
    <w:semiHidden/>
    <w:rsid w:val="001A7AE3"/>
    <w:pPr>
      <w:spacing w:after="200" w:line="276" w:lineRule="auto"/>
    </w:pPr>
    <w:rPr>
      <w:rFonts w:eastAsia="Calibri"/>
    </w:rPr>
  </w:style>
  <w:style w:type="character" w:customStyle="1" w:styleId="TextonotapieCar">
    <w:name w:val="Texto nota pie Car"/>
    <w:basedOn w:val="Fuentedeprrafopredeter"/>
    <w:link w:val="Textonotapie"/>
    <w:uiPriority w:val="99"/>
    <w:semiHidden/>
    <w:rsid w:val="001A7AE3"/>
    <w:rPr>
      <w:rFonts w:eastAsia="Calibri"/>
    </w:rPr>
  </w:style>
  <w:style w:type="character" w:styleId="Refdenotaalpie">
    <w:name w:val="footnote reference"/>
    <w:uiPriority w:val="99"/>
    <w:semiHidden/>
    <w:rsid w:val="001A7AE3"/>
    <w:rPr>
      <w:vertAlign w:val="superscript"/>
    </w:rPr>
  </w:style>
  <w:style w:type="character" w:customStyle="1" w:styleId="Ttulo4Car">
    <w:name w:val="Título 4 Car"/>
    <w:basedOn w:val="Fuentedeprrafopredeter"/>
    <w:link w:val="Ttulo4"/>
    <w:rsid w:val="001A7AE3"/>
    <w:rPr>
      <w:rFonts w:ascii="Arial" w:hAnsi="Arial"/>
      <w:sz w:val="32"/>
    </w:rPr>
  </w:style>
  <w:style w:type="character" w:customStyle="1" w:styleId="Ttulo5Car">
    <w:name w:val="Título 5 Car"/>
    <w:basedOn w:val="Fuentedeprrafopredeter"/>
    <w:link w:val="Ttulo5"/>
    <w:rsid w:val="001A7AE3"/>
    <w:rPr>
      <w:rFonts w:ascii="Arial" w:hAnsi="Arial"/>
      <w:b/>
      <w:sz w:val="32"/>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3432E9-C2A3-4FED-BC0E-6A4069691C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1376</TotalTime>
  <Pages>62</Pages>
  <Words>17868</Words>
  <Characters>98278</Characters>
  <Application>Microsoft Office Word</Application>
  <DocSecurity>0</DocSecurity>
  <Lines>818</Lines>
  <Paragraphs>231</Paragraphs>
  <ScaleCrop>false</ScaleCrop>
  <HeadingPairs>
    <vt:vector size="2" baseType="variant">
      <vt:variant>
        <vt:lpstr>Título</vt:lpstr>
      </vt:variant>
      <vt:variant>
        <vt:i4>1</vt:i4>
      </vt:variant>
    </vt:vector>
  </HeadingPairs>
  <TitlesOfParts>
    <vt:vector size="1" baseType="lpstr">
      <vt:lpstr>Portada TFG</vt:lpstr>
    </vt:vector>
  </TitlesOfParts>
  <Company>Universidad de Jaén</Company>
  <LinksUpToDate>false</LinksUpToDate>
  <CharactersWithSpaces>115915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Portada TFG</dc:title>
  <dc:creator>UJA</dc:creator>
  <cp:keywords>Portada TFG</cp:keywords>
  <cp:lastModifiedBy>Jose</cp:lastModifiedBy>
  <cp:revision>24</cp:revision>
  <cp:lastPrinted>2014-04-29T09:22:00Z</cp:lastPrinted>
  <dcterms:created xsi:type="dcterms:W3CDTF">2014-04-29T10:25:00Z</dcterms:created>
  <dcterms:modified xsi:type="dcterms:W3CDTF">2016-10-03T22:19:00Z</dcterms:modified>
</cp:coreProperties>
</file>