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0F25" w:rsidRPr="00274631" w:rsidRDefault="00301E30" w:rsidP="00274631">
      <w:pPr>
        <w:spacing w:line="360" w:lineRule="auto"/>
        <w:ind w:left="8222" w:hanging="8222"/>
        <w:jc w:val="both"/>
        <w:rPr>
          <w:rFonts w:ascii="Times New Roman" w:hAnsi="Times New Roman" w:cs="Times New Roman"/>
          <w:sz w:val="24"/>
          <w:szCs w:val="24"/>
        </w:rPr>
      </w:pPr>
      <w:r w:rsidRPr="00274631">
        <w:rPr>
          <w:rFonts w:ascii="Times New Roman" w:hAnsi="Times New Roman" w:cs="Times New Roman"/>
          <w:sz w:val="24"/>
          <w:szCs w:val="24"/>
        </w:rPr>
        <w:t>Índice</w:t>
      </w:r>
    </w:p>
    <w:p w:rsidR="003F1D26" w:rsidRPr="00274631" w:rsidRDefault="003F1D26" w:rsidP="00274631">
      <w:pPr>
        <w:spacing w:line="360" w:lineRule="auto"/>
        <w:jc w:val="both"/>
        <w:rPr>
          <w:rFonts w:ascii="Times New Roman" w:hAnsi="Times New Roman" w:cs="Times New Roman"/>
          <w:sz w:val="24"/>
          <w:szCs w:val="24"/>
        </w:rPr>
      </w:pPr>
    </w:p>
    <w:p w:rsidR="003F1D26" w:rsidRPr="00274631" w:rsidRDefault="00301E30" w:rsidP="00274631">
      <w:pPr>
        <w:pStyle w:val="Prrafodelista"/>
        <w:numPr>
          <w:ilvl w:val="0"/>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derecho de igualdad hoy en día</w:t>
      </w:r>
      <w:r w:rsidR="00274631">
        <w:rPr>
          <w:rFonts w:ascii="Times New Roman" w:hAnsi="Times New Roman" w:cs="Times New Roman"/>
          <w:sz w:val="24"/>
          <w:szCs w:val="24"/>
        </w:rPr>
        <w:t xml:space="preserve">                                                                                  3</w:t>
      </w:r>
    </w:p>
    <w:p w:rsidR="00301E30" w:rsidRPr="00274631" w:rsidRDefault="00301E30" w:rsidP="00274631">
      <w:pPr>
        <w:pStyle w:val="Prrafodelista"/>
        <w:numPr>
          <w:ilvl w:val="0"/>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Ámbito Universal, Europeo y Español de los derechos humanos</w:t>
      </w:r>
      <w:r w:rsidR="00274631">
        <w:rPr>
          <w:rFonts w:ascii="Times New Roman" w:hAnsi="Times New Roman" w:cs="Times New Roman"/>
          <w:sz w:val="24"/>
          <w:szCs w:val="24"/>
        </w:rPr>
        <w:t xml:space="preserve">                                  4</w:t>
      </w:r>
    </w:p>
    <w:p w:rsidR="00301E30" w:rsidRPr="00274631" w:rsidRDefault="00301E30"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Ámbito Universal, la Organización de Naciones Unidas</w:t>
      </w:r>
      <w:r w:rsidR="00274631">
        <w:rPr>
          <w:rFonts w:ascii="Times New Roman" w:hAnsi="Times New Roman" w:cs="Times New Roman"/>
          <w:sz w:val="24"/>
          <w:szCs w:val="24"/>
        </w:rPr>
        <w:t xml:space="preserve">                                        4</w:t>
      </w:r>
    </w:p>
    <w:p w:rsidR="00301E30" w:rsidRPr="00274631" w:rsidRDefault="00301E30"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Ámbito Europeo</w:t>
      </w:r>
      <w:r w:rsidR="00274631">
        <w:rPr>
          <w:rFonts w:ascii="Times New Roman" w:hAnsi="Times New Roman" w:cs="Times New Roman"/>
          <w:sz w:val="24"/>
          <w:szCs w:val="24"/>
        </w:rPr>
        <w:t xml:space="preserve">                                                                                                        5</w:t>
      </w:r>
    </w:p>
    <w:p w:rsidR="00301E30" w:rsidRPr="00274631" w:rsidRDefault="00301E30"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Ámbito Español</w:t>
      </w:r>
      <w:r w:rsidR="00274631">
        <w:rPr>
          <w:rFonts w:ascii="Times New Roman" w:hAnsi="Times New Roman" w:cs="Times New Roman"/>
          <w:sz w:val="24"/>
          <w:szCs w:val="24"/>
        </w:rPr>
        <w:t xml:space="preserve">                                                                                                         7</w:t>
      </w:r>
    </w:p>
    <w:p w:rsidR="00301E30" w:rsidRPr="00274631" w:rsidRDefault="00301E30" w:rsidP="00274631">
      <w:pPr>
        <w:pStyle w:val="Prrafodelista"/>
        <w:numPr>
          <w:ilvl w:val="0"/>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Diferentes tipos de discriminación</w:t>
      </w:r>
      <w:r w:rsidR="00274631">
        <w:rPr>
          <w:rFonts w:ascii="Times New Roman" w:hAnsi="Times New Roman" w:cs="Times New Roman"/>
          <w:sz w:val="24"/>
          <w:szCs w:val="24"/>
        </w:rPr>
        <w:t xml:space="preserve">                                                                                  7</w:t>
      </w:r>
    </w:p>
    <w:p w:rsidR="00301E30" w:rsidRPr="00274631" w:rsidRDefault="00301E30"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Derecho a la no discriminación por razón de nacionalidad</w:t>
      </w:r>
      <w:r w:rsidR="00274631">
        <w:rPr>
          <w:rFonts w:ascii="Times New Roman" w:hAnsi="Times New Roman" w:cs="Times New Roman"/>
          <w:sz w:val="24"/>
          <w:szCs w:val="24"/>
        </w:rPr>
        <w:t xml:space="preserve">                                     7</w:t>
      </w:r>
    </w:p>
    <w:p w:rsidR="00301E30" w:rsidRPr="00274631" w:rsidRDefault="00301E30"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Derecho a la no discriminación por razón de raza</w:t>
      </w:r>
      <w:r w:rsidR="00274631">
        <w:rPr>
          <w:rFonts w:ascii="Times New Roman" w:hAnsi="Times New Roman" w:cs="Times New Roman"/>
          <w:sz w:val="24"/>
          <w:szCs w:val="24"/>
        </w:rPr>
        <w:t xml:space="preserve">                                                   8</w:t>
      </w:r>
    </w:p>
    <w:p w:rsidR="00301E30" w:rsidRPr="00274631" w:rsidRDefault="00301E30"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Derecho a la no discriminación por motivos religiosos</w:t>
      </w:r>
      <w:r w:rsidR="00274631">
        <w:rPr>
          <w:rFonts w:ascii="Times New Roman" w:hAnsi="Times New Roman" w:cs="Times New Roman"/>
          <w:sz w:val="24"/>
          <w:szCs w:val="24"/>
        </w:rPr>
        <w:t xml:space="preserve">                                         10</w:t>
      </w:r>
    </w:p>
    <w:p w:rsidR="00274631" w:rsidRDefault="00301E30"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Derecho a la no discriminación por razón de lengua</w:t>
      </w:r>
      <w:r w:rsidR="00274631">
        <w:rPr>
          <w:rFonts w:ascii="Times New Roman" w:hAnsi="Times New Roman" w:cs="Times New Roman"/>
          <w:sz w:val="24"/>
          <w:szCs w:val="24"/>
        </w:rPr>
        <w:t xml:space="preserve">                                             10</w:t>
      </w:r>
    </w:p>
    <w:p w:rsidR="00301E30" w:rsidRPr="00274631" w:rsidRDefault="00274631" w:rsidP="00274631">
      <w:pPr>
        <w:pStyle w:val="Prrafodelista"/>
        <w:numPr>
          <w:ilvl w:val="1"/>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Derecho a la no discriminación por razón de opción sexual                                   11    </w:t>
      </w:r>
    </w:p>
    <w:p w:rsidR="00301E30" w:rsidRPr="00274631" w:rsidRDefault="00301E30" w:rsidP="00274631">
      <w:pPr>
        <w:pStyle w:val="Prrafodelista"/>
        <w:numPr>
          <w:ilvl w:val="0"/>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Introducción a la evolución de la igualdad y la no discriminación por sexos     </w:t>
      </w:r>
      <w:r w:rsidR="00274631">
        <w:rPr>
          <w:rFonts w:ascii="Times New Roman" w:hAnsi="Times New Roman" w:cs="Times New Roman"/>
          <w:sz w:val="24"/>
          <w:szCs w:val="24"/>
        </w:rPr>
        <w:t xml:space="preserve">         12</w:t>
      </w:r>
    </w:p>
    <w:p w:rsidR="00301E30" w:rsidRPr="00274631" w:rsidRDefault="00301E30" w:rsidP="00274631">
      <w:pPr>
        <w:pStyle w:val="Prrafodelista"/>
        <w:numPr>
          <w:ilvl w:val="0"/>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Materia de igualdad de oportunidades entre hombres y mujeres, </w:t>
      </w:r>
      <w:r w:rsidR="00274631">
        <w:rPr>
          <w:rFonts w:ascii="Times New Roman" w:hAnsi="Times New Roman" w:cs="Times New Roman"/>
          <w:sz w:val="24"/>
          <w:szCs w:val="24"/>
        </w:rPr>
        <w:t xml:space="preserve">                          </w:t>
      </w:r>
    </w:p>
    <w:p w:rsidR="00301E30" w:rsidRPr="00274631" w:rsidRDefault="00301E30" w:rsidP="00274631">
      <w:pPr>
        <w:pStyle w:val="Prrafodelista"/>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normativa </w:t>
      </w:r>
      <w:r w:rsidR="006145DD" w:rsidRPr="00274631">
        <w:rPr>
          <w:rFonts w:ascii="Times New Roman" w:hAnsi="Times New Roman" w:cs="Times New Roman"/>
          <w:sz w:val="24"/>
          <w:szCs w:val="24"/>
        </w:rPr>
        <w:t>comunitaria</w:t>
      </w:r>
      <w:r w:rsidRPr="00274631">
        <w:rPr>
          <w:rFonts w:ascii="Times New Roman" w:hAnsi="Times New Roman" w:cs="Times New Roman"/>
          <w:sz w:val="24"/>
          <w:szCs w:val="24"/>
        </w:rPr>
        <w:t xml:space="preserve"> y nacional</w:t>
      </w:r>
      <w:r w:rsidR="00274631">
        <w:rPr>
          <w:rFonts w:ascii="Times New Roman" w:hAnsi="Times New Roman" w:cs="Times New Roman"/>
          <w:sz w:val="24"/>
          <w:szCs w:val="24"/>
        </w:rPr>
        <w:t xml:space="preserve">                                                                                14</w:t>
      </w:r>
    </w:p>
    <w:p w:rsidR="006145DD" w:rsidRPr="00274631" w:rsidRDefault="006145DD"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Normativa Comunitaria</w:t>
      </w:r>
      <w:r w:rsidR="00274631">
        <w:rPr>
          <w:rFonts w:ascii="Times New Roman" w:hAnsi="Times New Roman" w:cs="Times New Roman"/>
          <w:sz w:val="24"/>
          <w:szCs w:val="24"/>
        </w:rPr>
        <w:t xml:space="preserve">                                                                                          14</w:t>
      </w:r>
    </w:p>
    <w:p w:rsidR="006145DD" w:rsidRPr="00274631" w:rsidRDefault="006145DD" w:rsidP="00274631">
      <w:pPr>
        <w:pStyle w:val="Prrafodelista"/>
        <w:numPr>
          <w:ilvl w:val="2"/>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igualdad de oportunidades entre el hombre y la mujer a nivel</w:t>
      </w:r>
    </w:p>
    <w:p w:rsidR="006145DD" w:rsidRPr="00274631" w:rsidRDefault="006145DD" w:rsidP="00274631">
      <w:pPr>
        <w:pStyle w:val="Prrafodelista"/>
        <w:spacing w:line="360" w:lineRule="auto"/>
        <w:ind w:left="1800"/>
        <w:jc w:val="both"/>
        <w:rPr>
          <w:rFonts w:ascii="Times New Roman" w:hAnsi="Times New Roman" w:cs="Times New Roman"/>
          <w:sz w:val="24"/>
          <w:szCs w:val="24"/>
        </w:rPr>
      </w:pPr>
      <w:r w:rsidRPr="00274631">
        <w:rPr>
          <w:rFonts w:ascii="Times New Roman" w:hAnsi="Times New Roman" w:cs="Times New Roman"/>
          <w:sz w:val="24"/>
          <w:szCs w:val="24"/>
        </w:rPr>
        <w:t>Europeo</w:t>
      </w:r>
      <w:r w:rsidR="00274631">
        <w:rPr>
          <w:rFonts w:ascii="Times New Roman" w:hAnsi="Times New Roman" w:cs="Times New Roman"/>
          <w:sz w:val="24"/>
          <w:szCs w:val="24"/>
        </w:rPr>
        <w:t xml:space="preserve">                                                                                                       15</w:t>
      </w:r>
    </w:p>
    <w:p w:rsidR="006145DD" w:rsidRPr="00274631" w:rsidRDefault="006145DD" w:rsidP="00274631">
      <w:pPr>
        <w:pStyle w:val="Prrafodelista"/>
        <w:numPr>
          <w:ilvl w:val="2"/>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Las directivas europeas</w:t>
      </w:r>
      <w:r w:rsidR="00274631">
        <w:rPr>
          <w:rFonts w:ascii="Times New Roman" w:hAnsi="Times New Roman" w:cs="Times New Roman"/>
          <w:sz w:val="24"/>
          <w:szCs w:val="24"/>
        </w:rPr>
        <w:t xml:space="preserve">                                                                               15                     </w:t>
      </w:r>
    </w:p>
    <w:p w:rsidR="006145DD" w:rsidRPr="00274631" w:rsidRDefault="006145DD" w:rsidP="00274631">
      <w:pPr>
        <w:pStyle w:val="Prrafodelista"/>
        <w:numPr>
          <w:ilvl w:val="2"/>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Resoluciones del Consejo</w:t>
      </w:r>
      <w:r w:rsidR="00274631">
        <w:rPr>
          <w:rFonts w:ascii="Times New Roman" w:hAnsi="Times New Roman" w:cs="Times New Roman"/>
          <w:sz w:val="24"/>
          <w:szCs w:val="24"/>
        </w:rPr>
        <w:t xml:space="preserve">                                                                           17</w:t>
      </w:r>
    </w:p>
    <w:p w:rsidR="006145DD" w:rsidRPr="00274631" w:rsidRDefault="006145DD" w:rsidP="00274631">
      <w:pPr>
        <w:pStyle w:val="Prrafodelista"/>
        <w:numPr>
          <w:ilvl w:val="2"/>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Recomendaciones e informes de la Comisión</w:t>
      </w:r>
      <w:r w:rsidR="00274631">
        <w:rPr>
          <w:rFonts w:ascii="Times New Roman" w:hAnsi="Times New Roman" w:cs="Times New Roman"/>
          <w:sz w:val="24"/>
          <w:szCs w:val="24"/>
        </w:rPr>
        <w:t xml:space="preserve">                                            18</w:t>
      </w:r>
    </w:p>
    <w:p w:rsidR="006145DD" w:rsidRPr="00274631" w:rsidRDefault="006145DD"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Normativa Nacional</w:t>
      </w:r>
      <w:r w:rsidR="00274631">
        <w:rPr>
          <w:rFonts w:ascii="Times New Roman" w:hAnsi="Times New Roman" w:cs="Times New Roman"/>
          <w:sz w:val="24"/>
          <w:szCs w:val="24"/>
        </w:rPr>
        <w:t xml:space="preserve">                                                                                               19</w:t>
      </w:r>
    </w:p>
    <w:p w:rsidR="006145DD" w:rsidRPr="00274631" w:rsidRDefault="006145DD" w:rsidP="00274631">
      <w:pPr>
        <w:pStyle w:val="Prrafodelista"/>
        <w:numPr>
          <w:ilvl w:val="2"/>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Constitución Española, artículo 14</w:t>
      </w:r>
      <w:r w:rsidR="00274631">
        <w:rPr>
          <w:rFonts w:ascii="Times New Roman" w:hAnsi="Times New Roman" w:cs="Times New Roman"/>
          <w:sz w:val="24"/>
          <w:szCs w:val="24"/>
        </w:rPr>
        <w:t xml:space="preserve">                                                        19</w:t>
      </w:r>
    </w:p>
    <w:p w:rsidR="006145DD" w:rsidRPr="00274631" w:rsidRDefault="006145DD" w:rsidP="00274631">
      <w:pPr>
        <w:pStyle w:val="Prrafodelista"/>
        <w:numPr>
          <w:ilvl w:val="2"/>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igualdad de sexo en el ámbito jurídico civil</w:t>
      </w:r>
      <w:r w:rsidR="00274631">
        <w:rPr>
          <w:rFonts w:ascii="Times New Roman" w:hAnsi="Times New Roman" w:cs="Times New Roman"/>
          <w:sz w:val="24"/>
          <w:szCs w:val="24"/>
        </w:rPr>
        <w:t xml:space="preserve">                                          20</w:t>
      </w:r>
    </w:p>
    <w:p w:rsidR="006145DD" w:rsidRPr="00274631" w:rsidRDefault="006145DD" w:rsidP="00274631">
      <w:pPr>
        <w:pStyle w:val="Prrafodelista"/>
        <w:numPr>
          <w:ilvl w:val="2"/>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igualdad de sexo en el ámbito jurídico laboral</w:t>
      </w:r>
      <w:r w:rsidR="00274631">
        <w:rPr>
          <w:rFonts w:ascii="Times New Roman" w:hAnsi="Times New Roman" w:cs="Times New Roman"/>
          <w:sz w:val="24"/>
          <w:szCs w:val="24"/>
        </w:rPr>
        <w:t xml:space="preserve">                                      20</w:t>
      </w:r>
    </w:p>
    <w:p w:rsidR="006145DD" w:rsidRPr="00274631" w:rsidRDefault="006145DD" w:rsidP="00274631">
      <w:pPr>
        <w:pStyle w:val="Prrafodelista"/>
        <w:numPr>
          <w:ilvl w:val="3"/>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La conciliación laboral</w:t>
      </w:r>
      <w:r w:rsidR="00274631">
        <w:rPr>
          <w:rFonts w:ascii="Times New Roman" w:hAnsi="Times New Roman" w:cs="Times New Roman"/>
          <w:sz w:val="24"/>
          <w:szCs w:val="24"/>
        </w:rPr>
        <w:t xml:space="preserve">                                                                         20</w:t>
      </w:r>
    </w:p>
    <w:p w:rsidR="006145DD" w:rsidRPr="00274631" w:rsidRDefault="006145DD" w:rsidP="00274631">
      <w:pPr>
        <w:pStyle w:val="Prrafodelista"/>
        <w:numPr>
          <w:ilvl w:val="3"/>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La suspensión del contrato por paternidad</w:t>
      </w:r>
      <w:r w:rsidR="00274631">
        <w:rPr>
          <w:rFonts w:ascii="Times New Roman" w:hAnsi="Times New Roman" w:cs="Times New Roman"/>
          <w:sz w:val="24"/>
          <w:szCs w:val="24"/>
        </w:rPr>
        <w:t xml:space="preserve">                                           23</w:t>
      </w:r>
    </w:p>
    <w:p w:rsidR="006145DD" w:rsidRPr="00274631" w:rsidRDefault="006145DD" w:rsidP="00274631">
      <w:pPr>
        <w:pStyle w:val="Prrafodelista"/>
        <w:numPr>
          <w:ilvl w:val="2"/>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Consecuencias penales de la discriminación por razón de sexo</w:t>
      </w:r>
      <w:r w:rsidR="00274631">
        <w:rPr>
          <w:rFonts w:ascii="Times New Roman" w:hAnsi="Times New Roman" w:cs="Times New Roman"/>
          <w:sz w:val="24"/>
          <w:szCs w:val="24"/>
        </w:rPr>
        <w:t xml:space="preserve">                 24</w:t>
      </w:r>
    </w:p>
    <w:p w:rsidR="006145DD" w:rsidRPr="00274631" w:rsidRDefault="00FD1E25" w:rsidP="00274631">
      <w:pPr>
        <w:pStyle w:val="Prrafodelista"/>
        <w:numPr>
          <w:ilvl w:val="0"/>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Instituciones y legislación en materia de igualdad de oportunidades entre el </w:t>
      </w:r>
      <w:r w:rsidR="00274631">
        <w:rPr>
          <w:rFonts w:ascii="Times New Roman" w:hAnsi="Times New Roman" w:cs="Times New Roman"/>
          <w:sz w:val="24"/>
          <w:szCs w:val="24"/>
        </w:rPr>
        <w:t xml:space="preserve">  </w:t>
      </w:r>
    </w:p>
    <w:p w:rsidR="00FD1E25" w:rsidRPr="00274631" w:rsidRDefault="00FD1E25" w:rsidP="00274631">
      <w:pPr>
        <w:pStyle w:val="Prrafodelista"/>
        <w:spacing w:line="360" w:lineRule="auto"/>
        <w:jc w:val="both"/>
        <w:rPr>
          <w:rFonts w:ascii="Times New Roman" w:hAnsi="Times New Roman" w:cs="Times New Roman"/>
          <w:sz w:val="24"/>
          <w:szCs w:val="24"/>
        </w:rPr>
      </w:pPr>
      <w:proofErr w:type="gramStart"/>
      <w:r w:rsidRPr="00274631">
        <w:rPr>
          <w:rFonts w:ascii="Times New Roman" w:hAnsi="Times New Roman" w:cs="Times New Roman"/>
          <w:sz w:val="24"/>
          <w:szCs w:val="24"/>
        </w:rPr>
        <w:t>hombre</w:t>
      </w:r>
      <w:proofErr w:type="gramEnd"/>
      <w:r w:rsidRPr="00274631">
        <w:rPr>
          <w:rFonts w:ascii="Times New Roman" w:hAnsi="Times New Roman" w:cs="Times New Roman"/>
          <w:sz w:val="24"/>
          <w:szCs w:val="24"/>
        </w:rPr>
        <w:t xml:space="preserve"> y la mujer</w:t>
      </w:r>
      <w:r w:rsidR="00274631">
        <w:rPr>
          <w:rFonts w:ascii="Times New Roman" w:hAnsi="Times New Roman" w:cs="Times New Roman"/>
          <w:sz w:val="24"/>
          <w:szCs w:val="24"/>
        </w:rPr>
        <w:t xml:space="preserve">                                                                                                         25</w:t>
      </w:r>
    </w:p>
    <w:p w:rsidR="00FD1E25" w:rsidRPr="00274631" w:rsidRDefault="00FD1E25"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Observatorio de la Igualdad de oportunidades entre mujeres y hombres</w:t>
      </w:r>
      <w:r w:rsidR="00274631">
        <w:rPr>
          <w:rFonts w:ascii="Times New Roman" w:hAnsi="Times New Roman" w:cs="Times New Roman"/>
          <w:sz w:val="24"/>
          <w:szCs w:val="24"/>
        </w:rPr>
        <w:t xml:space="preserve">              25</w:t>
      </w:r>
    </w:p>
    <w:p w:rsidR="00FD1E25" w:rsidRPr="00274631" w:rsidRDefault="00FD1E25"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Acuerdo de Consejo de Ministros por el que se acuerdan medidas para </w:t>
      </w:r>
      <w:r w:rsidR="00274631">
        <w:rPr>
          <w:rFonts w:ascii="Times New Roman" w:hAnsi="Times New Roman" w:cs="Times New Roman"/>
          <w:sz w:val="24"/>
          <w:szCs w:val="24"/>
        </w:rPr>
        <w:t xml:space="preserve">              26</w:t>
      </w:r>
    </w:p>
    <w:p w:rsidR="00FD1E25" w:rsidRPr="00274631" w:rsidRDefault="00FD1E25" w:rsidP="00274631">
      <w:pPr>
        <w:pStyle w:val="Prrafodelista"/>
        <w:spacing w:line="360" w:lineRule="auto"/>
        <w:ind w:left="1080"/>
        <w:jc w:val="both"/>
        <w:rPr>
          <w:rFonts w:ascii="Times New Roman" w:hAnsi="Times New Roman" w:cs="Times New Roman"/>
          <w:sz w:val="24"/>
          <w:szCs w:val="24"/>
        </w:rPr>
      </w:pPr>
      <w:r w:rsidRPr="00274631">
        <w:rPr>
          <w:rFonts w:ascii="Times New Roman" w:hAnsi="Times New Roman" w:cs="Times New Roman"/>
          <w:sz w:val="24"/>
          <w:szCs w:val="24"/>
        </w:rPr>
        <w:lastRenderedPageBreak/>
        <w:t xml:space="preserve"> </w:t>
      </w:r>
      <w:proofErr w:type="gramStart"/>
      <w:r w:rsidRPr="00274631">
        <w:rPr>
          <w:rFonts w:ascii="Times New Roman" w:hAnsi="Times New Roman" w:cs="Times New Roman"/>
          <w:sz w:val="24"/>
          <w:szCs w:val="24"/>
        </w:rPr>
        <w:t>favorecer</w:t>
      </w:r>
      <w:proofErr w:type="gramEnd"/>
      <w:r w:rsidRPr="00274631">
        <w:rPr>
          <w:rFonts w:ascii="Times New Roman" w:hAnsi="Times New Roman" w:cs="Times New Roman"/>
          <w:sz w:val="24"/>
          <w:szCs w:val="24"/>
        </w:rPr>
        <w:t xml:space="preserve"> la igualdad entre mujeres  y hombres</w:t>
      </w:r>
      <w:r w:rsidR="009B4926" w:rsidRPr="00274631">
        <w:rPr>
          <w:rFonts w:ascii="Times New Roman" w:hAnsi="Times New Roman" w:cs="Times New Roman"/>
          <w:sz w:val="24"/>
          <w:szCs w:val="24"/>
        </w:rPr>
        <w:t>.</w:t>
      </w:r>
    </w:p>
    <w:p w:rsidR="00FD1E25" w:rsidRPr="00274631" w:rsidRDefault="00FD1E25"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Delegación del Gobierno para la Violencia de Género</w:t>
      </w:r>
      <w:r w:rsidR="00274631">
        <w:rPr>
          <w:rFonts w:ascii="Times New Roman" w:hAnsi="Times New Roman" w:cs="Times New Roman"/>
          <w:sz w:val="24"/>
          <w:szCs w:val="24"/>
        </w:rPr>
        <w:t xml:space="preserve">                                           26</w:t>
      </w:r>
    </w:p>
    <w:p w:rsidR="009B4926" w:rsidRPr="00274631" w:rsidRDefault="00FD1E25"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Real Decreto 253/2006, por el que se establecen las funciones, el régimen</w:t>
      </w:r>
      <w:r w:rsidR="009B4926" w:rsidRPr="00274631">
        <w:rPr>
          <w:rFonts w:ascii="Times New Roman" w:hAnsi="Times New Roman" w:cs="Times New Roman"/>
          <w:sz w:val="24"/>
          <w:szCs w:val="24"/>
        </w:rPr>
        <w:t xml:space="preserve"> de  </w:t>
      </w:r>
      <w:r w:rsidRPr="00274631">
        <w:rPr>
          <w:rFonts w:ascii="Times New Roman" w:hAnsi="Times New Roman" w:cs="Times New Roman"/>
          <w:sz w:val="24"/>
          <w:szCs w:val="24"/>
        </w:rPr>
        <w:t xml:space="preserve">funcionamiento y la composición del observatorio estatal de la violencia </w:t>
      </w:r>
    </w:p>
    <w:p w:rsidR="00FD1E25" w:rsidRPr="00274631" w:rsidRDefault="00FD1E25" w:rsidP="00274631">
      <w:pPr>
        <w:pStyle w:val="Prrafodelista"/>
        <w:spacing w:line="360" w:lineRule="auto"/>
        <w:ind w:left="1080"/>
        <w:jc w:val="both"/>
        <w:rPr>
          <w:rFonts w:ascii="Times New Roman" w:hAnsi="Times New Roman" w:cs="Times New Roman"/>
          <w:sz w:val="24"/>
          <w:szCs w:val="24"/>
        </w:rPr>
      </w:pPr>
      <w:proofErr w:type="gramStart"/>
      <w:r w:rsidRPr="00274631">
        <w:rPr>
          <w:rFonts w:ascii="Times New Roman" w:hAnsi="Times New Roman" w:cs="Times New Roman"/>
          <w:sz w:val="24"/>
          <w:szCs w:val="24"/>
        </w:rPr>
        <w:t>sobre</w:t>
      </w:r>
      <w:proofErr w:type="gramEnd"/>
      <w:r w:rsidRPr="00274631">
        <w:rPr>
          <w:rFonts w:ascii="Times New Roman" w:hAnsi="Times New Roman" w:cs="Times New Roman"/>
          <w:sz w:val="24"/>
          <w:szCs w:val="24"/>
        </w:rPr>
        <w:t xml:space="preserve"> la mujer</w:t>
      </w:r>
      <w:r w:rsidR="00274631">
        <w:rPr>
          <w:rFonts w:ascii="Times New Roman" w:hAnsi="Times New Roman" w:cs="Times New Roman"/>
          <w:sz w:val="24"/>
          <w:szCs w:val="24"/>
        </w:rPr>
        <w:t xml:space="preserve">                                                                                                          28</w:t>
      </w:r>
    </w:p>
    <w:p w:rsidR="00274631" w:rsidRDefault="007F70D3" w:rsidP="00274631">
      <w:pPr>
        <w:pStyle w:val="Prrafodelista"/>
        <w:numPr>
          <w:ilvl w:val="0"/>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Ley Orgánica 3/2007, de 22 de Marzo, para la igualdad efectiva de mujeres </w:t>
      </w:r>
    </w:p>
    <w:p w:rsidR="007F70D3" w:rsidRPr="00274631" w:rsidRDefault="007F70D3" w:rsidP="00274631">
      <w:pPr>
        <w:pStyle w:val="Prrafodelista"/>
        <w:spacing w:line="360" w:lineRule="auto"/>
        <w:jc w:val="both"/>
        <w:rPr>
          <w:rFonts w:ascii="Times New Roman" w:hAnsi="Times New Roman" w:cs="Times New Roman"/>
          <w:sz w:val="24"/>
          <w:szCs w:val="24"/>
        </w:rPr>
      </w:pPr>
      <w:proofErr w:type="gramStart"/>
      <w:r w:rsidRPr="00274631">
        <w:rPr>
          <w:rFonts w:ascii="Times New Roman" w:hAnsi="Times New Roman" w:cs="Times New Roman"/>
          <w:sz w:val="24"/>
          <w:szCs w:val="24"/>
        </w:rPr>
        <w:t>y</w:t>
      </w:r>
      <w:proofErr w:type="gramEnd"/>
      <w:r w:rsidR="009B4926" w:rsidRPr="00274631">
        <w:rPr>
          <w:rFonts w:ascii="Times New Roman" w:hAnsi="Times New Roman" w:cs="Times New Roman"/>
          <w:sz w:val="24"/>
          <w:szCs w:val="24"/>
        </w:rPr>
        <w:t xml:space="preserve"> </w:t>
      </w:r>
      <w:r w:rsidRPr="00274631">
        <w:rPr>
          <w:rFonts w:ascii="Times New Roman" w:hAnsi="Times New Roman" w:cs="Times New Roman"/>
          <w:sz w:val="24"/>
          <w:szCs w:val="24"/>
        </w:rPr>
        <w:t xml:space="preserve">hombres </w:t>
      </w:r>
      <w:r w:rsidR="00274631">
        <w:rPr>
          <w:rFonts w:ascii="Times New Roman" w:hAnsi="Times New Roman" w:cs="Times New Roman"/>
          <w:sz w:val="24"/>
          <w:szCs w:val="24"/>
        </w:rPr>
        <w:t xml:space="preserve">                                                                                                                     29</w:t>
      </w:r>
    </w:p>
    <w:p w:rsidR="007F70D3" w:rsidRPr="00274631" w:rsidRDefault="007F70D3"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Introducción</w:t>
      </w:r>
      <w:r w:rsidR="00274631">
        <w:rPr>
          <w:rFonts w:ascii="Times New Roman" w:hAnsi="Times New Roman" w:cs="Times New Roman"/>
          <w:sz w:val="24"/>
          <w:szCs w:val="24"/>
        </w:rPr>
        <w:t xml:space="preserve">                                                                                                            29</w:t>
      </w:r>
    </w:p>
    <w:p w:rsidR="007F70D3" w:rsidRPr="00274631" w:rsidRDefault="007F70D3"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Discriminación directa e indirecta</w:t>
      </w:r>
      <w:r w:rsidR="00274631">
        <w:rPr>
          <w:rFonts w:ascii="Times New Roman" w:hAnsi="Times New Roman" w:cs="Times New Roman"/>
          <w:sz w:val="24"/>
          <w:szCs w:val="24"/>
        </w:rPr>
        <w:t xml:space="preserve">                                                                         30</w:t>
      </w:r>
    </w:p>
    <w:p w:rsidR="007F70D3" w:rsidRPr="00274631" w:rsidRDefault="007F70D3"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Acoso sexual y acoso por razón de sexo</w:t>
      </w:r>
      <w:r w:rsidR="00274631">
        <w:rPr>
          <w:rFonts w:ascii="Times New Roman" w:hAnsi="Times New Roman" w:cs="Times New Roman"/>
          <w:sz w:val="24"/>
          <w:szCs w:val="24"/>
        </w:rPr>
        <w:t xml:space="preserve">                                                                 30</w:t>
      </w:r>
    </w:p>
    <w:p w:rsidR="007F70D3" w:rsidRPr="00274631" w:rsidRDefault="007F70D3" w:rsidP="00274631">
      <w:pPr>
        <w:pStyle w:val="Prrafodelista"/>
        <w:numPr>
          <w:ilvl w:val="1"/>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Políticas públicas para la igualdad</w:t>
      </w:r>
      <w:r w:rsidR="00274631">
        <w:rPr>
          <w:rFonts w:ascii="Times New Roman" w:hAnsi="Times New Roman" w:cs="Times New Roman"/>
          <w:sz w:val="24"/>
          <w:szCs w:val="24"/>
        </w:rPr>
        <w:t xml:space="preserve">                                                                          31</w:t>
      </w:r>
    </w:p>
    <w:p w:rsidR="007F70D3" w:rsidRPr="00274631" w:rsidRDefault="007F70D3" w:rsidP="00274631">
      <w:pPr>
        <w:pStyle w:val="Prrafodelista"/>
        <w:numPr>
          <w:ilvl w:val="0"/>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Opinión y resumen</w:t>
      </w:r>
      <w:r w:rsidR="00274631">
        <w:rPr>
          <w:rFonts w:ascii="Times New Roman" w:hAnsi="Times New Roman" w:cs="Times New Roman"/>
          <w:sz w:val="24"/>
          <w:szCs w:val="24"/>
        </w:rPr>
        <w:t xml:space="preserve">                                                                                                        33</w:t>
      </w:r>
    </w:p>
    <w:p w:rsidR="0026571E" w:rsidRPr="00274631" w:rsidRDefault="0026571E" w:rsidP="00274631">
      <w:pPr>
        <w:pStyle w:val="Prrafodelista"/>
        <w:numPr>
          <w:ilvl w:val="0"/>
          <w:numId w:val="3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Bibliografía</w:t>
      </w:r>
      <w:r w:rsidR="00274631" w:rsidRPr="00274631">
        <w:rPr>
          <w:rFonts w:ascii="Times New Roman" w:hAnsi="Times New Roman" w:cs="Times New Roman"/>
          <w:sz w:val="24"/>
          <w:szCs w:val="24"/>
        </w:rPr>
        <w:t xml:space="preserve">                                                                                                               </w:t>
      </w:r>
      <w:r w:rsidR="00274631">
        <w:rPr>
          <w:rFonts w:ascii="Times New Roman" w:hAnsi="Times New Roman" w:cs="Times New Roman"/>
          <w:sz w:val="24"/>
          <w:szCs w:val="24"/>
        </w:rPr>
        <w:t xml:space="preserve">    </w:t>
      </w:r>
      <w:r w:rsidR="00274631" w:rsidRPr="00274631">
        <w:rPr>
          <w:rFonts w:ascii="Times New Roman" w:hAnsi="Times New Roman" w:cs="Times New Roman"/>
          <w:sz w:val="24"/>
          <w:szCs w:val="24"/>
        </w:rPr>
        <w:t>35</w:t>
      </w:r>
    </w:p>
    <w:p w:rsidR="00FD1E25" w:rsidRPr="00274631" w:rsidRDefault="00FD1E25" w:rsidP="00274631">
      <w:pPr>
        <w:spacing w:line="360" w:lineRule="auto"/>
        <w:jc w:val="both"/>
        <w:rPr>
          <w:rFonts w:ascii="Times New Roman" w:hAnsi="Times New Roman" w:cs="Times New Roman"/>
          <w:sz w:val="24"/>
          <w:szCs w:val="24"/>
        </w:rPr>
      </w:pPr>
    </w:p>
    <w:p w:rsidR="00FD1E25" w:rsidRPr="00274631" w:rsidRDefault="00FD1E25" w:rsidP="00274631">
      <w:pPr>
        <w:pStyle w:val="Prrafodelista"/>
        <w:spacing w:line="360" w:lineRule="auto"/>
        <w:ind w:left="1080"/>
        <w:jc w:val="both"/>
        <w:rPr>
          <w:rFonts w:ascii="Times New Roman" w:hAnsi="Times New Roman" w:cs="Times New Roman"/>
          <w:sz w:val="24"/>
          <w:szCs w:val="24"/>
        </w:rPr>
      </w:pPr>
    </w:p>
    <w:p w:rsidR="00FD1E25" w:rsidRPr="00274631" w:rsidRDefault="00FD1E25" w:rsidP="00274631">
      <w:pPr>
        <w:pStyle w:val="Prrafodelista"/>
        <w:spacing w:line="360" w:lineRule="auto"/>
        <w:ind w:left="1080"/>
        <w:jc w:val="both"/>
        <w:rPr>
          <w:rFonts w:ascii="Times New Roman" w:hAnsi="Times New Roman" w:cs="Times New Roman"/>
          <w:sz w:val="24"/>
          <w:szCs w:val="24"/>
        </w:rPr>
      </w:pPr>
    </w:p>
    <w:p w:rsidR="00FD1E25" w:rsidRPr="00274631" w:rsidRDefault="00FD1E25" w:rsidP="00274631">
      <w:pPr>
        <w:pStyle w:val="Prrafodelista"/>
        <w:spacing w:line="360" w:lineRule="auto"/>
        <w:ind w:left="1080"/>
        <w:jc w:val="both"/>
        <w:rPr>
          <w:rFonts w:ascii="Times New Roman" w:hAnsi="Times New Roman" w:cs="Times New Roman"/>
          <w:sz w:val="24"/>
          <w:szCs w:val="24"/>
        </w:rPr>
      </w:pPr>
    </w:p>
    <w:p w:rsidR="003F1D26" w:rsidRPr="00274631" w:rsidRDefault="003F1D26" w:rsidP="00274631">
      <w:pPr>
        <w:spacing w:line="360" w:lineRule="auto"/>
        <w:jc w:val="both"/>
        <w:rPr>
          <w:rFonts w:ascii="Times New Roman" w:hAnsi="Times New Roman" w:cs="Times New Roman"/>
          <w:sz w:val="24"/>
          <w:szCs w:val="24"/>
        </w:rPr>
      </w:pPr>
    </w:p>
    <w:p w:rsidR="003F1D26" w:rsidRPr="00274631" w:rsidRDefault="003F1D26" w:rsidP="00274631">
      <w:pPr>
        <w:spacing w:line="360" w:lineRule="auto"/>
        <w:jc w:val="both"/>
        <w:rPr>
          <w:rFonts w:ascii="Times New Roman" w:hAnsi="Times New Roman" w:cs="Times New Roman"/>
          <w:sz w:val="24"/>
          <w:szCs w:val="24"/>
        </w:rPr>
      </w:pPr>
    </w:p>
    <w:p w:rsidR="003F1D26" w:rsidRPr="00274631" w:rsidRDefault="003F1D26" w:rsidP="00274631">
      <w:pPr>
        <w:spacing w:line="360" w:lineRule="auto"/>
        <w:jc w:val="both"/>
        <w:rPr>
          <w:rFonts w:ascii="Times New Roman" w:hAnsi="Times New Roman" w:cs="Times New Roman"/>
          <w:sz w:val="24"/>
          <w:szCs w:val="24"/>
        </w:rPr>
      </w:pPr>
    </w:p>
    <w:p w:rsidR="003F1D26" w:rsidRPr="00274631" w:rsidRDefault="003F1D26" w:rsidP="00274631">
      <w:pPr>
        <w:spacing w:line="360" w:lineRule="auto"/>
        <w:jc w:val="both"/>
        <w:rPr>
          <w:rFonts w:ascii="Times New Roman" w:hAnsi="Times New Roman" w:cs="Times New Roman"/>
          <w:sz w:val="24"/>
          <w:szCs w:val="24"/>
        </w:rPr>
      </w:pPr>
    </w:p>
    <w:p w:rsidR="003F1D26" w:rsidRPr="00274631" w:rsidRDefault="003F1D26" w:rsidP="00274631">
      <w:pPr>
        <w:spacing w:line="360" w:lineRule="auto"/>
        <w:jc w:val="both"/>
        <w:rPr>
          <w:rFonts w:ascii="Times New Roman" w:hAnsi="Times New Roman" w:cs="Times New Roman"/>
          <w:sz w:val="24"/>
          <w:szCs w:val="24"/>
        </w:rPr>
      </w:pPr>
    </w:p>
    <w:p w:rsidR="003F1D26" w:rsidRPr="00274631" w:rsidRDefault="003F1D26" w:rsidP="00274631">
      <w:pPr>
        <w:spacing w:line="360" w:lineRule="auto"/>
        <w:jc w:val="both"/>
        <w:rPr>
          <w:rFonts w:ascii="Times New Roman" w:hAnsi="Times New Roman" w:cs="Times New Roman"/>
          <w:sz w:val="24"/>
          <w:szCs w:val="24"/>
        </w:rPr>
      </w:pPr>
    </w:p>
    <w:p w:rsidR="003F1D26" w:rsidRPr="00274631" w:rsidRDefault="003F1D26" w:rsidP="00274631">
      <w:pPr>
        <w:spacing w:line="360" w:lineRule="auto"/>
        <w:jc w:val="both"/>
        <w:rPr>
          <w:rFonts w:ascii="Times New Roman" w:hAnsi="Times New Roman" w:cs="Times New Roman"/>
          <w:sz w:val="24"/>
          <w:szCs w:val="24"/>
        </w:rPr>
      </w:pPr>
    </w:p>
    <w:p w:rsidR="003F1D26" w:rsidRPr="00274631" w:rsidRDefault="003F1D26" w:rsidP="00274631">
      <w:pPr>
        <w:spacing w:line="360" w:lineRule="auto"/>
        <w:jc w:val="both"/>
        <w:rPr>
          <w:rFonts w:ascii="Times New Roman" w:hAnsi="Times New Roman" w:cs="Times New Roman"/>
          <w:sz w:val="24"/>
          <w:szCs w:val="24"/>
        </w:rPr>
      </w:pPr>
    </w:p>
    <w:p w:rsidR="003F1D26" w:rsidRPr="00274631" w:rsidRDefault="003F1D26" w:rsidP="00274631">
      <w:pPr>
        <w:spacing w:line="360" w:lineRule="auto"/>
        <w:jc w:val="both"/>
        <w:rPr>
          <w:rFonts w:ascii="Times New Roman" w:hAnsi="Times New Roman" w:cs="Times New Roman"/>
          <w:sz w:val="24"/>
          <w:szCs w:val="24"/>
        </w:rPr>
      </w:pPr>
    </w:p>
    <w:p w:rsidR="003F1D26" w:rsidRPr="00274631" w:rsidRDefault="003F1D26" w:rsidP="00274631">
      <w:pPr>
        <w:spacing w:line="360" w:lineRule="auto"/>
        <w:jc w:val="both"/>
        <w:rPr>
          <w:rFonts w:ascii="Times New Roman" w:hAnsi="Times New Roman" w:cs="Times New Roman"/>
          <w:sz w:val="24"/>
          <w:szCs w:val="24"/>
        </w:rPr>
      </w:pPr>
    </w:p>
    <w:p w:rsidR="00274631" w:rsidRDefault="00274631" w:rsidP="00274631">
      <w:pPr>
        <w:spacing w:line="360" w:lineRule="auto"/>
        <w:jc w:val="both"/>
        <w:rPr>
          <w:rFonts w:ascii="Times New Roman" w:hAnsi="Times New Roman" w:cs="Times New Roman"/>
          <w:sz w:val="24"/>
          <w:szCs w:val="24"/>
        </w:rPr>
      </w:pPr>
    </w:p>
    <w:p w:rsidR="00301E30" w:rsidRPr="00274631" w:rsidRDefault="007F70D3"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Derecho de Igualdad, y el avance legislativo de los derechos de las mujeres en la búsqueda de la igualdad con el hombre.</w:t>
      </w:r>
    </w:p>
    <w:p w:rsidR="003F1D26" w:rsidRPr="00274631" w:rsidRDefault="003F1D26" w:rsidP="00274631">
      <w:pPr>
        <w:spacing w:line="360" w:lineRule="auto"/>
        <w:jc w:val="both"/>
        <w:rPr>
          <w:rFonts w:ascii="Times New Roman" w:hAnsi="Times New Roman" w:cs="Times New Roman"/>
          <w:sz w:val="24"/>
          <w:szCs w:val="24"/>
        </w:rPr>
      </w:pPr>
    </w:p>
    <w:p w:rsidR="00687423" w:rsidRPr="00274631" w:rsidRDefault="006D0F25" w:rsidP="00274631">
      <w:pPr>
        <w:pStyle w:val="Prrafodelista"/>
        <w:numPr>
          <w:ilvl w:val="0"/>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derecho de Igualdad hoy en día</w:t>
      </w:r>
    </w:p>
    <w:p w:rsidR="00687423" w:rsidRPr="00274631" w:rsidRDefault="001F1B50"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En nuestro ordenamiento, </w:t>
      </w:r>
      <w:r w:rsidR="00687423" w:rsidRPr="00274631">
        <w:rPr>
          <w:rFonts w:ascii="Times New Roman" w:hAnsi="Times New Roman" w:cs="Times New Roman"/>
          <w:sz w:val="24"/>
          <w:szCs w:val="24"/>
        </w:rPr>
        <w:t xml:space="preserve">el derecho de igualdad y no discriminación se haya en el artículo </w:t>
      </w:r>
      <w:r w:rsidRPr="00274631">
        <w:rPr>
          <w:rFonts w:ascii="Times New Roman" w:hAnsi="Times New Roman" w:cs="Times New Roman"/>
          <w:sz w:val="24"/>
          <w:szCs w:val="24"/>
        </w:rPr>
        <w:t>14 de la Constitución Española, que se encuentra en el capítulo segundo, del título primero de ésta.</w:t>
      </w:r>
    </w:p>
    <w:p w:rsidR="00F75EC7" w:rsidRPr="00274631" w:rsidRDefault="004F3343"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Éste artículo dice así </w:t>
      </w:r>
      <w:r w:rsidR="00F75EC7" w:rsidRPr="00274631">
        <w:rPr>
          <w:rFonts w:ascii="Times New Roman" w:hAnsi="Times New Roman" w:cs="Times New Roman"/>
          <w:sz w:val="24"/>
          <w:szCs w:val="24"/>
        </w:rPr>
        <w:t>“</w:t>
      </w:r>
      <w:r w:rsidR="00F75EC7" w:rsidRPr="00274631">
        <w:rPr>
          <w:rFonts w:ascii="Times New Roman" w:hAnsi="Times New Roman" w:cs="Times New Roman"/>
          <w:i/>
          <w:sz w:val="24"/>
          <w:szCs w:val="24"/>
        </w:rPr>
        <w:t xml:space="preserve">Los españoles son iguales ante la ley, sin que pueda prevalecer discriminación alguna por razón de nacimiento, raza, sexo, religión, opinión o cualquier otra condición o circunstancia social.” </w:t>
      </w:r>
    </w:p>
    <w:p w:rsidR="00BC1B0A" w:rsidRPr="00274631" w:rsidRDefault="00F75EC7" w:rsidP="00274631">
      <w:pPr>
        <w:spacing w:line="360" w:lineRule="auto"/>
        <w:jc w:val="both"/>
        <w:rPr>
          <w:rFonts w:ascii="Times New Roman" w:hAnsi="Times New Roman" w:cs="Times New Roman"/>
          <w:i/>
          <w:sz w:val="24"/>
          <w:szCs w:val="24"/>
        </w:rPr>
      </w:pPr>
      <w:r w:rsidRPr="00274631">
        <w:rPr>
          <w:rFonts w:ascii="Times New Roman" w:hAnsi="Times New Roman" w:cs="Times New Roman"/>
          <w:sz w:val="24"/>
          <w:szCs w:val="24"/>
        </w:rPr>
        <w:t xml:space="preserve">En la actualidad, la igualdad es un tema candente, muy recurrido, y así queda expresado por </w:t>
      </w:r>
      <w:r w:rsidR="00DB5F5D" w:rsidRPr="00274631">
        <w:rPr>
          <w:rFonts w:ascii="Times New Roman" w:hAnsi="Times New Roman" w:cs="Times New Roman"/>
          <w:sz w:val="24"/>
          <w:szCs w:val="24"/>
        </w:rPr>
        <w:t>Soberanes Díez, J.María “</w:t>
      </w:r>
      <w:r w:rsidR="00DB5F5D" w:rsidRPr="00274631">
        <w:rPr>
          <w:rFonts w:ascii="Times New Roman" w:hAnsi="Times New Roman" w:cs="Times New Roman"/>
          <w:i/>
          <w:sz w:val="24"/>
          <w:szCs w:val="24"/>
        </w:rPr>
        <w:t>Actualmente, es común escuchar,</w:t>
      </w:r>
      <w:r w:rsidR="00433512" w:rsidRPr="00274631">
        <w:rPr>
          <w:rFonts w:ascii="Times New Roman" w:hAnsi="Times New Roman" w:cs="Times New Roman"/>
          <w:i/>
          <w:sz w:val="24"/>
          <w:szCs w:val="24"/>
        </w:rPr>
        <w:t xml:space="preserve"> </w:t>
      </w:r>
      <w:r w:rsidR="00DB5F5D" w:rsidRPr="00274631">
        <w:rPr>
          <w:rFonts w:ascii="Times New Roman" w:hAnsi="Times New Roman" w:cs="Times New Roman"/>
          <w:i/>
          <w:sz w:val="24"/>
          <w:szCs w:val="24"/>
        </w:rPr>
        <w:t>en los medios de comunicación, en discursos políticos, como proyectos de campaña electoral o planes de gobierno e incluso en conversaciones coloquiales, el tema de la igualdad. Todos hablan de igualdad, Parece ser un tópico actual e importante, y en verdad lo es, -siempre la ha sido- , la igualdad es un aspecto innato a la condición humana y ha sido objeto de estudio de diferentes disciplinas, como la sociología, la política, la filosofía y naturalmente el derecho”</w:t>
      </w:r>
      <w:r w:rsidR="00DB5F5D" w:rsidRPr="00274631">
        <w:rPr>
          <w:rStyle w:val="Refdenotaalpie"/>
          <w:rFonts w:ascii="Times New Roman" w:hAnsi="Times New Roman" w:cs="Times New Roman"/>
          <w:i/>
          <w:sz w:val="24"/>
          <w:szCs w:val="24"/>
        </w:rPr>
        <w:footnoteReference w:id="1"/>
      </w:r>
    </w:p>
    <w:p w:rsidR="00FF04EE" w:rsidRPr="00274631" w:rsidRDefault="00FF04E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Son numerosas las noticias a nivel mundial, los sucesos, en los que la igualdad y la no discriminación son violadas de forma flagrante, y según nos situemos en una zona del mundo o en otra, el tipo de discriminación</w:t>
      </w:r>
      <w:r w:rsidR="00274631">
        <w:rPr>
          <w:rFonts w:ascii="Times New Roman" w:hAnsi="Times New Roman" w:cs="Times New Roman"/>
          <w:sz w:val="24"/>
          <w:szCs w:val="24"/>
        </w:rPr>
        <w:t xml:space="preserve"> más habitual cambia, varí</w:t>
      </w:r>
      <w:r w:rsidRPr="00274631">
        <w:rPr>
          <w:rFonts w:ascii="Times New Roman" w:hAnsi="Times New Roman" w:cs="Times New Roman"/>
          <w:sz w:val="24"/>
          <w:szCs w:val="24"/>
        </w:rPr>
        <w:t>a, pues la cultura y las tradiciones de los diferentes pueblos que forman el mundo provocan que estas se transformen según hablemos de una zona geográfica o de otra.</w:t>
      </w:r>
    </w:p>
    <w:p w:rsidR="00FF04EE" w:rsidRPr="00274631" w:rsidRDefault="00FF04E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 España, de un modo general, suele ser habitual la discriminación contra personas o colectivos estigmatizados como: inmigrantes, gitanos, homosexuales, gente sin hogar y otros ciudadanos por motivos de diversidad religiosa o social.</w:t>
      </w:r>
      <w:r w:rsidR="008E1090" w:rsidRPr="00274631">
        <w:rPr>
          <w:rFonts w:ascii="Times New Roman" w:hAnsi="Times New Roman" w:cs="Times New Roman"/>
          <w:sz w:val="24"/>
          <w:szCs w:val="24"/>
        </w:rPr>
        <w:t xml:space="preserve"> Por ello se la ha pedido que cuente con un registro que de forma especial recabe estos delitos, registro que tienen todos los países europeos a excepción de cinco. En España en los últimos años se está creando un caldo de cultivo peligroso que provoca que los delitos por motivo de discriminación vayan en aumento.</w:t>
      </w:r>
    </w:p>
    <w:p w:rsidR="00BC1B0A" w:rsidRPr="00274631" w:rsidRDefault="00BC1B0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Y es la igualdad de género unos de los temas que más polémica causa hoy en día, debido al auge de la mujer en campos como el laboral, en el que hasta no hace muchos años, en España, no estaba socialmente bien visto por muchos sectores de la sociedad, que ésta formara parte este ámbito. Es por ello, que a la hora de hablar sobre igualdad y no discriminación me he centrado más en este aspecto después de intentar enfocar todos los demás tipos de discriminación de una forma más general.</w:t>
      </w:r>
    </w:p>
    <w:p w:rsidR="00DF51CD" w:rsidRPr="00274631" w:rsidRDefault="00DF51CD"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Por último, en esta breve introducción, hacer referencia a la igualdad como derecho humano, como un principio básico de estos, y es que más allá de las diferencias innegables que existen entre todos los seres humanos -por rasgos físicos como la altura, el color de la piel, la cultura- el disfrutar de una serie de derechos básicos por todos ellos los iguala como personas.</w:t>
      </w:r>
    </w:p>
    <w:p w:rsidR="00C1431C" w:rsidRPr="00274631" w:rsidRDefault="00301E30" w:rsidP="00274631">
      <w:pPr>
        <w:pStyle w:val="Prrafodelista"/>
        <w:numPr>
          <w:ilvl w:val="0"/>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Ámbito Universal, Europeo y Español de los Derechos H</w:t>
      </w:r>
      <w:r w:rsidR="00C1431C" w:rsidRPr="00274631">
        <w:rPr>
          <w:rFonts w:ascii="Times New Roman" w:hAnsi="Times New Roman" w:cs="Times New Roman"/>
          <w:sz w:val="24"/>
          <w:szCs w:val="24"/>
        </w:rPr>
        <w:t>umanos</w:t>
      </w:r>
    </w:p>
    <w:p w:rsidR="00C1431C" w:rsidRPr="00274631" w:rsidRDefault="00C1431C"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declaración universal de derechos humanos, en sus artículos 1 y 2 hace referencia a la igualdad de los seres humanos desde su nacimiento así como al acogimiento de todos ellos a una serie de derechos y libertades por las que no pueden ser discriminados por distinción alguna de raza, color, sexo, idioma, religión, opinión política o de cualquier otra índole, origen nacional o social, posición económica, nacimiento o cualquier otra condición</w:t>
      </w:r>
      <w:r w:rsidR="004F3343" w:rsidRPr="00274631">
        <w:rPr>
          <w:rFonts w:ascii="Times New Roman" w:hAnsi="Times New Roman" w:cs="Times New Roman"/>
          <w:sz w:val="24"/>
          <w:szCs w:val="24"/>
        </w:rPr>
        <w:t>.</w:t>
      </w:r>
    </w:p>
    <w:p w:rsidR="00B81F1B" w:rsidRPr="00274631" w:rsidRDefault="00B81F1B" w:rsidP="00274631">
      <w:pPr>
        <w:spacing w:line="360" w:lineRule="auto"/>
        <w:jc w:val="both"/>
        <w:rPr>
          <w:rFonts w:ascii="Times New Roman" w:hAnsi="Times New Roman" w:cs="Times New Roman"/>
          <w:sz w:val="24"/>
          <w:szCs w:val="24"/>
        </w:rPr>
      </w:pPr>
    </w:p>
    <w:p w:rsidR="001E5DD7" w:rsidRPr="00274631" w:rsidRDefault="004F3343" w:rsidP="00274631">
      <w:pPr>
        <w:pStyle w:val="Prrafodelista"/>
        <w:numPr>
          <w:ilvl w:val="1"/>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Ámbito universal</w:t>
      </w:r>
      <w:r w:rsidR="00971171" w:rsidRPr="00274631">
        <w:rPr>
          <w:rFonts w:ascii="Times New Roman" w:hAnsi="Times New Roman" w:cs="Times New Roman"/>
          <w:sz w:val="24"/>
          <w:szCs w:val="24"/>
        </w:rPr>
        <w:t>, la Organización de Naciones Unidas</w:t>
      </w:r>
      <w:r w:rsidR="001E5DD7" w:rsidRPr="00274631">
        <w:rPr>
          <w:rFonts w:ascii="Times New Roman" w:hAnsi="Times New Roman" w:cs="Times New Roman"/>
          <w:sz w:val="24"/>
          <w:szCs w:val="24"/>
        </w:rPr>
        <w:t>.</w:t>
      </w:r>
    </w:p>
    <w:p w:rsidR="004F3343" w:rsidRPr="00274631" w:rsidRDefault="004F3343"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La Organización de Naciones Unidas (ONU) constituye el mayor organismo internacional dedicado al mantenimiento de la paz y a la prestación de ayuda humanitaria. Desde el 24 de Octubre de 1945, mediante una carta de principios firmada por 51 países, las Naciones Unidas se impusieron una serie de propósitos entre los que caben destacar el mantenimiento de la paz y la seguridad internacionales y la realización de cooperación internacional en la solución de problemas internacionales y en el desarrollo y estímulo del </w:t>
      </w:r>
      <w:r w:rsidR="001E5DD7" w:rsidRPr="00274631">
        <w:rPr>
          <w:rFonts w:ascii="Times New Roman" w:hAnsi="Times New Roman" w:cs="Times New Roman"/>
          <w:sz w:val="24"/>
          <w:szCs w:val="24"/>
        </w:rPr>
        <w:t>respeto de los Derechos Humanos.</w:t>
      </w:r>
    </w:p>
    <w:p w:rsidR="00971171" w:rsidRPr="00274631" w:rsidRDefault="0097117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Su Asamblea General proclamó en 1948 los derechos y libertades fundamentales para todos, entre estos el derecho a la vida, la libertad, la igualdad… a través de la Declaración Universal de Derechos Humanos, que sentó las bases para la formulación de numerosas convenciones y declaraciones sobre derechos humanos.</w:t>
      </w:r>
    </w:p>
    <w:p w:rsidR="00971171" w:rsidRPr="00274631" w:rsidRDefault="0097117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Algunas de las más importantes declaraciones son por ejemplo las convenciones para la eliminación de la discriminación racial y la discriminación contra la mujer o las convenciones sobre los derechos del niño.</w:t>
      </w:r>
    </w:p>
    <w:p w:rsidR="00971171" w:rsidRPr="00274631" w:rsidRDefault="0097117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Estos derechos a los que hemos hecho alusión anteriormente son jurídicamente vinculantes en virtud de dos pactos internacionales en los que la mayoría de los estados forman parte. El primero de los pactos trata sobre derechos económicos, sociales y culturales mientras que el segundo aborda los temas civiles y políticos, ambos junto a la Declaración Universal de Derechos Humanos constituyen la Carta Internacional de Derechos Humanos.</w:t>
      </w:r>
    </w:p>
    <w:p w:rsidR="00971171" w:rsidRPr="00274631" w:rsidRDefault="0097117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Órganos </w:t>
      </w:r>
      <w:r w:rsidR="00A26257" w:rsidRPr="00274631">
        <w:rPr>
          <w:rFonts w:ascii="Times New Roman" w:hAnsi="Times New Roman" w:cs="Times New Roman"/>
          <w:sz w:val="24"/>
          <w:szCs w:val="24"/>
        </w:rPr>
        <w:t>que forman parte de la ONU:</w:t>
      </w:r>
    </w:p>
    <w:p w:rsidR="002B1D3A" w:rsidRPr="00274631" w:rsidRDefault="002B1D3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Dentro de las Naciones Unidas podemos distinguir entre órganos creados por la Carta Internacional de Derechos Humanos y los creados a través de tratados.</w:t>
      </w:r>
    </w:p>
    <w:p w:rsidR="002B1D3A" w:rsidRPr="00274631" w:rsidRDefault="002B1D3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Destacan dentro de los creados en virtud de la Carta, el Consejo de Derechos Humanos compuesto por 47 Estados Miembros y la Subcomisión de promoción y protección de los derechos humanos.</w:t>
      </w:r>
    </w:p>
    <w:p w:rsidR="008A7EA6" w:rsidRPr="00274631" w:rsidRDefault="002B1D3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Por su parte, los órganos creados a través de tratados y cuyas resoluciones o informes son vinculantes para los Estados firmantes, son</w:t>
      </w:r>
      <w:r w:rsidR="008A7EA6" w:rsidRPr="00274631">
        <w:rPr>
          <w:rFonts w:ascii="Times New Roman" w:hAnsi="Times New Roman" w:cs="Times New Roman"/>
          <w:sz w:val="24"/>
          <w:szCs w:val="24"/>
        </w:rPr>
        <w:t>:</w:t>
      </w:r>
    </w:p>
    <w:p w:rsidR="008A7EA6" w:rsidRPr="00274631" w:rsidRDefault="008A7EA6" w:rsidP="00274631">
      <w:pPr>
        <w:pStyle w:val="Prrafodelista"/>
        <w:numPr>
          <w:ilvl w:val="0"/>
          <w:numId w:val="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w:t>
      </w:r>
      <w:r w:rsidR="002B1D3A" w:rsidRPr="00274631">
        <w:rPr>
          <w:rFonts w:ascii="Times New Roman" w:hAnsi="Times New Roman" w:cs="Times New Roman"/>
          <w:sz w:val="24"/>
          <w:szCs w:val="24"/>
        </w:rPr>
        <w:t>l Comité con</w:t>
      </w:r>
      <w:r w:rsidRPr="00274631">
        <w:rPr>
          <w:rFonts w:ascii="Times New Roman" w:hAnsi="Times New Roman" w:cs="Times New Roman"/>
          <w:sz w:val="24"/>
          <w:szCs w:val="24"/>
        </w:rPr>
        <w:t>tra la Tortura</w:t>
      </w:r>
    </w:p>
    <w:p w:rsidR="008A7EA6" w:rsidRPr="00274631" w:rsidRDefault="008A7EA6" w:rsidP="00274631">
      <w:pPr>
        <w:pStyle w:val="Prrafodelista"/>
        <w:numPr>
          <w:ilvl w:val="0"/>
          <w:numId w:val="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w:t>
      </w:r>
      <w:r w:rsidR="007E396E" w:rsidRPr="00274631">
        <w:rPr>
          <w:rFonts w:ascii="Times New Roman" w:hAnsi="Times New Roman" w:cs="Times New Roman"/>
          <w:sz w:val="24"/>
          <w:szCs w:val="24"/>
        </w:rPr>
        <w:t>l Comité de Derechos Econ</w:t>
      </w:r>
      <w:r w:rsidRPr="00274631">
        <w:rPr>
          <w:rFonts w:ascii="Times New Roman" w:hAnsi="Times New Roman" w:cs="Times New Roman"/>
          <w:sz w:val="24"/>
          <w:szCs w:val="24"/>
        </w:rPr>
        <w:t>ómicos, Sociales y Culturales</w:t>
      </w:r>
    </w:p>
    <w:p w:rsidR="008A7EA6" w:rsidRPr="00274631" w:rsidRDefault="008A7EA6" w:rsidP="00274631">
      <w:pPr>
        <w:pStyle w:val="Prrafodelista"/>
        <w:numPr>
          <w:ilvl w:val="0"/>
          <w:numId w:val="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w:t>
      </w:r>
      <w:r w:rsidR="007E396E" w:rsidRPr="00274631">
        <w:rPr>
          <w:rFonts w:ascii="Times New Roman" w:hAnsi="Times New Roman" w:cs="Times New Roman"/>
          <w:sz w:val="24"/>
          <w:szCs w:val="24"/>
        </w:rPr>
        <w:t>l Comité para la Eliminación de la D</w:t>
      </w:r>
      <w:r w:rsidRPr="00274631">
        <w:rPr>
          <w:rFonts w:ascii="Times New Roman" w:hAnsi="Times New Roman" w:cs="Times New Roman"/>
          <w:sz w:val="24"/>
          <w:szCs w:val="24"/>
        </w:rPr>
        <w:t>iscriminación contra la Mujer</w:t>
      </w:r>
    </w:p>
    <w:p w:rsidR="008A7EA6" w:rsidRPr="00274631" w:rsidRDefault="008A7EA6" w:rsidP="00274631">
      <w:pPr>
        <w:pStyle w:val="Prrafodelista"/>
        <w:numPr>
          <w:ilvl w:val="0"/>
          <w:numId w:val="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w:t>
      </w:r>
      <w:r w:rsidR="007E396E" w:rsidRPr="00274631">
        <w:rPr>
          <w:rFonts w:ascii="Times New Roman" w:hAnsi="Times New Roman" w:cs="Times New Roman"/>
          <w:sz w:val="24"/>
          <w:szCs w:val="24"/>
        </w:rPr>
        <w:t>l Comité para la Eliminació</w:t>
      </w:r>
      <w:r w:rsidRPr="00274631">
        <w:rPr>
          <w:rFonts w:ascii="Times New Roman" w:hAnsi="Times New Roman" w:cs="Times New Roman"/>
          <w:sz w:val="24"/>
          <w:szCs w:val="24"/>
        </w:rPr>
        <w:t>n de la Discriminación Racial</w:t>
      </w:r>
    </w:p>
    <w:p w:rsidR="008A7EA6" w:rsidRPr="00274631" w:rsidRDefault="008A7EA6" w:rsidP="00274631">
      <w:pPr>
        <w:pStyle w:val="Prrafodelista"/>
        <w:numPr>
          <w:ilvl w:val="0"/>
          <w:numId w:val="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w:t>
      </w:r>
      <w:r w:rsidR="007E396E" w:rsidRPr="00274631">
        <w:rPr>
          <w:rFonts w:ascii="Times New Roman" w:hAnsi="Times New Roman" w:cs="Times New Roman"/>
          <w:sz w:val="24"/>
          <w:szCs w:val="24"/>
        </w:rPr>
        <w:t>l Com</w:t>
      </w:r>
      <w:r w:rsidRPr="00274631">
        <w:rPr>
          <w:rFonts w:ascii="Times New Roman" w:hAnsi="Times New Roman" w:cs="Times New Roman"/>
          <w:sz w:val="24"/>
          <w:szCs w:val="24"/>
        </w:rPr>
        <w:t xml:space="preserve">ité de los Derechos del Niño </w:t>
      </w:r>
    </w:p>
    <w:p w:rsidR="002B1D3A" w:rsidRPr="00274631" w:rsidRDefault="008A7EA6" w:rsidP="00274631">
      <w:pPr>
        <w:pStyle w:val="Prrafodelista"/>
        <w:numPr>
          <w:ilvl w:val="0"/>
          <w:numId w:val="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w:t>
      </w:r>
      <w:r w:rsidR="007E396E" w:rsidRPr="00274631">
        <w:rPr>
          <w:rFonts w:ascii="Times New Roman" w:hAnsi="Times New Roman" w:cs="Times New Roman"/>
          <w:sz w:val="24"/>
          <w:szCs w:val="24"/>
        </w:rPr>
        <w:t>l Comité de Derechos Humanos.</w:t>
      </w:r>
    </w:p>
    <w:p w:rsidR="00B81F1B" w:rsidRPr="00274631" w:rsidRDefault="00B81F1B" w:rsidP="00274631">
      <w:pPr>
        <w:pStyle w:val="Prrafodelista"/>
        <w:spacing w:line="360" w:lineRule="auto"/>
        <w:jc w:val="both"/>
        <w:rPr>
          <w:rFonts w:ascii="Times New Roman" w:hAnsi="Times New Roman" w:cs="Times New Roman"/>
          <w:sz w:val="24"/>
          <w:szCs w:val="24"/>
        </w:rPr>
      </w:pPr>
    </w:p>
    <w:p w:rsidR="007E396E" w:rsidRPr="00274631" w:rsidRDefault="00B81F1B" w:rsidP="00274631">
      <w:pPr>
        <w:pStyle w:val="Prrafodelista"/>
        <w:numPr>
          <w:ilvl w:val="1"/>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7E396E" w:rsidRPr="00274631">
        <w:rPr>
          <w:rFonts w:ascii="Times New Roman" w:hAnsi="Times New Roman" w:cs="Times New Roman"/>
          <w:sz w:val="24"/>
          <w:szCs w:val="24"/>
        </w:rPr>
        <w:t>Ámbito Europeo</w:t>
      </w:r>
    </w:p>
    <w:p w:rsidR="008A7EA6" w:rsidRPr="00274631" w:rsidRDefault="00E061C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Convenio Europeo de Derechos Humanos de 1950 junto al Consejo de Europa establecen una serie de protecciones a través de unos órganos que anteriormente el Convenio Europeo hab</w:t>
      </w:r>
      <w:r w:rsidR="008A7EA6" w:rsidRPr="00274631">
        <w:rPr>
          <w:rFonts w:ascii="Times New Roman" w:hAnsi="Times New Roman" w:cs="Times New Roman"/>
          <w:sz w:val="24"/>
          <w:szCs w:val="24"/>
        </w:rPr>
        <w:t>ía creado, estos órganos son:</w:t>
      </w:r>
    </w:p>
    <w:p w:rsidR="008A7EA6" w:rsidRPr="00274631" w:rsidRDefault="00E061CA" w:rsidP="00274631">
      <w:pPr>
        <w:pStyle w:val="Prrafodelista"/>
        <w:numPr>
          <w:ilvl w:val="0"/>
          <w:numId w:val="5"/>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Comité de Mi</w:t>
      </w:r>
      <w:r w:rsidR="008A7EA6" w:rsidRPr="00274631">
        <w:rPr>
          <w:rFonts w:ascii="Times New Roman" w:hAnsi="Times New Roman" w:cs="Times New Roman"/>
          <w:sz w:val="24"/>
          <w:szCs w:val="24"/>
        </w:rPr>
        <w:t>nistros del Consejo de Europa</w:t>
      </w:r>
    </w:p>
    <w:p w:rsidR="008A7EA6" w:rsidRPr="00274631" w:rsidRDefault="008A7EA6" w:rsidP="00274631">
      <w:pPr>
        <w:pStyle w:val="Prrafodelista"/>
        <w:numPr>
          <w:ilvl w:val="0"/>
          <w:numId w:val="5"/>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w:t>
      </w:r>
      <w:r w:rsidR="00E061CA" w:rsidRPr="00274631">
        <w:rPr>
          <w:rFonts w:ascii="Times New Roman" w:hAnsi="Times New Roman" w:cs="Times New Roman"/>
          <w:sz w:val="24"/>
          <w:szCs w:val="24"/>
        </w:rPr>
        <w:t xml:space="preserve">a Comisión </w:t>
      </w:r>
      <w:r w:rsidRPr="00274631">
        <w:rPr>
          <w:rFonts w:ascii="Times New Roman" w:hAnsi="Times New Roman" w:cs="Times New Roman"/>
          <w:sz w:val="24"/>
          <w:szCs w:val="24"/>
        </w:rPr>
        <w:t>Europea de los Derechos Humanos</w:t>
      </w:r>
    </w:p>
    <w:p w:rsidR="008A7EA6" w:rsidRPr="00274631" w:rsidRDefault="008A7EA6" w:rsidP="00274631">
      <w:pPr>
        <w:pStyle w:val="Prrafodelista"/>
        <w:numPr>
          <w:ilvl w:val="0"/>
          <w:numId w:val="5"/>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E</w:t>
      </w:r>
      <w:r w:rsidR="00E061CA" w:rsidRPr="00274631">
        <w:rPr>
          <w:rFonts w:ascii="Times New Roman" w:hAnsi="Times New Roman" w:cs="Times New Roman"/>
          <w:sz w:val="24"/>
          <w:szCs w:val="24"/>
        </w:rPr>
        <w:t>l Tribunal Euro</w:t>
      </w:r>
      <w:r w:rsidRPr="00274631">
        <w:rPr>
          <w:rFonts w:ascii="Times New Roman" w:hAnsi="Times New Roman" w:cs="Times New Roman"/>
          <w:sz w:val="24"/>
          <w:szCs w:val="24"/>
        </w:rPr>
        <w:t xml:space="preserve">peo de los Derechos Humanos </w:t>
      </w:r>
    </w:p>
    <w:p w:rsidR="005133B5" w:rsidRPr="00274631" w:rsidRDefault="008A7EA6" w:rsidP="00274631">
      <w:pPr>
        <w:pStyle w:val="Prrafodelista"/>
        <w:numPr>
          <w:ilvl w:val="0"/>
          <w:numId w:val="5"/>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w:t>
      </w:r>
      <w:r w:rsidR="00E061CA" w:rsidRPr="00274631">
        <w:rPr>
          <w:rFonts w:ascii="Times New Roman" w:hAnsi="Times New Roman" w:cs="Times New Roman"/>
          <w:sz w:val="24"/>
          <w:szCs w:val="24"/>
        </w:rPr>
        <w:t xml:space="preserve">l Comité Europeo para la Prevención de la Tortura y </w:t>
      </w:r>
      <w:r w:rsidR="005133B5" w:rsidRPr="00274631">
        <w:rPr>
          <w:rFonts w:ascii="Times New Roman" w:hAnsi="Times New Roman" w:cs="Times New Roman"/>
          <w:sz w:val="24"/>
          <w:szCs w:val="24"/>
        </w:rPr>
        <w:t>los Tratos o Castigos Inhumanos.</w:t>
      </w:r>
    </w:p>
    <w:p w:rsidR="00E061CA" w:rsidRPr="00274631" w:rsidRDefault="00E061C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Con los dispuesto por el Convenio Europeo, si un individuo de cualquiera de los Estados Miembros consideraba que alguno de sus derechos había sido vulnerado podía recurrir a la comisión, sin perjudicar a la posibilidad que el propio convenio preveía </w:t>
      </w:r>
      <w:r w:rsidR="00DD068D" w:rsidRPr="00274631">
        <w:rPr>
          <w:rFonts w:ascii="Times New Roman" w:hAnsi="Times New Roman" w:cs="Times New Roman"/>
          <w:sz w:val="24"/>
          <w:szCs w:val="24"/>
        </w:rPr>
        <w:t xml:space="preserve">de que un Estado Miembro pudiera denunciar a otro Estado Miembro ante la comisión, por la violación de los derechos reconocidos en este. </w:t>
      </w:r>
    </w:p>
    <w:p w:rsidR="005133B5" w:rsidRPr="00274631" w:rsidRDefault="005133B5"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Para que la reclamación individual ante la Comisión pueda proceder, el ciudadano antes debía agotar las vías legales y todos los recursos que se establecían en la legislación de su Estado, sin poder recurrir directamente ante la Comisión mediante la presentación de la correspondiente demanda. Una vez recibida, ésta podía admitirla o rechazarla</w:t>
      </w:r>
      <w:r w:rsidR="005B16AE" w:rsidRPr="00274631">
        <w:rPr>
          <w:rFonts w:ascii="Times New Roman" w:hAnsi="Times New Roman" w:cs="Times New Roman"/>
          <w:sz w:val="24"/>
          <w:szCs w:val="24"/>
        </w:rPr>
        <w:t>.</w:t>
      </w:r>
    </w:p>
    <w:p w:rsidR="005B16AE" w:rsidRPr="00274631" w:rsidRDefault="005B16A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Los diferentes motivos de rechazo eran, la presentación de demanda de forma anónima, el que fuese idéntica a otra demanda anterior ya examinada por la Comisión, presentarla fuera de plazo; el no haber agotado todos los recursos internos que se establecen en la legislación interna; o por haberse presentado transcurridos seis meses desde la resolución previa.</w:t>
      </w:r>
    </w:p>
    <w:p w:rsidR="005B16AE" w:rsidRPr="00274631" w:rsidRDefault="005B16A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Si se admitía la demanda, era examinada por la Comisión y los representantes de las partes, para intentar llegar a un acuerdo, si se lograba, se </w:t>
      </w:r>
      <w:r w:rsidR="00433512" w:rsidRPr="00274631">
        <w:rPr>
          <w:rFonts w:ascii="Times New Roman" w:hAnsi="Times New Roman" w:cs="Times New Roman"/>
          <w:sz w:val="24"/>
          <w:szCs w:val="24"/>
        </w:rPr>
        <w:t>elaboraban</w:t>
      </w:r>
      <w:r w:rsidRPr="00274631">
        <w:rPr>
          <w:rFonts w:ascii="Times New Roman" w:hAnsi="Times New Roman" w:cs="Times New Roman"/>
          <w:sz w:val="24"/>
          <w:szCs w:val="24"/>
        </w:rPr>
        <w:t xml:space="preserve"> un</w:t>
      </w:r>
      <w:r w:rsidR="00433512" w:rsidRPr="00274631">
        <w:rPr>
          <w:rFonts w:ascii="Times New Roman" w:hAnsi="Times New Roman" w:cs="Times New Roman"/>
          <w:sz w:val="24"/>
          <w:szCs w:val="24"/>
        </w:rPr>
        <w:t>os</w:t>
      </w:r>
      <w:r w:rsidRPr="00274631">
        <w:rPr>
          <w:rFonts w:ascii="Times New Roman" w:hAnsi="Times New Roman" w:cs="Times New Roman"/>
          <w:sz w:val="24"/>
          <w:szCs w:val="24"/>
        </w:rPr>
        <w:t xml:space="preserve"> informe</w:t>
      </w:r>
      <w:r w:rsidR="00433512" w:rsidRPr="00274631">
        <w:rPr>
          <w:rFonts w:ascii="Times New Roman" w:hAnsi="Times New Roman" w:cs="Times New Roman"/>
          <w:sz w:val="24"/>
          <w:szCs w:val="24"/>
        </w:rPr>
        <w:t>s</w:t>
      </w:r>
      <w:r w:rsidRPr="00274631">
        <w:rPr>
          <w:rFonts w:ascii="Times New Roman" w:hAnsi="Times New Roman" w:cs="Times New Roman"/>
          <w:sz w:val="24"/>
          <w:szCs w:val="24"/>
        </w:rPr>
        <w:t xml:space="preserve"> que se hacía llegar a los Estados interesados y al Comité de Ministros del Consejo.</w:t>
      </w:r>
    </w:p>
    <w:p w:rsidR="005B16AE" w:rsidRPr="00274631" w:rsidRDefault="005B16A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Los estados, una vez recibida la notificación, tenían la posibilidad de hacer llegar el asunto ante el Tribunal Europeo de Derechos Humanos, para que fuera este órgano el que se encargara de resolver, mediante sentencia, inapelable y de obligado cumplimiento para los Estados afectado.</w:t>
      </w:r>
    </w:p>
    <w:p w:rsidR="005B16AE" w:rsidRPr="00274631" w:rsidRDefault="005B16A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 no llevar el asunto ante el Tribunal Europeo de Derechos Humanos, era el Comité de Ministros quien podía decidir si había existido o no violación del Convenio de Roma.</w:t>
      </w:r>
    </w:p>
    <w:p w:rsidR="005B16AE" w:rsidRPr="00274631" w:rsidRDefault="005B16A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Protocolo 11 de la Convención Europea de Derechos Humanos.</w:t>
      </w:r>
    </w:p>
    <w:p w:rsidR="005B16AE" w:rsidRPr="00274631" w:rsidRDefault="001D2998"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Entra en vigor el 1 de Noviembre de 1998, es la mayor reforma producida en el sistema europeo de protección de los derechos humanos desde que se creara en 1950.</w:t>
      </w:r>
    </w:p>
    <w:p w:rsidR="001D2998" w:rsidRPr="00274631" w:rsidRDefault="001D2998"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Tiene una nueva corte, la Corte Europea de Derechos Humanos, y un nuevo procedimiento, por lo que da lugar a la desaparición de la Comisión Europea de Derechos Humanos.</w:t>
      </w:r>
    </w:p>
    <w:p w:rsidR="001D2998" w:rsidRPr="00274631" w:rsidRDefault="001D2998"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nueva Corte, reemplaza por tanto a la anterior corte (tribunal) y a la Comisión, por lo que se produce la fusión de ambos organismos en uno nuevo. La jurisdicción de esta Corte engloba todos los asuntos concernientes a la interpretación y aplicación de la convención y protocolos, tanto en los litigios entre estados como en las demandas individuales</w:t>
      </w:r>
      <w:r w:rsidR="00094D58" w:rsidRPr="00274631">
        <w:rPr>
          <w:rFonts w:ascii="Times New Roman" w:hAnsi="Times New Roman" w:cs="Times New Roman"/>
          <w:sz w:val="24"/>
          <w:szCs w:val="24"/>
        </w:rPr>
        <w:t>.</w:t>
      </w:r>
    </w:p>
    <w:p w:rsidR="00094D58" w:rsidRPr="00274631" w:rsidRDefault="00094D58"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Por último añadir, que las funciones del Comité de Ministros se reducen a la</w:t>
      </w:r>
      <w:r w:rsidR="006D0F25" w:rsidRPr="00274631">
        <w:rPr>
          <w:rFonts w:ascii="Times New Roman" w:hAnsi="Times New Roman" w:cs="Times New Roman"/>
          <w:sz w:val="24"/>
          <w:szCs w:val="24"/>
        </w:rPr>
        <w:t xml:space="preserve"> de vigilancia del cumplimiento</w:t>
      </w:r>
      <w:r w:rsidRPr="00274631">
        <w:rPr>
          <w:rFonts w:ascii="Times New Roman" w:hAnsi="Times New Roman" w:cs="Times New Roman"/>
          <w:sz w:val="24"/>
          <w:szCs w:val="24"/>
        </w:rPr>
        <w:t xml:space="preserve"> de las sentencias de la Corte Europea de Derechos Humanos.</w:t>
      </w:r>
    </w:p>
    <w:p w:rsidR="00B81F1B" w:rsidRPr="00274631" w:rsidRDefault="00B81F1B" w:rsidP="00274631">
      <w:pPr>
        <w:spacing w:line="360" w:lineRule="auto"/>
        <w:jc w:val="both"/>
        <w:rPr>
          <w:rFonts w:ascii="Times New Roman" w:hAnsi="Times New Roman" w:cs="Times New Roman"/>
          <w:sz w:val="24"/>
          <w:szCs w:val="24"/>
        </w:rPr>
      </w:pPr>
    </w:p>
    <w:p w:rsidR="00094D58" w:rsidRPr="00274631" w:rsidRDefault="00B81F1B" w:rsidP="00274631">
      <w:pPr>
        <w:pStyle w:val="Prrafodelista"/>
        <w:numPr>
          <w:ilvl w:val="1"/>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8A7EA6" w:rsidRPr="00274631">
        <w:rPr>
          <w:rFonts w:ascii="Times New Roman" w:hAnsi="Times New Roman" w:cs="Times New Roman"/>
          <w:sz w:val="24"/>
          <w:szCs w:val="24"/>
        </w:rPr>
        <w:t>Ámbito Español</w:t>
      </w:r>
    </w:p>
    <w:p w:rsidR="008A7EA6" w:rsidRPr="00274631" w:rsidRDefault="008A7EA6"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En cuanto a la referencia que encontramos en nuestro ordenamiento sobre los derechos humanos, decir que hay </w:t>
      </w:r>
      <w:r w:rsidR="002B0C64" w:rsidRPr="00274631">
        <w:rPr>
          <w:rFonts w:ascii="Times New Roman" w:hAnsi="Times New Roman" w:cs="Times New Roman"/>
          <w:sz w:val="24"/>
          <w:szCs w:val="24"/>
        </w:rPr>
        <w:t>diversas</w:t>
      </w:r>
      <w:r w:rsidRPr="00274631">
        <w:rPr>
          <w:rFonts w:ascii="Times New Roman" w:hAnsi="Times New Roman" w:cs="Times New Roman"/>
          <w:sz w:val="24"/>
          <w:szCs w:val="24"/>
        </w:rPr>
        <w:t xml:space="preserve"> referencias a estos en nuestra Constitución Española, haciendo hincapié en su especial protección. </w:t>
      </w:r>
    </w:p>
    <w:p w:rsidR="008A7EA6" w:rsidRPr="00274631" w:rsidRDefault="008A7EA6"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Podemos citar, no obstante, por su especial relevancia en este ámbito, el artículo 10.2 de la Constitución, en el cual se establece lo siguiente.</w:t>
      </w:r>
    </w:p>
    <w:p w:rsidR="008A7EA6" w:rsidRPr="00274631" w:rsidRDefault="008A7EA6" w:rsidP="00274631">
      <w:pPr>
        <w:spacing w:line="360" w:lineRule="auto"/>
        <w:jc w:val="both"/>
        <w:rPr>
          <w:rFonts w:ascii="Times New Roman" w:hAnsi="Times New Roman" w:cs="Times New Roman"/>
          <w:i/>
          <w:sz w:val="24"/>
          <w:szCs w:val="24"/>
        </w:rPr>
      </w:pPr>
      <w:r w:rsidRPr="00274631">
        <w:rPr>
          <w:rFonts w:ascii="Times New Roman" w:hAnsi="Times New Roman" w:cs="Times New Roman"/>
          <w:sz w:val="24"/>
          <w:szCs w:val="24"/>
        </w:rPr>
        <w:t>“</w:t>
      </w:r>
      <w:r w:rsidRPr="00274631">
        <w:rPr>
          <w:rFonts w:ascii="Times New Roman" w:hAnsi="Times New Roman" w:cs="Times New Roman"/>
          <w:i/>
          <w:sz w:val="24"/>
          <w:szCs w:val="24"/>
        </w:rPr>
        <w:t xml:space="preserve">Las normas relativas a los derechos fundamentales y a las libertades que la Constitución reconoce, se interpretarán de conformidad con la Declaración Universal de Derechos Humanos y los tratados y acuerdos internacionales sobre las mismas </w:t>
      </w:r>
      <w:r w:rsidR="00B1167A" w:rsidRPr="00274631">
        <w:rPr>
          <w:rFonts w:ascii="Times New Roman" w:hAnsi="Times New Roman" w:cs="Times New Roman"/>
          <w:i/>
          <w:sz w:val="24"/>
          <w:szCs w:val="24"/>
        </w:rPr>
        <w:t>materias ratificados por España”</w:t>
      </w:r>
    </w:p>
    <w:p w:rsidR="008A7EA6" w:rsidRPr="00274631" w:rsidRDefault="00B1167A" w:rsidP="00274631">
      <w:pPr>
        <w:pStyle w:val="Prrafodelista"/>
        <w:numPr>
          <w:ilvl w:val="0"/>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Diferentes tipos de discriminación</w:t>
      </w:r>
    </w:p>
    <w:p w:rsidR="00B81F1B" w:rsidRPr="00274631" w:rsidRDefault="00B81F1B" w:rsidP="00274631">
      <w:pPr>
        <w:pStyle w:val="Prrafodelista"/>
        <w:spacing w:line="360" w:lineRule="auto"/>
        <w:jc w:val="both"/>
        <w:rPr>
          <w:rFonts w:ascii="Times New Roman" w:hAnsi="Times New Roman" w:cs="Times New Roman"/>
          <w:sz w:val="24"/>
          <w:szCs w:val="24"/>
        </w:rPr>
      </w:pPr>
    </w:p>
    <w:p w:rsidR="00040B67" w:rsidRPr="00274631" w:rsidRDefault="00301E30" w:rsidP="00274631">
      <w:pPr>
        <w:pStyle w:val="Prrafodelista"/>
        <w:numPr>
          <w:ilvl w:val="1"/>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D</w:t>
      </w:r>
      <w:r w:rsidR="00040B67" w:rsidRPr="00274631">
        <w:rPr>
          <w:rFonts w:ascii="Times New Roman" w:hAnsi="Times New Roman" w:cs="Times New Roman"/>
          <w:sz w:val="24"/>
          <w:szCs w:val="24"/>
        </w:rPr>
        <w:t>erecho a la no discriminación por razón de nacionalidad</w:t>
      </w:r>
    </w:p>
    <w:p w:rsidR="00040B67" w:rsidRPr="00274631" w:rsidRDefault="00040B6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 un derecho que viene reconocido en las principales Declaraciones Internaciones de Derechos Humanos</w:t>
      </w:r>
      <w:r w:rsidR="00A867A7" w:rsidRPr="00274631">
        <w:rPr>
          <w:rFonts w:ascii="Times New Roman" w:hAnsi="Times New Roman" w:cs="Times New Roman"/>
          <w:sz w:val="24"/>
          <w:szCs w:val="24"/>
        </w:rPr>
        <w:t xml:space="preserve"> por una cuádruple vía:</w:t>
      </w:r>
    </w:p>
    <w:p w:rsidR="00A867A7" w:rsidRPr="00274631" w:rsidRDefault="00A867A7" w:rsidP="00274631">
      <w:pPr>
        <w:pStyle w:val="Prrafodelista"/>
        <w:numPr>
          <w:ilvl w:val="0"/>
          <w:numId w:val="1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Igualdad</w:t>
      </w:r>
    </w:p>
    <w:p w:rsidR="00A867A7" w:rsidRPr="00274631" w:rsidRDefault="00A867A7" w:rsidP="00274631">
      <w:pPr>
        <w:pStyle w:val="Prrafodelista"/>
        <w:numPr>
          <w:ilvl w:val="0"/>
          <w:numId w:val="1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Libertad</w:t>
      </w:r>
    </w:p>
    <w:p w:rsidR="00A867A7" w:rsidRPr="00274631" w:rsidRDefault="00A867A7" w:rsidP="00274631">
      <w:pPr>
        <w:pStyle w:val="Prrafodelista"/>
        <w:numPr>
          <w:ilvl w:val="0"/>
          <w:numId w:val="1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Seguridad Personal</w:t>
      </w:r>
    </w:p>
    <w:p w:rsidR="00A867A7" w:rsidRPr="00274631" w:rsidRDefault="00A867A7" w:rsidP="00274631">
      <w:pPr>
        <w:pStyle w:val="Prrafodelista"/>
        <w:numPr>
          <w:ilvl w:val="0"/>
          <w:numId w:val="1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no discriminación por razón de nacionalidad</w:t>
      </w:r>
    </w:p>
    <w:p w:rsidR="00A867A7" w:rsidRPr="00274631" w:rsidRDefault="00A867A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 xml:space="preserve">El concepto de extranjería ha ido variando con el paso del tiempo, antiguamente se consideraba extranjero a aquel que no formaba parte de tu comunidad ciudadana o religiosa. Los romanos consideraban extranjeros a todos aquellos que no estaban dentro de los límites del imperio. </w:t>
      </w:r>
    </w:p>
    <w:p w:rsidR="00A867A7" w:rsidRPr="00274631" w:rsidRDefault="00A867A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Su delimitación clara se va a producir con la implantación del Estado como forma de organización del poder político, primeramente en Europa y posteriormente pasando al resto del mundo. En la actualidad, la extranjería viene dada por diversos factores, y es que se ha visto aumentado el número de extranjeros en países desarrollados debido al hambre, la falta de recursos, etc... Que se produce en los países menos desarrollados y potentes económicamente hablando.</w:t>
      </w:r>
    </w:p>
    <w:p w:rsidR="00A867A7" w:rsidRPr="00274631" w:rsidRDefault="00A867A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Por tanto el sujeto activo</w:t>
      </w:r>
      <w:r w:rsidR="00B81F1B" w:rsidRPr="00274631">
        <w:rPr>
          <w:rFonts w:ascii="Times New Roman" w:hAnsi="Times New Roman" w:cs="Times New Roman"/>
          <w:sz w:val="24"/>
          <w:szCs w:val="24"/>
        </w:rPr>
        <w:t xml:space="preserve"> de este tipo de discriminación puede ser:</w:t>
      </w:r>
    </w:p>
    <w:p w:rsidR="00A867A7" w:rsidRPr="00274631" w:rsidRDefault="00A867A7" w:rsidP="00274631">
      <w:pPr>
        <w:pStyle w:val="Prrafodelista"/>
        <w:numPr>
          <w:ilvl w:val="0"/>
          <w:numId w:val="19"/>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Los nacionales de un país extranjero</w:t>
      </w:r>
    </w:p>
    <w:p w:rsidR="00A867A7" w:rsidRPr="00274631" w:rsidRDefault="00A867A7" w:rsidP="00274631">
      <w:pPr>
        <w:pStyle w:val="Prrafodelista"/>
        <w:numPr>
          <w:ilvl w:val="0"/>
          <w:numId w:val="19"/>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Los apátridas</w:t>
      </w:r>
    </w:p>
    <w:p w:rsidR="00A867A7" w:rsidRPr="00274631" w:rsidRDefault="00F339F3" w:rsidP="00274631">
      <w:pPr>
        <w:pStyle w:val="Prrafodelista"/>
        <w:numPr>
          <w:ilvl w:val="0"/>
          <w:numId w:val="19"/>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Los grupos étnicos y minorías raciales, culturales y religiosas provenientes de un país extranjero y que no gozan de la nacionalidad del país donde se refugian.</w:t>
      </w:r>
    </w:p>
    <w:p w:rsidR="00F339F3" w:rsidRPr="00274631" w:rsidRDefault="00F339F3"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objeto que se persigue es la igualdad de trato entre el nacional y el extranjero, su último fundamento radica en la dignidad de la persona mientras que su principal lo encontramos en la seguridad jurídica. En el ámbito Europeo los extranjeros poseen los derechos reconocidos en el Convenio de Roma.</w:t>
      </w:r>
    </w:p>
    <w:p w:rsidR="00F339F3" w:rsidRPr="00274631" w:rsidRDefault="00F339F3"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finalidad del Derecho de Extranjería consiste en definir en qué medida el extranjero puede realizar intereses privados e integrarse jurídicamente en la comunidad en que se halla. Por lo tanto el Derecho de Extranjería se desarrolla dentro del marco general del Derecho Interno</w:t>
      </w:r>
    </w:p>
    <w:p w:rsidR="001E5445" w:rsidRPr="00274631" w:rsidRDefault="00301E30" w:rsidP="00274631">
      <w:pPr>
        <w:pStyle w:val="Prrafodelista"/>
        <w:numPr>
          <w:ilvl w:val="1"/>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1E5445" w:rsidRPr="00274631">
        <w:rPr>
          <w:rFonts w:ascii="Times New Roman" w:hAnsi="Times New Roman" w:cs="Times New Roman"/>
          <w:sz w:val="24"/>
          <w:szCs w:val="24"/>
        </w:rPr>
        <w:t>Derecho a la no discriminación por razón de raza</w:t>
      </w:r>
    </w:p>
    <w:p w:rsidR="00724520" w:rsidRPr="00274631" w:rsidRDefault="00724520"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Este derecho, el de no ser discriminado por razón de raza, se puede definir como el Derecho Humano en virtud del cual el sujeto titular del mismo reclama del Estado y de los miembros de la sociedad no tener un menoscabo en el ejercicio de sus derechos fundamentales por razón de su sexo, y, recibiendo un trato político, económico y social igual al que recibe el resto de la sociedad.</w:t>
      </w:r>
    </w:p>
    <w:p w:rsidR="00B81F1B" w:rsidRPr="00274631" w:rsidRDefault="00724520"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Por lo tanto podemos denominar discriminación por razón de raza toda restricción, distinción o exclusión basada en motivos de raza. En el mundo actual una de las manifestaciones más significativas de esta discriminación racial la encontramos en Suráfrica, donde al nacer, cada ciudadano es etiquetado con una categoría dependiendo d</w:t>
      </w:r>
      <w:r w:rsidR="00A26257" w:rsidRPr="00274631">
        <w:rPr>
          <w:rFonts w:ascii="Times New Roman" w:hAnsi="Times New Roman" w:cs="Times New Roman"/>
          <w:sz w:val="24"/>
          <w:szCs w:val="24"/>
        </w:rPr>
        <w:t>e color de su piel.</w:t>
      </w:r>
    </w:p>
    <w:p w:rsidR="00724520" w:rsidRPr="00274631" w:rsidRDefault="00724520" w:rsidP="00274631">
      <w:pPr>
        <w:pStyle w:val="Prrafodelista"/>
        <w:numPr>
          <w:ilvl w:val="0"/>
          <w:numId w:val="2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Categoría A: Blanco</w:t>
      </w:r>
    </w:p>
    <w:p w:rsidR="00724520" w:rsidRPr="00274631" w:rsidRDefault="00724520" w:rsidP="00274631">
      <w:pPr>
        <w:pStyle w:val="Prrafodelista"/>
        <w:numPr>
          <w:ilvl w:val="0"/>
          <w:numId w:val="2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Categoría B: Mestizo</w:t>
      </w:r>
    </w:p>
    <w:p w:rsidR="00724520" w:rsidRPr="00274631" w:rsidRDefault="00724520" w:rsidP="00274631">
      <w:pPr>
        <w:pStyle w:val="Prrafodelista"/>
        <w:numPr>
          <w:ilvl w:val="0"/>
          <w:numId w:val="2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Categoría C: Indio</w:t>
      </w:r>
    </w:p>
    <w:p w:rsidR="00724520" w:rsidRPr="00274631" w:rsidRDefault="00724520" w:rsidP="00274631">
      <w:pPr>
        <w:pStyle w:val="Prrafodelista"/>
        <w:numPr>
          <w:ilvl w:val="0"/>
          <w:numId w:val="2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Categoría D: Negro</w:t>
      </w:r>
    </w:p>
    <w:p w:rsidR="00EF5DCA" w:rsidRPr="00274631" w:rsidRDefault="00724520"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Son por tanto, sujetos activos, las personas individuales en función de su raza o color, las distintas razas, los pueblos integrados por una determinada raza, las minorías (sobre todo las étnicas), los grupos de población de origen extranjero y en particular los trabajadores migrantes y por último la familia.</w:t>
      </w:r>
    </w:p>
    <w:p w:rsidR="00724520" w:rsidRPr="00274631" w:rsidRDefault="00EF5DC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El bien protegido de la personalidad en este derecho es la igualdad, y a través de esta, la dignidad de la persona. El fundamento último, como en el resto de Derechos Humanos, radica en la dignidad de la persona humana, y el fundamento inmediato radica en la </w:t>
      </w:r>
      <w:r w:rsidR="00AA3304" w:rsidRPr="00274631">
        <w:rPr>
          <w:rFonts w:ascii="Times New Roman" w:hAnsi="Times New Roman" w:cs="Times New Roman"/>
          <w:sz w:val="24"/>
          <w:szCs w:val="24"/>
        </w:rPr>
        <w:t>seguridad jurídica entendida como el pacífico disfrute del ejercicio de los Derechos Humanos en un régimen de igualdad.</w:t>
      </w:r>
      <w:r w:rsidR="00724520" w:rsidRPr="00274631">
        <w:rPr>
          <w:rFonts w:ascii="Times New Roman" w:hAnsi="Times New Roman" w:cs="Times New Roman"/>
          <w:sz w:val="24"/>
          <w:szCs w:val="24"/>
        </w:rPr>
        <w:t xml:space="preserve"> </w:t>
      </w:r>
    </w:p>
    <w:p w:rsidR="001E5445" w:rsidRPr="00274631" w:rsidRDefault="001E5445"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derecho a la no discriminación por razón de raza, color u origen étnico está reconocido en los principales textos de Derechos Humanos a través de una cuádruple vía:</w:t>
      </w:r>
    </w:p>
    <w:p w:rsidR="001E5445" w:rsidRPr="00274631" w:rsidRDefault="001E5445" w:rsidP="00274631">
      <w:pPr>
        <w:pStyle w:val="Prrafodelista"/>
        <w:numPr>
          <w:ilvl w:val="0"/>
          <w:numId w:val="2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Igualdad</w:t>
      </w:r>
    </w:p>
    <w:p w:rsidR="001E5445" w:rsidRPr="00274631" w:rsidRDefault="001E5445" w:rsidP="00274631">
      <w:pPr>
        <w:pStyle w:val="Prrafodelista"/>
        <w:numPr>
          <w:ilvl w:val="0"/>
          <w:numId w:val="2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Libertad</w:t>
      </w:r>
    </w:p>
    <w:p w:rsidR="001E5445" w:rsidRPr="00274631" w:rsidRDefault="001E5445" w:rsidP="00274631">
      <w:pPr>
        <w:pStyle w:val="Prrafodelista"/>
        <w:numPr>
          <w:ilvl w:val="0"/>
          <w:numId w:val="2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Seguridad Social</w:t>
      </w:r>
    </w:p>
    <w:p w:rsidR="001E5445" w:rsidRPr="00274631" w:rsidRDefault="001E5445" w:rsidP="00274631">
      <w:pPr>
        <w:pStyle w:val="Prrafodelista"/>
        <w:numPr>
          <w:ilvl w:val="0"/>
          <w:numId w:val="2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no discriminación por razón de raza</w:t>
      </w:r>
    </w:p>
    <w:p w:rsidR="001E5445" w:rsidRPr="00274631" w:rsidRDefault="001E5445"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discriminación por motivos raciales o étn</w:t>
      </w:r>
      <w:r w:rsidR="00D74C06" w:rsidRPr="00274631">
        <w:rPr>
          <w:rFonts w:ascii="Times New Roman" w:hAnsi="Times New Roman" w:cs="Times New Roman"/>
          <w:sz w:val="24"/>
          <w:szCs w:val="24"/>
        </w:rPr>
        <w:t xml:space="preserve">icos llevó a la humanidad a sangrientas persecuciones y al crecimiento de las sociedades esclavistas. Bajo el prejuicio racial diferentes grupos étnicos fueron esclavizados, e imperios como el Egipcio y el Romano, y más contemporáneamente los Imperios Occidentales crecieron amparados en </w:t>
      </w:r>
      <w:proofErr w:type="gramStart"/>
      <w:r w:rsidR="00D74C06" w:rsidRPr="00274631">
        <w:rPr>
          <w:rFonts w:ascii="Times New Roman" w:hAnsi="Times New Roman" w:cs="Times New Roman"/>
          <w:sz w:val="24"/>
          <w:szCs w:val="24"/>
        </w:rPr>
        <w:t>la teorías</w:t>
      </w:r>
      <w:proofErr w:type="gramEnd"/>
      <w:r w:rsidR="00D74C06" w:rsidRPr="00274631">
        <w:rPr>
          <w:rFonts w:ascii="Times New Roman" w:hAnsi="Times New Roman" w:cs="Times New Roman"/>
          <w:sz w:val="24"/>
          <w:szCs w:val="24"/>
        </w:rPr>
        <w:t xml:space="preserve"> de la superioridad racial.</w:t>
      </w:r>
    </w:p>
    <w:p w:rsidR="00724520" w:rsidRPr="00274631" w:rsidRDefault="00724520"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Las principales razones que han llevado al reconocimiento de la igualdad racial han sido en buena parte históricas, el holocausto nazi y el proceso descolonizador pusieron de relieve esta importante cuestión.</w:t>
      </w:r>
    </w:p>
    <w:p w:rsidR="00AA3304" w:rsidRPr="00274631" w:rsidRDefault="00AA330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 a través de este derecho donde se reconoce la igualdad de los individuos y grupos raciales frente a la ley y se garantiza que las razones de la diversidad racial no sean un obstáculo para el goce y disfrute de los demás derechos fundamentales. La no discriminación por motivos raciales responde a la necesidad de la universalización de todos los derechos y los valores más elementales a los que los hombres aspiran y tienen su punto de partida en el ejercicio del derecho a la igualdad.</w:t>
      </w:r>
    </w:p>
    <w:p w:rsidR="001B4534" w:rsidRPr="00274631" w:rsidRDefault="00B81F1B" w:rsidP="00274631">
      <w:pPr>
        <w:pStyle w:val="Prrafodelista"/>
        <w:numPr>
          <w:ilvl w:val="1"/>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1B4534" w:rsidRPr="00274631">
        <w:rPr>
          <w:rFonts w:ascii="Times New Roman" w:hAnsi="Times New Roman" w:cs="Times New Roman"/>
          <w:sz w:val="24"/>
          <w:szCs w:val="24"/>
        </w:rPr>
        <w:t>El derecho a la no discriminación por motivos de religión</w:t>
      </w:r>
    </w:p>
    <w:p w:rsidR="001B4534" w:rsidRPr="00274631" w:rsidRDefault="001B453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Hoy en día no son pocas personas en el mundo a las que se las discrimina por pertenecer a una comunidad religiosa o por tener una serie de creencias. Se les limita de manera indebida el disfrute de sus derechos civiles, culturales, económicos y sociales. Sufriendo un serie de actos de discriminación que acaban afectando en campos como puede ser el acceso a los servicios de salud, a cargos públicos o a la educación pública.</w:t>
      </w:r>
    </w:p>
    <w:p w:rsidR="00BE5D62" w:rsidRPr="00274631" w:rsidRDefault="001B453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Las Naciones Unidas se han encargado de este problema prácticamente desde su nacimiento y fundación, y la prohibición de la discriminación religiosa está consagrada en los principales tratados internaciones de Derechos Humanos. Es por ello, que los Estados deben</w:t>
      </w:r>
      <w:r w:rsidR="00BE5D62" w:rsidRPr="00274631">
        <w:rPr>
          <w:rFonts w:ascii="Times New Roman" w:hAnsi="Times New Roman" w:cs="Times New Roman"/>
          <w:sz w:val="24"/>
          <w:szCs w:val="24"/>
        </w:rPr>
        <w:t>:</w:t>
      </w:r>
    </w:p>
    <w:p w:rsidR="001B4534" w:rsidRPr="00274631" w:rsidRDefault="00BE5D62" w:rsidP="00274631">
      <w:pPr>
        <w:pStyle w:val="Prrafodelista"/>
        <w:numPr>
          <w:ilvl w:val="0"/>
          <w:numId w:val="22"/>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A</w:t>
      </w:r>
      <w:r w:rsidR="001B4534" w:rsidRPr="00274631">
        <w:rPr>
          <w:rFonts w:ascii="Times New Roman" w:hAnsi="Times New Roman" w:cs="Times New Roman"/>
          <w:sz w:val="24"/>
          <w:szCs w:val="24"/>
        </w:rPr>
        <w:t>bstenerse de discriminar a las personas o grupos en base a su religión</w:t>
      </w:r>
    </w:p>
    <w:p w:rsidR="00BE5D62" w:rsidRPr="00274631" w:rsidRDefault="00BE5D62" w:rsidP="00274631">
      <w:pPr>
        <w:pStyle w:val="Prrafodelista"/>
        <w:numPr>
          <w:ilvl w:val="0"/>
          <w:numId w:val="22"/>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Deber de prohibir ese tipo de discriminación, incluyendo la discriminación por parte de actores no estatales.</w:t>
      </w:r>
    </w:p>
    <w:p w:rsidR="00BE5D62" w:rsidRPr="00274631" w:rsidRDefault="00BE5D62" w:rsidP="00274631">
      <w:pPr>
        <w:pStyle w:val="Prrafodelista"/>
        <w:numPr>
          <w:ilvl w:val="0"/>
          <w:numId w:val="22"/>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Deben adoptar todas las medidas que sean necesarias, para que en su territorio, toda persona pueda disfrutar de todos los Derechos Humanos sin ningún tipo de discriminación.</w:t>
      </w:r>
    </w:p>
    <w:p w:rsidR="00B81F1B" w:rsidRPr="00274631" w:rsidRDefault="00B81F1B" w:rsidP="00274631">
      <w:pPr>
        <w:pStyle w:val="Prrafodelista"/>
        <w:spacing w:line="360" w:lineRule="auto"/>
        <w:jc w:val="both"/>
        <w:rPr>
          <w:rFonts w:ascii="Times New Roman" w:hAnsi="Times New Roman" w:cs="Times New Roman"/>
          <w:sz w:val="24"/>
          <w:szCs w:val="24"/>
        </w:rPr>
      </w:pPr>
    </w:p>
    <w:p w:rsidR="002B0C64" w:rsidRPr="00274631" w:rsidRDefault="00B81F1B" w:rsidP="00274631">
      <w:pPr>
        <w:pStyle w:val="Prrafodelista"/>
        <w:numPr>
          <w:ilvl w:val="1"/>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2B0C64" w:rsidRPr="00274631">
        <w:rPr>
          <w:rFonts w:ascii="Times New Roman" w:hAnsi="Times New Roman" w:cs="Times New Roman"/>
          <w:sz w:val="24"/>
          <w:szCs w:val="24"/>
        </w:rPr>
        <w:t>El derecho a la no discriminación por razón de lengua</w:t>
      </w:r>
    </w:p>
    <w:p w:rsidR="00E43EC0" w:rsidRPr="00274631" w:rsidRDefault="001B453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w:t>
      </w:r>
      <w:r w:rsidR="00E43EC0" w:rsidRPr="00274631">
        <w:rPr>
          <w:rFonts w:ascii="Times New Roman" w:hAnsi="Times New Roman" w:cs="Times New Roman"/>
          <w:sz w:val="24"/>
          <w:szCs w:val="24"/>
        </w:rPr>
        <w:t xml:space="preserve"> derecho a la no discriminación por razón de lengua es un derecho que se puede definir como el derecho específico, derivado del derecho a la no discriminación, a su vez, es una concreción del derecho a la igualdad, por virtud del cual los pueblos y minorías lingüísticas tienen la facultad de utilizar y desarrollar su propia lengua, en todos los ámbitos de la vida social.</w:t>
      </w:r>
    </w:p>
    <w:p w:rsidR="00B1167A" w:rsidRPr="00274631" w:rsidRDefault="002B0C6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Es un derecho que está reconocido en las principales declaraciones internacionales de Derechos Humanos de manera implícita y explícita. Este derecho es una confluencia al reconocimiento de diferentes derechos, como son:</w:t>
      </w:r>
    </w:p>
    <w:p w:rsidR="002B0C64" w:rsidRPr="00274631" w:rsidRDefault="002B0C64" w:rsidP="00274631">
      <w:pPr>
        <w:pStyle w:val="Prrafodelista"/>
        <w:numPr>
          <w:ilvl w:val="0"/>
          <w:numId w:val="12"/>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igualdad</w:t>
      </w:r>
    </w:p>
    <w:p w:rsidR="0095673C" w:rsidRPr="00274631" w:rsidRDefault="0095673C" w:rsidP="00274631">
      <w:pPr>
        <w:pStyle w:val="Prrafodelista"/>
        <w:numPr>
          <w:ilvl w:val="0"/>
          <w:numId w:val="12"/>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educación</w:t>
      </w:r>
    </w:p>
    <w:p w:rsidR="0095673C" w:rsidRPr="00274631" w:rsidRDefault="0095673C" w:rsidP="00274631">
      <w:pPr>
        <w:pStyle w:val="Prrafodelista"/>
        <w:numPr>
          <w:ilvl w:val="0"/>
          <w:numId w:val="12"/>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libertad de pensamiento</w:t>
      </w:r>
    </w:p>
    <w:p w:rsidR="002B0C64" w:rsidRPr="00274631" w:rsidRDefault="002B0C64" w:rsidP="00274631">
      <w:pPr>
        <w:pStyle w:val="Prrafodelista"/>
        <w:numPr>
          <w:ilvl w:val="0"/>
          <w:numId w:val="12"/>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cultura</w:t>
      </w:r>
    </w:p>
    <w:p w:rsidR="002B0C64" w:rsidRPr="00274631" w:rsidRDefault="002B0C64" w:rsidP="00274631">
      <w:pPr>
        <w:pStyle w:val="Prrafodelista"/>
        <w:numPr>
          <w:ilvl w:val="0"/>
          <w:numId w:val="12"/>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expresarse en</w:t>
      </w:r>
      <w:r w:rsidR="00E43EC0" w:rsidRPr="00274631">
        <w:rPr>
          <w:rFonts w:ascii="Times New Roman" w:hAnsi="Times New Roman" w:cs="Times New Roman"/>
          <w:sz w:val="24"/>
          <w:szCs w:val="24"/>
        </w:rPr>
        <w:t xml:space="preserve"> </w:t>
      </w:r>
      <w:r w:rsidRPr="00274631">
        <w:rPr>
          <w:rFonts w:ascii="Times New Roman" w:hAnsi="Times New Roman" w:cs="Times New Roman"/>
          <w:sz w:val="24"/>
          <w:szCs w:val="24"/>
        </w:rPr>
        <w:t>su propia lengua</w:t>
      </w:r>
    </w:p>
    <w:p w:rsidR="002B0C64" w:rsidRPr="00274631" w:rsidRDefault="00E43EC0"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 la actualidad, los organismos regionales europeo ponen un especial énfasis en la necesidad de proteger la diversidad lingüística europeo como bien cultural común. El objeto de</w:t>
      </w:r>
      <w:r w:rsidR="0095673C" w:rsidRPr="00274631">
        <w:rPr>
          <w:rFonts w:ascii="Times New Roman" w:hAnsi="Times New Roman" w:cs="Times New Roman"/>
          <w:sz w:val="24"/>
          <w:szCs w:val="24"/>
        </w:rPr>
        <w:t xml:space="preserve"> este derecho lo podemos hallar en la conversación y desarrollo de las diversas lenguas existentes, y su último fundamento lo encontraos en la dignidad de la persona humana, por ende, su fundamento inmediato está en la necesidad de preservar las diversas lenguas</w:t>
      </w:r>
    </w:p>
    <w:p w:rsidR="0095673C" w:rsidRPr="00274631" w:rsidRDefault="00B81F1B" w:rsidP="00274631">
      <w:pPr>
        <w:pStyle w:val="Prrafodelista"/>
        <w:numPr>
          <w:ilvl w:val="1"/>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95673C" w:rsidRPr="00274631">
        <w:rPr>
          <w:rFonts w:ascii="Times New Roman" w:hAnsi="Times New Roman" w:cs="Times New Roman"/>
          <w:sz w:val="24"/>
          <w:szCs w:val="24"/>
        </w:rPr>
        <w:t xml:space="preserve">Derecho a la no discriminación por razón de opción sexual </w:t>
      </w:r>
    </w:p>
    <w:p w:rsidR="00040B67" w:rsidRPr="00274631" w:rsidRDefault="0095673C"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Podemos definir los derechos de os homosexuales como aquel tipo o clases de </w:t>
      </w:r>
      <w:r w:rsidR="00274631">
        <w:rPr>
          <w:rFonts w:ascii="Times New Roman" w:hAnsi="Times New Roman" w:cs="Times New Roman"/>
          <w:sz w:val="24"/>
          <w:szCs w:val="24"/>
        </w:rPr>
        <w:t>D</w:t>
      </w:r>
      <w:r w:rsidR="00040B67" w:rsidRPr="00274631">
        <w:rPr>
          <w:rFonts w:ascii="Times New Roman" w:hAnsi="Times New Roman" w:cs="Times New Roman"/>
          <w:sz w:val="24"/>
          <w:szCs w:val="24"/>
        </w:rPr>
        <w:t>erechos H</w:t>
      </w:r>
      <w:r w:rsidRPr="00274631">
        <w:rPr>
          <w:rFonts w:ascii="Times New Roman" w:hAnsi="Times New Roman" w:cs="Times New Roman"/>
          <w:sz w:val="24"/>
          <w:szCs w:val="24"/>
        </w:rPr>
        <w:t>umanos</w:t>
      </w:r>
      <w:r w:rsidR="00040B67" w:rsidRPr="00274631">
        <w:rPr>
          <w:rFonts w:ascii="Times New Roman" w:hAnsi="Times New Roman" w:cs="Times New Roman"/>
          <w:sz w:val="24"/>
          <w:szCs w:val="24"/>
        </w:rPr>
        <w:t xml:space="preserve"> en situación integrados por el conjunto de los Derechos Humanos en general. Su Sujeto activo es toda persona, se mujer u hombre, al igual que los grupos sociales integrados por personas homosexuales.</w:t>
      </w:r>
    </w:p>
    <w:p w:rsidR="00040B67" w:rsidRPr="00274631" w:rsidRDefault="00040B6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Su fundamento no es otro que a dignidad de la persona humana.</w:t>
      </w:r>
    </w:p>
    <w:p w:rsidR="0095673C" w:rsidRPr="00274631" w:rsidRDefault="0095673C"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No existe en las principales Declaraciones de Derechos Humanos un reconocimiento explícito de los derechos de las personas homosexuales, pero si existe un reconocimiento implícito a través de una cuádruple vía:</w:t>
      </w:r>
    </w:p>
    <w:p w:rsidR="0095673C" w:rsidRPr="00274631" w:rsidRDefault="0095673C" w:rsidP="00274631">
      <w:pPr>
        <w:pStyle w:val="Prrafodelista"/>
        <w:numPr>
          <w:ilvl w:val="0"/>
          <w:numId w:val="1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Reconocimiento del genérico Derecho de Igualdad</w:t>
      </w:r>
    </w:p>
    <w:p w:rsidR="0095673C" w:rsidRPr="00274631" w:rsidRDefault="0095673C" w:rsidP="00274631">
      <w:pPr>
        <w:pStyle w:val="Prrafodelista"/>
        <w:numPr>
          <w:ilvl w:val="0"/>
          <w:numId w:val="1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Reconocimiento del Derecho a la Libertad</w:t>
      </w:r>
    </w:p>
    <w:p w:rsidR="0095673C" w:rsidRPr="00274631" w:rsidRDefault="0095673C" w:rsidP="00274631">
      <w:pPr>
        <w:pStyle w:val="Prrafodelista"/>
        <w:numPr>
          <w:ilvl w:val="0"/>
          <w:numId w:val="1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Seguridad</w:t>
      </w:r>
    </w:p>
    <w:p w:rsidR="0095673C" w:rsidRPr="00274631" w:rsidRDefault="0095673C" w:rsidP="00274631">
      <w:pPr>
        <w:pStyle w:val="Prrafodelista"/>
        <w:numPr>
          <w:ilvl w:val="0"/>
          <w:numId w:val="1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 a la Integridad Moral</w:t>
      </w:r>
    </w:p>
    <w:p w:rsidR="0095673C" w:rsidRPr="00274631" w:rsidRDefault="0095673C"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Desde épocas muy antiguas la homosexualidad ha sido castigada de una forma muy severa. Caso excepcional la homosexualidad entre varones, que se dio de forma institucionalizada en la Antigua Grecia, no existiendo datos sobre la homosexualidad femenina.</w:t>
      </w:r>
    </w:p>
    <w:p w:rsidR="0095673C" w:rsidRPr="00274631" w:rsidRDefault="0095673C"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En España, en 1930 no hay alusiones directas a la homosexualidad, ni siquiera con la Ley de vagos y maleantes de 1933, y no fue hasta 1954 con la reforma de los artículos 2 y 6 de la ley anteriormente nombrada, el momento en el que se empieza a perseguir la homosexualidad y se castiga.</w:t>
      </w:r>
    </w:p>
    <w:p w:rsidR="00B81F1B" w:rsidRPr="00274631" w:rsidRDefault="00040B6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Hoy en día, sigue existiendo parte de reticencia entre algunas personas contra los homosexuales, pero conforme transcurren los años, es innegable el hecho de que cada vez más parte de la sociedad ve esta opción sexual como una más.</w:t>
      </w:r>
    </w:p>
    <w:p w:rsidR="00094D58" w:rsidRPr="00274631" w:rsidRDefault="00433512" w:rsidP="00274631">
      <w:pPr>
        <w:pStyle w:val="Prrafodelista"/>
        <w:numPr>
          <w:ilvl w:val="0"/>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I</w:t>
      </w:r>
      <w:r w:rsidR="00E271EE" w:rsidRPr="00274631">
        <w:rPr>
          <w:rFonts w:ascii="Times New Roman" w:hAnsi="Times New Roman" w:cs="Times New Roman"/>
          <w:sz w:val="24"/>
          <w:szCs w:val="24"/>
        </w:rPr>
        <w:t xml:space="preserve">ntroducción a la evolución de la igualdad y la no discriminación por sexos </w:t>
      </w:r>
    </w:p>
    <w:p w:rsidR="00E271EE" w:rsidRPr="00274631" w:rsidRDefault="00E271E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 la antigua roma sólo se reconocía la existencia de derechos a los hombres que fuesen adultos y que no fueran esclavos. Solo ellos eran considerados ciudadanos. La reivindicación de los derechos de la mujer tiene una historia teóricamente reciente, y es que no es hasta la Revolución Francesa cuando se proclama el principio de igualdad, y años después, en la segunda mitad del siglo XIX cuando se empezara a hacer efectiva esta lucha</w:t>
      </w:r>
    </w:p>
    <w:p w:rsidR="00E271EE" w:rsidRPr="00274631" w:rsidRDefault="00E271E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Se crean movimientos de mujeres, clubes, en diferentes zonas de la geografía, teniendo mayor auge en un principio en países como Estados Unidos y Francia. Movimientos cuyas primeras reivindicaciones se centraban en el sufragio y en la igualdad de derechos con los hombres. Y es en la década de 1930 cuando en varios países de occidente llega el voto femenino. En España se concretó en 1933, tras largos años de lucha por él. </w:t>
      </w:r>
    </w:p>
    <w:p w:rsidR="00D85FE9" w:rsidRPr="00274631" w:rsidRDefault="00D85FE9"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Otra de las primeras reivindicaciones del colectivo femenino fue el derecho a la educación, entre 1850 y 1875 se permite el ingreso de mujeres inglesas a grados secundarios y universitarios. A principios del siglo XX se les brinda la oportunidad de ingresas en alguna profesiones. También para estas fechas se empiezan a crear las primeras Convenciones Internaciones sobre los derechos de la mujer en el matrimonio, al divorcio y a la tutela de los hijos menores.</w:t>
      </w:r>
    </w:p>
    <w:p w:rsidR="00D85FE9" w:rsidRPr="00274631" w:rsidRDefault="00D85FE9"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 en 1967 cuando se aprueba la Declaración sobre la eliminación de la discriminación contra la mujer, la que anuncia los principios de los derechos para la mujer en pie de igualdad con el hombre, señalando medidas para el cumplimiento de estos y para su anterior aplicación en diferentes países.</w:t>
      </w:r>
    </w:p>
    <w:p w:rsidR="004D3823" w:rsidRPr="00274631" w:rsidRDefault="004D3823"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En el ámbito interno de los Estados, una primera dimensión de la igualdad ante la ley tiene sus antecedentes en la Declaración de Independencia de los Estados Unidos en 1776 y en la </w:t>
      </w:r>
      <w:r w:rsidRPr="00274631">
        <w:rPr>
          <w:rFonts w:ascii="Times New Roman" w:hAnsi="Times New Roman" w:cs="Times New Roman"/>
          <w:sz w:val="24"/>
          <w:szCs w:val="24"/>
        </w:rPr>
        <w:lastRenderedPageBreak/>
        <w:t>Revolución Francesa en 1789, siendo asumida luego por el constitucionalismo clásico y contemporáneo por el cual se reconoce la igual naturaleza y atributos esenciales a todos los seres humanos.</w:t>
      </w:r>
      <w:r w:rsidRPr="00274631">
        <w:rPr>
          <w:rStyle w:val="Refdenotaalpie"/>
          <w:rFonts w:ascii="Times New Roman" w:hAnsi="Times New Roman" w:cs="Times New Roman"/>
          <w:sz w:val="24"/>
          <w:szCs w:val="24"/>
        </w:rPr>
        <w:footnoteReference w:id="2"/>
      </w:r>
    </w:p>
    <w:p w:rsidR="00433512" w:rsidRPr="00274631" w:rsidRDefault="00433512"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Podemos clasificar los diferentes derechos que hay ido consiguiendo la mujer en su lucha por una igualdad real, en:</w:t>
      </w:r>
    </w:p>
    <w:p w:rsidR="00433512" w:rsidRPr="00274631" w:rsidRDefault="00433512" w:rsidP="00274631">
      <w:pPr>
        <w:pStyle w:val="Prrafodelista"/>
        <w:numPr>
          <w:ilvl w:val="0"/>
          <w:numId w:val="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Derechos de primera generación</w:t>
      </w:r>
    </w:p>
    <w:p w:rsidR="00433512" w:rsidRPr="00274631" w:rsidRDefault="00433512" w:rsidP="00274631">
      <w:pPr>
        <w:pStyle w:val="Prrafodelista"/>
        <w:numPr>
          <w:ilvl w:val="0"/>
          <w:numId w:val="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vida</w:t>
      </w:r>
    </w:p>
    <w:p w:rsidR="00433512" w:rsidRPr="00274631" w:rsidRDefault="00433512" w:rsidP="00274631">
      <w:pPr>
        <w:pStyle w:val="Prrafodelista"/>
        <w:numPr>
          <w:ilvl w:val="0"/>
          <w:numId w:val="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integridad</w:t>
      </w:r>
    </w:p>
    <w:p w:rsidR="00433512" w:rsidRPr="00274631" w:rsidRDefault="00433512" w:rsidP="00274631">
      <w:pPr>
        <w:pStyle w:val="Prrafodelista"/>
        <w:numPr>
          <w:ilvl w:val="0"/>
          <w:numId w:val="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libertad psicofísica</w:t>
      </w:r>
    </w:p>
    <w:p w:rsidR="00433512" w:rsidRPr="00274631" w:rsidRDefault="00433512" w:rsidP="00274631">
      <w:pPr>
        <w:pStyle w:val="Prrafodelista"/>
        <w:numPr>
          <w:ilvl w:val="0"/>
          <w:numId w:val="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A la participación política</w:t>
      </w:r>
    </w:p>
    <w:p w:rsidR="00433512" w:rsidRPr="00274631" w:rsidRDefault="00433512" w:rsidP="00274631">
      <w:pPr>
        <w:pStyle w:val="Prrafodelista"/>
        <w:numPr>
          <w:ilvl w:val="0"/>
          <w:numId w:val="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Derechos de segunda generación</w:t>
      </w:r>
    </w:p>
    <w:p w:rsidR="00433512" w:rsidRPr="00274631" w:rsidRDefault="00433512" w:rsidP="00274631">
      <w:pPr>
        <w:pStyle w:val="Prrafodelista"/>
        <w:numPr>
          <w:ilvl w:val="0"/>
          <w:numId w:val="9"/>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acceso a un trabajo</w:t>
      </w:r>
    </w:p>
    <w:p w:rsidR="00433512" w:rsidRPr="00274631" w:rsidRDefault="00433512" w:rsidP="00274631">
      <w:pPr>
        <w:pStyle w:val="Prrafodelista"/>
        <w:numPr>
          <w:ilvl w:val="0"/>
          <w:numId w:val="9"/>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Un salario digno</w:t>
      </w:r>
    </w:p>
    <w:p w:rsidR="00433512" w:rsidRPr="00274631" w:rsidRDefault="00433512" w:rsidP="00274631">
      <w:pPr>
        <w:pStyle w:val="Prrafodelista"/>
        <w:numPr>
          <w:ilvl w:val="0"/>
          <w:numId w:val="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Derechos de tercera generación</w:t>
      </w:r>
    </w:p>
    <w:p w:rsidR="00433512" w:rsidRPr="00274631" w:rsidRDefault="00433512" w:rsidP="00274631">
      <w:pPr>
        <w:pStyle w:val="Prrafodelista"/>
        <w:numPr>
          <w:ilvl w:val="0"/>
          <w:numId w:val="1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desarrollo</w:t>
      </w:r>
    </w:p>
    <w:p w:rsidR="00433512" w:rsidRPr="00274631" w:rsidRDefault="00433512" w:rsidP="00274631">
      <w:pPr>
        <w:pStyle w:val="Prrafodelista"/>
        <w:numPr>
          <w:ilvl w:val="0"/>
          <w:numId w:val="1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autodeterminación</w:t>
      </w:r>
    </w:p>
    <w:p w:rsidR="00433512" w:rsidRPr="00274631" w:rsidRDefault="00433512"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Desde la perspectiva de los derechos de primera generación, los Estados deben garantizarlos, en aplicación y desarrollo de las disposiciones legales </w:t>
      </w:r>
      <w:r w:rsidR="00550073" w:rsidRPr="00274631">
        <w:rPr>
          <w:rFonts w:ascii="Times New Roman" w:hAnsi="Times New Roman" w:cs="Times New Roman"/>
          <w:sz w:val="24"/>
          <w:szCs w:val="24"/>
        </w:rPr>
        <w:t>en igualdad de condiciones que los hombres. Es indispensable la consideración del principio de igualdad entre hombres y mujeres para lograr una conexión entre derechos como el derecho al voto y el derecho a la participación política.</w:t>
      </w:r>
    </w:p>
    <w:p w:rsidR="00550073" w:rsidRPr="00274631" w:rsidRDefault="00550073"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Desde la orientación de los Derechos Humanos de segunda generación, o derechos económicos, sociales y culturales, la mujer tiene acceso a la educación, a la salud y a un tratamiento especial para los casos de maternidad, incluso una serie de derechos específicos relativos a su trabajo n los relativos a aquellos que le garantizan el sostenimiento del empleo en épocas de embarazo.</w:t>
      </w:r>
    </w:p>
    <w:p w:rsidR="00550073" w:rsidRPr="00274631" w:rsidRDefault="00550073"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Desde el plano de los Derechos Humanos de tercera generación, la mujer tiene derecho a que se le dispense un tratamiento digno por aquél que sea su marido, con la penalización del maltrato y del abuso sexual, </w:t>
      </w:r>
      <w:r w:rsidR="002B0C64" w:rsidRPr="00274631">
        <w:rPr>
          <w:rFonts w:ascii="Times New Roman" w:hAnsi="Times New Roman" w:cs="Times New Roman"/>
          <w:sz w:val="24"/>
          <w:szCs w:val="24"/>
        </w:rPr>
        <w:t xml:space="preserve">tiene derecho al aborto y a que el Estado le garantice las </w:t>
      </w:r>
      <w:r w:rsidR="002B0C64" w:rsidRPr="00274631">
        <w:rPr>
          <w:rFonts w:ascii="Times New Roman" w:hAnsi="Times New Roman" w:cs="Times New Roman"/>
          <w:sz w:val="24"/>
          <w:szCs w:val="24"/>
        </w:rPr>
        <w:lastRenderedPageBreak/>
        <w:t>específicas seguridades de salud para ello. En último término los derechos de la mujer se conectan con el derecho al medio ambiente y el derecho a la paz.</w:t>
      </w:r>
    </w:p>
    <w:p w:rsidR="00B81F1B" w:rsidRPr="00274631" w:rsidRDefault="00D85FE9"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más importante es la Convención sobre la eliminación de todas las formas de discriminación contra la mujer, aprobado por la Asamblea General de la ONU, el 18 de Diciembre de 1979. De estas importantes acciones realizadas para promover y proteger los derechos de la mujer se han visto complementadas por el principio de igualdad que inspira l</w:t>
      </w:r>
      <w:r w:rsidR="00ED3A12" w:rsidRPr="00274631">
        <w:rPr>
          <w:rFonts w:ascii="Times New Roman" w:hAnsi="Times New Roman" w:cs="Times New Roman"/>
          <w:sz w:val="24"/>
          <w:szCs w:val="24"/>
        </w:rPr>
        <w:t>a Carta de las Naciones Unidas.</w:t>
      </w:r>
    </w:p>
    <w:p w:rsidR="007B3C17" w:rsidRPr="00274631" w:rsidRDefault="007B3C1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Como caso reciente, la Sentencia del Tribunal Supremo desestimando un recurso de casación, en un caso de discriminación por razón de una empresa sita en Canarias, STS de 14 de Mayo de 2014</w:t>
      </w:r>
    </w:p>
    <w:p w:rsidR="00ED3A12" w:rsidRPr="00274631" w:rsidRDefault="00ED3A12" w:rsidP="00274631">
      <w:pPr>
        <w:spacing w:line="360" w:lineRule="auto"/>
        <w:jc w:val="both"/>
        <w:rPr>
          <w:rFonts w:ascii="Times New Roman" w:hAnsi="Times New Roman" w:cs="Times New Roman"/>
          <w:sz w:val="24"/>
          <w:szCs w:val="24"/>
        </w:rPr>
      </w:pPr>
    </w:p>
    <w:p w:rsidR="00094D58" w:rsidRPr="00274631" w:rsidRDefault="00094D58" w:rsidP="00274631">
      <w:pPr>
        <w:pStyle w:val="Prrafodelista"/>
        <w:numPr>
          <w:ilvl w:val="0"/>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Materia de igualdad de oportunidades entre hombres y mujeres, normativa nacional y comunitaria.</w:t>
      </w:r>
    </w:p>
    <w:p w:rsidR="00B81F1B" w:rsidRPr="00274631" w:rsidRDefault="00B81F1B" w:rsidP="00274631">
      <w:pPr>
        <w:pStyle w:val="Prrafodelista"/>
        <w:spacing w:line="360" w:lineRule="auto"/>
        <w:jc w:val="both"/>
        <w:rPr>
          <w:rFonts w:ascii="Times New Roman" w:hAnsi="Times New Roman" w:cs="Times New Roman"/>
          <w:sz w:val="24"/>
          <w:szCs w:val="24"/>
        </w:rPr>
      </w:pPr>
    </w:p>
    <w:p w:rsidR="009D1D43" w:rsidRPr="00274631" w:rsidRDefault="00B81F1B" w:rsidP="00274631">
      <w:pPr>
        <w:pStyle w:val="Prrafodelista"/>
        <w:numPr>
          <w:ilvl w:val="1"/>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9D1D43" w:rsidRPr="00274631">
        <w:rPr>
          <w:rFonts w:ascii="Times New Roman" w:hAnsi="Times New Roman" w:cs="Times New Roman"/>
          <w:sz w:val="24"/>
          <w:szCs w:val="24"/>
        </w:rPr>
        <w:t xml:space="preserve">Normativa Comunitaria </w:t>
      </w:r>
    </w:p>
    <w:p w:rsidR="009D1D43" w:rsidRPr="00274631" w:rsidRDefault="009D1D43"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Derecho Comunitario engloba tanto el Derecho Originario como el Derecho Derivado, el primero lo forman los tratados constituyentes y de reforma, y que se han asumidos por los países miembros quienes pudieron negociarlos y ratificar de forma voluntaria, mientras que el Derecho Derivado está compuesto por los actos normativos unilateralmente adoptados por las instituciones comunitarias en aplicación de los tratados, y que lo integran, reglamentos, directivas, decisiones, recomendacio</w:t>
      </w:r>
      <w:r w:rsidR="000813EE" w:rsidRPr="00274631">
        <w:rPr>
          <w:rFonts w:ascii="Times New Roman" w:hAnsi="Times New Roman" w:cs="Times New Roman"/>
          <w:sz w:val="24"/>
          <w:szCs w:val="24"/>
        </w:rPr>
        <w:t>nes y dic</w:t>
      </w:r>
      <w:r w:rsidRPr="00274631">
        <w:rPr>
          <w:rFonts w:ascii="Times New Roman" w:hAnsi="Times New Roman" w:cs="Times New Roman"/>
          <w:sz w:val="24"/>
          <w:szCs w:val="24"/>
        </w:rPr>
        <w:t>támenes.</w:t>
      </w:r>
    </w:p>
    <w:p w:rsidR="009D1D43" w:rsidRPr="00274631" w:rsidRDefault="009D1D43"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Los primeros, los reglamentos, son obligatorios en todos sus elementos y directamente aplicables a los Estados Comunitarios, y se publican en el Diario Oficial de la Unión Europea (DOUE), las directivas por su parte vinculas al Estado o Estados a los que van dirigidos, siendo estos Estados libres de decidir la forma o medios a utilizar para conseguir dichas finalidades, y se public</w:t>
      </w:r>
      <w:r w:rsidR="00081AEB" w:rsidRPr="00274631">
        <w:rPr>
          <w:rFonts w:ascii="Times New Roman" w:hAnsi="Times New Roman" w:cs="Times New Roman"/>
          <w:sz w:val="24"/>
          <w:szCs w:val="24"/>
        </w:rPr>
        <w:t>an al igual que los reglamentos en el DOUE.</w:t>
      </w:r>
    </w:p>
    <w:p w:rsidR="00081AEB" w:rsidRPr="00274631" w:rsidRDefault="00081AE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Las decisiones por su parte son obligatorias en todos sus elementos para aquel que sea su destinatario, y como diferencia con los reglamentos, no tienen alcance general, debido a que se dirigen unos sujetos individuales, también se publican en el Diario Oficial de la Unión Europea.</w:t>
      </w:r>
    </w:p>
    <w:p w:rsidR="00081AEB" w:rsidRPr="00274631" w:rsidRDefault="00081AE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Las recomendaciones son sugerencias de las instituciones comunitarias a los Estados miembros para que actúen de una determinada forma en una materia concreta mientras que los dictámenes son manifestaciones de opinión sobre una cuestión en particular, como las recomendaciones, no son vinculantes.</w:t>
      </w:r>
    </w:p>
    <w:p w:rsidR="009546B3" w:rsidRPr="00274631" w:rsidRDefault="00B81F1B" w:rsidP="00274631">
      <w:pPr>
        <w:pStyle w:val="Prrafodelista"/>
        <w:numPr>
          <w:ilvl w:val="2"/>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9546B3" w:rsidRPr="00274631">
        <w:rPr>
          <w:rFonts w:ascii="Times New Roman" w:hAnsi="Times New Roman" w:cs="Times New Roman"/>
          <w:sz w:val="24"/>
          <w:szCs w:val="24"/>
        </w:rPr>
        <w:t xml:space="preserve">La igualdad de oportunidades entre el hombre y la mujer a nivel europeo </w:t>
      </w:r>
    </w:p>
    <w:p w:rsidR="00081AEB" w:rsidRPr="00274631" w:rsidRDefault="00081AE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 cuanto al tema que vamos a tratar en este apartado, la igualdad de oportunidades entre el hombre y la mujer debe suponer en primer lugar una igualdad de trato y un respeto a la dignidad humana en general, que en muchas ocasiones suele mezclarse con el concepto de protección a la mujer por ser la parte menos favorecida en la realidad social.</w:t>
      </w:r>
    </w:p>
    <w:p w:rsidR="00081AEB" w:rsidRPr="00274631" w:rsidRDefault="00081AE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Tomo como punto de partida el Tratado de Roma de 25 de Marzo de 1957, tratado constitutivo de la Comunidad Económica Europea</w:t>
      </w:r>
      <w:r w:rsidR="009546B3" w:rsidRPr="00274631">
        <w:rPr>
          <w:rFonts w:ascii="Times New Roman" w:hAnsi="Times New Roman" w:cs="Times New Roman"/>
          <w:sz w:val="24"/>
          <w:szCs w:val="24"/>
        </w:rPr>
        <w:t>, y que consagró en su artículo 119 la igualdad de trato entre hombres y mujeres en cuanto a la retribución por igual trabajo realizado.</w:t>
      </w:r>
    </w:p>
    <w:p w:rsidR="000813EE" w:rsidRPr="00274631" w:rsidRDefault="000813EE" w:rsidP="00274631">
      <w:pPr>
        <w:pStyle w:val="Prrafodelista"/>
        <w:numPr>
          <w:ilvl w:val="2"/>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Las directivas europeas</w:t>
      </w:r>
    </w:p>
    <w:p w:rsidR="009546B3" w:rsidRPr="00274631" w:rsidRDefault="009546B3"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Esta máxima general se ha desarrollado en cantidad de disposiciones de derecho derivado, como por ejemplo las directivas, aquí alguna de las más importantes:</w:t>
      </w:r>
    </w:p>
    <w:p w:rsidR="009546B3" w:rsidRPr="00274631" w:rsidRDefault="009546B3" w:rsidP="00274631">
      <w:pPr>
        <w:pStyle w:val="Prrafodelista"/>
        <w:numPr>
          <w:ilvl w:val="0"/>
          <w:numId w:val="1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Directiva 75/117/CEE, de 10 de Febrero de 1975, relativa a la aproximación de legislaciones de los Estados miembros, en la cual se refiere al principio de igualdad de retribución entre los trabajadores y las trabajadoras y que implicó la eliminación de cualquier discriminación por razones de sexo relacionada con el conjunto de condiciones de la retribución de igual trabajo. Esta directiva ha sido derogada por la Directiva 2006/54 de la que hablaré más adelante.</w:t>
      </w:r>
    </w:p>
    <w:p w:rsidR="009C4A1A" w:rsidRPr="00274631" w:rsidRDefault="009546B3" w:rsidP="00274631">
      <w:pPr>
        <w:pStyle w:val="Prrafodelista"/>
        <w:numPr>
          <w:ilvl w:val="0"/>
          <w:numId w:val="1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Directiva 76/207/CEE, de 9 de Febrero de 1976, que se refiere a la aplicación del principio de igualdad de trato entre hombres y mujeres en lo que se refiere al acceso al empleo, a la formación</w:t>
      </w:r>
      <w:r w:rsidR="009C4A1A" w:rsidRPr="00274631">
        <w:rPr>
          <w:rFonts w:ascii="Times New Roman" w:hAnsi="Times New Roman" w:cs="Times New Roman"/>
          <w:sz w:val="24"/>
          <w:szCs w:val="24"/>
        </w:rPr>
        <w:t xml:space="preserve"> y a las promociones profesionales, y a las condiciones de trabajo. También definió el principio de igualdad de trato en el sentido de ausencia de toda discriminación por razón de sexo, tanto de forma indirecta como indirectamente, refiriéndose en particular al estado matrimonial o familiar. Esta directiva también se aplicó al acceso a todas las clases y niveles de orientación profesional, formación, perfeccionamiento y reciclado profesionales, y en cuanto a lo concerniente a las condiciones de trabajo y despido se contemplaban las mismas para hombres y </w:t>
      </w:r>
      <w:r w:rsidR="009C4A1A" w:rsidRPr="00274631">
        <w:rPr>
          <w:rFonts w:ascii="Times New Roman" w:hAnsi="Times New Roman" w:cs="Times New Roman"/>
          <w:sz w:val="24"/>
          <w:szCs w:val="24"/>
        </w:rPr>
        <w:lastRenderedPageBreak/>
        <w:t>mujeres. Por último, decir que impuso a los Estados miembros la adopción de una serie de medidas para conseguir estos objetivos, como suprimir las disposiciones legales, reglamentarias y administrativas que contrarias al principio.</w:t>
      </w:r>
    </w:p>
    <w:p w:rsidR="00E43EC0" w:rsidRPr="00274631" w:rsidRDefault="00E43EC0" w:rsidP="00274631">
      <w:pPr>
        <w:pStyle w:val="Prrafodelista"/>
        <w:spacing w:line="360" w:lineRule="auto"/>
        <w:jc w:val="both"/>
        <w:rPr>
          <w:rFonts w:ascii="Times New Roman" w:hAnsi="Times New Roman" w:cs="Times New Roman"/>
          <w:sz w:val="24"/>
          <w:szCs w:val="24"/>
        </w:rPr>
      </w:pPr>
    </w:p>
    <w:p w:rsidR="009C4A1A" w:rsidRPr="00274631" w:rsidRDefault="009C4A1A" w:rsidP="00274631">
      <w:pPr>
        <w:pStyle w:val="Prrafodelista"/>
        <w:numPr>
          <w:ilvl w:val="0"/>
          <w:numId w:val="1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Directiva 79/7/CEE, de 19 de Diciembre de 1978, referente a la aplicación progresiva del principio de igualdad de trato entre hombres y mujeres en materia de Seguridad Social. Dirigida a la población activa, incluidos los trabajadores con su actividad interrumpida por enfermedad, accidente, desempleo involuntario y para las personas que busquen empleo, así como para trabajadores jubilados e inválidos.</w:t>
      </w:r>
    </w:p>
    <w:p w:rsidR="009C4A1A" w:rsidRPr="00274631" w:rsidRDefault="009C4A1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Supone la no discriminación por sexo en relación al ámbito de aplicación de los regímenes y las condiciones de acceso a los mismos; la obligación de contribuir y el cálculo de las contribuciones y al cálculo de las prestaciones y las condiciones de duración y de mantenimiento del derecho a las prestaciones.</w:t>
      </w:r>
    </w:p>
    <w:p w:rsidR="008C3A88" w:rsidRPr="00274631" w:rsidRDefault="008C3A88" w:rsidP="00274631">
      <w:pPr>
        <w:pStyle w:val="Prrafodelista"/>
        <w:numPr>
          <w:ilvl w:val="0"/>
          <w:numId w:val="1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Directiva 92/85/CEE, de 19 de Octubre de 1992, que se refiere a la aplicación de medidas para facilitar la mejora de la seguridad y la salud en el trabajo de las trabajadoras embarazas</w:t>
      </w:r>
      <w:r w:rsidR="00BE1354" w:rsidRPr="00274631">
        <w:rPr>
          <w:rFonts w:ascii="Times New Roman" w:hAnsi="Times New Roman" w:cs="Times New Roman"/>
          <w:sz w:val="24"/>
          <w:szCs w:val="24"/>
        </w:rPr>
        <w:t xml:space="preserve"> que hayan dado a luz o en periodo de lactancia. También regula la exposición de las trabajadoras, en estas situaciones, a riesgos que deberán evitarse mediante la adopción provisional de medidas para sus condiciones de trabajo, cuando el traslado a otra actividad  fuese imposible, las trabajadoras disfrutarán de baja laboral durante todo el periodo considerado necesario para la protección de su seguridad y salud. Queda prohibido el despido de las mujeres por razones inherentes a su estado durante el periodo que abarca el embarazo hasta el final de su baja. En caso de despido, el empresario deberá dar por escrito motivos justificados.</w:t>
      </w:r>
    </w:p>
    <w:p w:rsidR="006375ED" w:rsidRPr="00274631" w:rsidRDefault="00BE1354" w:rsidP="00274631">
      <w:pPr>
        <w:pStyle w:val="Prrafodelista"/>
        <w:numPr>
          <w:ilvl w:val="0"/>
          <w:numId w:val="1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Directiva 97/80/CE, relativa a la carga de la prueb</w:t>
      </w:r>
      <w:r w:rsidR="006375ED" w:rsidRPr="00274631">
        <w:rPr>
          <w:rFonts w:ascii="Times New Roman" w:hAnsi="Times New Roman" w:cs="Times New Roman"/>
          <w:sz w:val="24"/>
          <w:szCs w:val="24"/>
        </w:rPr>
        <w:t>a en l</w:t>
      </w:r>
      <w:r w:rsidRPr="00274631">
        <w:rPr>
          <w:rFonts w:ascii="Times New Roman" w:hAnsi="Times New Roman" w:cs="Times New Roman"/>
          <w:sz w:val="24"/>
          <w:szCs w:val="24"/>
        </w:rPr>
        <w:t>o</w:t>
      </w:r>
      <w:r w:rsidR="006375ED" w:rsidRPr="00274631">
        <w:rPr>
          <w:rFonts w:ascii="Times New Roman" w:hAnsi="Times New Roman" w:cs="Times New Roman"/>
          <w:sz w:val="24"/>
          <w:szCs w:val="24"/>
        </w:rPr>
        <w:t>s</w:t>
      </w:r>
      <w:r w:rsidRPr="00274631">
        <w:rPr>
          <w:rFonts w:ascii="Times New Roman" w:hAnsi="Times New Roman" w:cs="Times New Roman"/>
          <w:sz w:val="24"/>
          <w:szCs w:val="24"/>
        </w:rPr>
        <w:t xml:space="preserve"> casos de discriminación basada en el sexo. Definió las discriminaciones indirectas por razón de sexo</w:t>
      </w:r>
      <w:r w:rsidR="006375ED" w:rsidRPr="00274631">
        <w:rPr>
          <w:rFonts w:ascii="Times New Roman" w:hAnsi="Times New Roman" w:cs="Times New Roman"/>
          <w:sz w:val="24"/>
          <w:szCs w:val="24"/>
        </w:rPr>
        <w:t xml:space="preserve">. Esta directiva extendió su ámbito de aplicación a las situaciones cubiertas por el artículo 119, y a todas las citadas anteriormente, a cualquier procedimiento civil o administrativo relativo a los sectores públicos o privado. No se aplicó a los procedimientos penales, salvo que así los dispusieran los Estados miembros. El objetivo de esta directiva consistió en garantizar una mayor eficacia de las medidas adoptadas por los Estados miembros para que cualquier persona que se considerasen perjudicadas por la no aplicación, con respecto a ellas, del principio de igualdad, </w:t>
      </w:r>
      <w:r w:rsidR="006375ED" w:rsidRPr="00274631">
        <w:rPr>
          <w:rFonts w:ascii="Times New Roman" w:hAnsi="Times New Roman" w:cs="Times New Roman"/>
          <w:sz w:val="24"/>
          <w:szCs w:val="24"/>
        </w:rPr>
        <w:lastRenderedPageBreak/>
        <w:t>pudieran hacer valer sus derechos ante los órganos jurisdiccionales después de haber recurrido, en su caso, a otros órganos competentes.</w:t>
      </w:r>
    </w:p>
    <w:p w:rsidR="00E43EC0" w:rsidRPr="00274631" w:rsidRDefault="00E43EC0" w:rsidP="00274631">
      <w:pPr>
        <w:pStyle w:val="Prrafodelista"/>
        <w:spacing w:line="360" w:lineRule="auto"/>
        <w:jc w:val="both"/>
        <w:rPr>
          <w:rFonts w:ascii="Times New Roman" w:hAnsi="Times New Roman" w:cs="Times New Roman"/>
          <w:sz w:val="24"/>
          <w:szCs w:val="24"/>
        </w:rPr>
      </w:pPr>
    </w:p>
    <w:p w:rsidR="00E43EC0" w:rsidRPr="00274631" w:rsidRDefault="006375ED" w:rsidP="00274631">
      <w:pPr>
        <w:pStyle w:val="Prrafodelista"/>
        <w:numPr>
          <w:ilvl w:val="0"/>
          <w:numId w:val="1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Directiva 97/81/CE, de 15 de Diciembre de 1997, tiene por finalidad apoyar la posibilidad de que las mujeres puedan trabajar a tiempo parcial, cuando las circunstancias familiares así lo exigieran o durante el periodo previo a la jubilación. </w:t>
      </w:r>
    </w:p>
    <w:p w:rsidR="00E43EC0" w:rsidRPr="00274631" w:rsidRDefault="00E43EC0" w:rsidP="00274631">
      <w:pPr>
        <w:pStyle w:val="Prrafodelista"/>
        <w:spacing w:line="360" w:lineRule="auto"/>
        <w:jc w:val="both"/>
        <w:rPr>
          <w:rFonts w:ascii="Times New Roman" w:hAnsi="Times New Roman" w:cs="Times New Roman"/>
          <w:sz w:val="24"/>
          <w:szCs w:val="24"/>
        </w:rPr>
      </w:pPr>
    </w:p>
    <w:p w:rsidR="00E43EC0" w:rsidRPr="00274631" w:rsidRDefault="00E43EC0" w:rsidP="00274631">
      <w:pPr>
        <w:pStyle w:val="Prrafodelista"/>
        <w:spacing w:line="360" w:lineRule="auto"/>
        <w:jc w:val="both"/>
        <w:rPr>
          <w:rFonts w:ascii="Times New Roman" w:hAnsi="Times New Roman" w:cs="Times New Roman"/>
          <w:sz w:val="24"/>
          <w:szCs w:val="24"/>
        </w:rPr>
      </w:pPr>
    </w:p>
    <w:p w:rsidR="000813EE" w:rsidRPr="00274631" w:rsidRDefault="006375ED" w:rsidP="00274631">
      <w:pPr>
        <w:pStyle w:val="Prrafodelista"/>
        <w:numPr>
          <w:ilvl w:val="0"/>
          <w:numId w:val="1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Desde el 15 de Agosto de 2009, las Directivas 75/117/CEE, 76/207/CEE y 97/80/CE quedaron derogadas por la Directiva 2006/54/CE del Parlamento Europeo y del Consejo, de 5 de Julio de 2006, relativa a la aplicaci</w:t>
      </w:r>
      <w:r w:rsidR="000813EE" w:rsidRPr="00274631">
        <w:rPr>
          <w:rFonts w:ascii="Times New Roman" w:hAnsi="Times New Roman" w:cs="Times New Roman"/>
          <w:sz w:val="24"/>
          <w:szCs w:val="24"/>
        </w:rPr>
        <w:t>ón del Principio de Igualdad de Oportunidades e Igualdad de Trato entre Hombres y Mujeres en Asuntos de Empleo y Ocupación</w:t>
      </w:r>
    </w:p>
    <w:p w:rsidR="000813EE" w:rsidRPr="00274631" w:rsidRDefault="000813E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directiva de 2006 refunde las anteriores directivas, reuniendo en un mismo texto las principales disposiciones existentes en este ámbito, así como ciertas novedades que se derivan de la jurisprudencia del Tribunal de Justicia de la Unión Europea.</w:t>
      </w:r>
    </w:p>
    <w:p w:rsidR="00E43EC0" w:rsidRPr="00274631" w:rsidRDefault="000813E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Por tanto, la Directiva 2006/54/CE tiene por objeto garantizar la aplicación del principio de igualdad de oportunidades e igualdad de trato entre hombres y mujeres en asuntos de empleo y ocupación, por ello contiene disposiciones destinadas a aplicar el principio de igualdad de trato en lo que se refiere a temas como: el acceso a empleo, incluida promoción y formación profesional, las condiciones de trabajo, incluida la retribución y los regímenes profesionales de Seguridad Social.</w:t>
      </w:r>
    </w:p>
    <w:p w:rsidR="000813EE" w:rsidRPr="00274631" w:rsidRDefault="000813EE" w:rsidP="00274631">
      <w:pPr>
        <w:pStyle w:val="Prrafodelista"/>
        <w:numPr>
          <w:ilvl w:val="2"/>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Resoluciones del Consejo</w:t>
      </w:r>
    </w:p>
    <w:p w:rsidR="000813EE" w:rsidRPr="00274631" w:rsidRDefault="00C812D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Otro tipo de normas, pertenecientes al Derecho Comunitario derivado que han desarrollado la máxima general de la igualdad de trato entre hombres y mujeres son las resoluciones, algunas de las más importantes son:</w:t>
      </w:r>
    </w:p>
    <w:p w:rsidR="00C812DA" w:rsidRPr="00274631" w:rsidRDefault="00C812DA" w:rsidP="00274631">
      <w:pPr>
        <w:pStyle w:val="Prrafodelista"/>
        <w:numPr>
          <w:ilvl w:val="0"/>
          <w:numId w:val="15"/>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Resolución del Consejo de 12 de Julio de 1982, sobre la promoción de igualdad de oportunidades para la mujer. Reivindica en periodos de crisis económica, la intensificación de la promoción de la igualdad de trato, porque es la mujer la más desfavorecida en cuanto al trato en estas circunstancias.</w:t>
      </w:r>
    </w:p>
    <w:p w:rsidR="00E43EC0" w:rsidRPr="00274631" w:rsidRDefault="00E43EC0" w:rsidP="00274631">
      <w:pPr>
        <w:pStyle w:val="Prrafodelista"/>
        <w:spacing w:line="360" w:lineRule="auto"/>
        <w:jc w:val="both"/>
        <w:rPr>
          <w:rFonts w:ascii="Times New Roman" w:hAnsi="Times New Roman" w:cs="Times New Roman"/>
          <w:sz w:val="24"/>
          <w:szCs w:val="24"/>
        </w:rPr>
      </w:pPr>
    </w:p>
    <w:p w:rsidR="00C812DA" w:rsidRPr="00274631" w:rsidRDefault="00C812DA" w:rsidP="00274631">
      <w:pPr>
        <w:pStyle w:val="Prrafodelista"/>
        <w:numPr>
          <w:ilvl w:val="0"/>
          <w:numId w:val="15"/>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La Resolución del Consejo de 24 de Julio de 1986, relativa al fomento de la igualdad de oportunidades para mujeres, considerando la información y consulta a los trabajadores de empresas de estructura complejo, y en partículas a las transnacionales.</w:t>
      </w:r>
    </w:p>
    <w:p w:rsidR="00E43EC0" w:rsidRPr="00274631" w:rsidRDefault="00E43EC0" w:rsidP="00274631">
      <w:pPr>
        <w:pStyle w:val="Prrafodelista"/>
        <w:spacing w:line="360" w:lineRule="auto"/>
        <w:jc w:val="both"/>
        <w:rPr>
          <w:rFonts w:ascii="Times New Roman" w:hAnsi="Times New Roman" w:cs="Times New Roman"/>
          <w:sz w:val="24"/>
          <w:szCs w:val="24"/>
        </w:rPr>
      </w:pPr>
    </w:p>
    <w:p w:rsidR="00E43EC0" w:rsidRPr="00274631" w:rsidRDefault="00E43EC0" w:rsidP="00274631">
      <w:pPr>
        <w:pStyle w:val="Prrafodelista"/>
        <w:spacing w:line="360" w:lineRule="auto"/>
        <w:jc w:val="both"/>
        <w:rPr>
          <w:rFonts w:ascii="Times New Roman" w:hAnsi="Times New Roman" w:cs="Times New Roman"/>
          <w:sz w:val="24"/>
          <w:szCs w:val="24"/>
        </w:rPr>
      </w:pPr>
    </w:p>
    <w:p w:rsidR="00C812DA" w:rsidRPr="00274631" w:rsidRDefault="00C812DA" w:rsidP="00274631">
      <w:pPr>
        <w:pStyle w:val="Prrafodelista"/>
        <w:numPr>
          <w:ilvl w:val="0"/>
          <w:numId w:val="15"/>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Resolución del Consejo de 22 de Junio de 1994, relativa a la promoción de la igualdad de oportunidades para hombres y mujeres mediante la acción de los fondos estructurales europeos.</w:t>
      </w:r>
    </w:p>
    <w:p w:rsidR="00C812DA" w:rsidRPr="00274631" w:rsidRDefault="00C812D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Recodando que la promoción de esta igualdad de oportunidades para hombres y para mujeres en el mercado de trabajo constituye uno de los objetivos de la Unión Europea</w:t>
      </w:r>
    </w:p>
    <w:p w:rsidR="00C812DA" w:rsidRPr="00274631" w:rsidRDefault="00C812DA" w:rsidP="00274631">
      <w:pPr>
        <w:pStyle w:val="Prrafodelista"/>
        <w:numPr>
          <w:ilvl w:val="2"/>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Recomendaciones e informes de la Comisión</w:t>
      </w:r>
    </w:p>
    <w:p w:rsidR="00C812DA" w:rsidRPr="00274631" w:rsidRDefault="00C812D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No constituyen normativa directamente aplicable, pero sí pertenecen al conjunto del Derecho comunitario derivado las recomendaciones e informes de la Comisión, que son actos de carácter político, no vinculantes para los Estados, pero con mucha repercusión social.</w:t>
      </w:r>
    </w:p>
    <w:p w:rsidR="00C812DA" w:rsidRPr="00274631" w:rsidRDefault="0038694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Podemos citar algunas de las más importantes, como son:</w:t>
      </w:r>
    </w:p>
    <w:p w:rsidR="00386941" w:rsidRPr="00274631" w:rsidRDefault="0038694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La Recomendación 92/131/CEE, de la Comisión, de 27 de Noviembre de 1991, sobre la protección de la dignidad de las mujeres y los hombres en el trabajo. Recomendando a los Estados miembros que adopten medidas para impulsar la toma de conciencia sobre la inaceptabilidad de los comportamientos de carácter sexual y de cualquier otro comportamiento relacionado con el sexo que dañen la dignidad de la persona, definiendo además el acoso sexual como cualquier comportamiento que maltrate y vulnere a la persona objeto del mismo, así como cualquier otro que genere un clima de </w:t>
      </w:r>
      <w:r w:rsidR="00E43EC0" w:rsidRPr="00274631">
        <w:rPr>
          <w:rFonts w:ascii="Times New Roman" w:hAnsi="Times New Roman" w:cs="Times New Roman"/>
          <w:sz w:val="24"/>
          <w:szCs w:val="24"/>
        </w:rPr>
        <w:t>intimidación,</w:t>
      </w:r>
      <w:r w:rsidRPr="00274631">
        <w:rPr>
          <w:rFonts w:ascii="Times New Roman" w:hAnsi="Times New Roman" w:cs="Times New Roman"/>
          <w:sz w:val="24"/>
          <w:szCs w:val="24"/>
        </w:rPr>
        <w:t xml:space="preserve"> hostilidad o humillación.</w:t>
      </w:r>
    </w:p>
    <w:p w:rsidR="00386941" w:rsidRPr="00274631" w:rsidRDefault="0038694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Los estados miembros deben tomar medidas para poner en práctica en el sector público el Código de Conducta de la Comisión. Recoge en un anexo medidas para combatir el acoso sexual y su objetivo es proporcionar una orientación práctica a los empresarios.</w:t>
      </w:r>
    </w:p>
    <w:p w:rsidR="00386941" w:rsidRPr="00274631" w:rsidRDefault="0038694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Informe Anual 1997, de la Comisión, de 13 de mayo de 1998, sobre la igualdad de oportunidades entre las mujeres y los hombres en la Unión Europea, siendo de gran importancia porque recoge las iniciativas más recientes en este te</w:t>
      </w:r>
      <w:r w:rsidR="00762AA2" w:rsidRPr="00274631">
        <w:rPr>
          <w:rFonts w:ascii="Times New Roman" w:hAnsi="Times New Roman" w:cs="Times New Roman"/>
          <w:sz w:val="24"/>
          <w:szCs w:val="24"/>
        </w:rPr>
        <w:t>ma, en su contenido podemos ver:</w:t>
      </w:r>
    </w:p>
    <w:p w:rsidR="00762AA2" w:rsidRPr="00274631" w:rsidRDefault="009637E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w:t>
      </w:r>
      <w:r w:rsidR="00762AA2" w:rsidRPr="00274631">
        <w:rPr>
          <w:rFonts w:ascii="Times New Roman" w:hAnsi="Times New Roman" w:cs="Times New Roman"/>
          <w:sz w:val="24"/>
          <w:szCs w:val="24"/>
        </w:rPr>
        <w:t>Junio de 1997, se aprueba el Tratado de Ámsterdam, que da a la Comunidad nuevas competencias en materia de igualdad y de lucha contra la discriminación, y su nuevo artículo 141 da a la igualdad de trato un fundamento jurídico específico.</w:t>
      </w:r>
    </w:p>
    <w:p w:rsidR="00762AA2" w:rsidRPr="00274631" w:rsidRDefault="009637E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w:t>
      </w:r>
      <w:r w:rsidR="00762AA2" w:rsidRPr="00274631">
        <w:rPr>
          <w:rFonts w:ascii="Times New Roman" w:hAnsi="Times New Roman" w:cs="Times New Roman"/>
          <w:sz w:val="24"/>
          <w:szCs w:val="24"/>
        </w:rPr>
        <w:t>Establece una nueva estrategia para el empleo y la igualdad de oportunidades</w:t>
      </w:r>
    </w:p>
    <w:p w:rsidR="00762AA2" w:rsidRPr="00274631" w:rsidRDefault="009637E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w:t>
      </w:r>
      <w:r w:rsidR="00762AA2" w:rsidRPr="00274631">
        <w:rPr>
          <w:rFonts w:ascii="Times New Roman" w:hAnsi="Times New Roman" w:cs="Times New Roman"/>
          <w:sz w:val="24"/>
          <w:szCs w:val="24"/>
        </w:rPr>
        <w:t xml:space="preserve">Por último, la transversalidad es un enfoque </w:t>
      </w:r>
      <w:r w:rsidRPr="00274631">
        <w:rPr>
          <w:rFonts w:ascii="Times New Roman" w:hAnsi="Times New Roman" w:cs="Times New Roman"/>
          <w:sz w:val="24"/>
          <w:szCs w:val="24"/>
        </w:rPr>
        <w:t>que consiste en integrar la dimensión de la igualdad de oportunidades en todas las áreas políticas fundamentales y, entre los ejemplos de ella se sitúan los fondos estructurales.</w:t>
      </w:r>
    </w:p>
    <w:p w:rsidR="009637E1" w:rsidRPr="00274631" w:rsidRDefault="009637E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Aparece una nueva iniciativa para llevar esto a cabo, la llamada Empleo-</w:t>
      </w:r>
      <w:proofErr w:type="spellStart"/>
      <w:r w:rsidRPr="00274631">
        <w:rPr>
          <w:rFonts w:ascii="Times New Roman" w:hAnsi="Times New Roman" w:cs="Times New Roman"/>
          <w:sz w:val="24"/>
          <w:szCs w:val="24"/>
        </w:rPr>
        <w:t>Now</w:t>
      </w:r>
      <w:proofErr w:type="spellEnd"/>
      <w:r w:rsidRPr="00274631">
        <w:rPr>
          <w:rFonts w:ascii="Times New Roman" w:hAnsi="Times New Roman" w:cs="Times New Roman"/>
          <w:sz w:val="24"/>
          <w:szCs w:val="24"/>
        </w:rPr>
        <w:t>, que tiene como una de sus prioridades la lucha contra la segregación vertical, que supone la formación de mujeres para los puestos directivos superiores, y contra la segregación horizontal, que supone la apertura de los sectores tradicionalmente reservados a los hombres.</w:t>
      </w:r>
    </w:p>
    <w:p w:rsidR="009637E1" w:rsidRPr="00274631" w:rsidRDefault="009637E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Esta iniciativa será sustituida en 2007 por el programa </w:t>
      </w:r>
      <w:proofErr w:type="spellStart"/>
      <w:r w:rsidRPr="00274631">
        <w:rPr>
          <w:rFonts w:ascii="Times New Roman" w:hAnsi="Times New Roman" w:cs="Times New Roman"/>
          <w:sz w:val="24"/>
          <w:szCs w:val="24"/>
        </w:rPr>
        <w:t>Progress</w:t>
      </w:r>
      <w:proofErr w:type="spellEnd"/>
      <w:r w:rsidRPr="00274631">
        <w:rPr>
          <w:rFonts w:ascii="Times New Roman" w:hAnsi="Times New Roman" w:cs="Times New Roman"/>
          <w:sz w:val="24"/>
          <w:szCs w:val="24"/>
        </w:rPr>
        <w:t>, dedicado al empleo y la solidaridad social, Aprobado por la Decisión nº 1677/2006/CE, con un presupuesto de 743 millones de euros en 7 años.</w:t>
      </w:r>
    </w:p>
    <w:p w:rsidR="009637E1" w:rsidRPr="00274631" w:rsidRDefault="009637E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Este programa se divide en cinco secciones: Empleo, Protección e inclusión social, Condiciones de trabajo, No discriminación y diversidad y por último Igualdad de género.</w:t>
      </w:r>
    </w:p>
    <w:p w:rsidR="009637E1" w:rsidRPr="00274631" w:rsidRDefault="009637E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Entre sus principales objetivos cabe remarcar dos de ellos, el apoyar y controlar la aplicación de la legislación comunitaria, y el de fomentar la creación de redes, el aprendizaje mutuo, la determinación y la difusión</w:t>
      </w:r>
      <w:r w:rsidR="00CD1098" w:rsidRPr="00274631">
        <w:rPr>
          <w:rFonts w:ascii="Times New Roman" w:hAnsi="Times New Roman" w:cs="Times New Roman"/>
          <w:sz w:val="24"/>
          <w:szCs w:val="24"/>
        </w:rPr>
        <w:t xml:space="preserve"> de buenas prácticas y de enfoques innovadores a escala europea.</w:t>
      </w:r>
    </w:p>
    <w:p w:rsidR="00E43EC0" w:rsidRPr="00274631" w:rsidRDefault="00CD1098"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Por último, nombrar algunos organismos que ejercen un gran papel a nivel europeo, como son el Instituto Europeo de Igualdad de Género, la Red Europea de Mujeres Directivas y el Comité para la Igualdad de Oportunidades entre </w:t>
      </w:r>
      <w:r w:rsidR="00ED3A12" w:rsidRPr="00274631">
        <w:rPr>
          <w:rFonts w:ascii="Times New Roman" w:hAnsi="Times New Roman" w:cs="Times New Roman"/>
          <w:sz w:val="24"/>
          <w:szCs w:val="24"/>
        </w:rPr>
        <w:t>Hombres y Mujeres.</w:t>
      </w:r>
    </w:p>
    <w:p w:rsidR="00CD1098" w:rsidRPr="00274631" w:rsidRDefault="00B81F1B" w:rsidP="00274631">
      <w:pPr>
        <w:pStyle w:val="Prrafodelista"/>
        <w:numPr>
          <w:ilvl w:val="1"/>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CD1098" w:rsidRPr="00274631">
        <w:rPr>
          <w:rFonts w:ascii="Times New Roman" w:hAnsi="Times New Roman" w:cs="Times New Roman"/>
          <w:sz w:val="24"/>
          <w:szCs w:val="24"/>
        </w:rPr>
        <w:t>Normativa Nacional</w:t>
      </w:r>
    </w:p>
    <w:p w:rsidR="00B81F1B" w:rsidRPr="00274631" w:rsidRDefault="00B81F1B" w:rsidP="00274631">
      <w:pPr>
        <w:pStyle w:val="Prrafodelista"/>
        <w:spacing w:line="360" w:lineRule="auto"/>
        <w:jc w:val="both"/>
        <w:rPr>
          <w:rFonts w:ascii="Times New Roman" w:hAnsi="Times New Roman" w:cs="Times New Roman"/>
          <w:sz w:val="24"/>
          <w:szCs w:val="24"/>
        </w:rPr>
      </w:pPr>
    </w:p>
    <w:p w:rsidR="00CD1098" w:rsidRPr="00274631" w:rsidRDefault="00CD1098" w:rsidP="00274631">
      <w:pPr>
        <w:pStyle w:val="Prrafodelista"/>
        <w:numPr>
          <w:ilvl w:val="2"/>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Constitución Española, Artículo 14.</w:t>
      </w:r>
    </w:p>
    <w:p w:rsidR="00E63ABB" w:rsidRPr="00274631" w:rsidRDefault="00E63ABB" w:rsidP="00274631">
      <w:pPr>
        <w:spacing w:line="360" w:lineRule="auto"/>
        <w:jc w:val="both"/>
        <w:rPr>
          <w:rFonts w:ascii="Times New Roman" w:hAnsi="Times New Roman" w:cs="Times New Roman"/>
          <w:i/>
          <w:sz w:val="24"/>
          <w:szCs w:val="24"/>
        </w:rPr>
      </w:pPr>
      <w:r w:rsidRPr="00274631">
        <w:rPr>
          <w:rFonts w:ascii="Times New Roman" w:hAnsi="Times New Roman" w:cs="Times New Roman"/>
          <w:sz w:val="24"/>
          <w:szCs w:val="24"/>
        </w:rPr>
        <w:t>Expresa este artículo 14 de forma literal “</w:t>
      </w:r>
      <w:r w:rsidRPr="00274631">
        <w:rPr>
          <w:rFonts w:ascii="Times New Roman" w:hAnsi="Times New Roman" w:cs="Times New Roman"/>
          <w:i/>
          <w:sz w:val="24"/>
          <w:szCs w:val="24"/>
        </w:rPr>
        <w:t>Los españoles son iguales ante la ley, sin que pueda prevalecer discriminación alguna por razón de nacimiento, raza, sexo, religión, opinión o cualquier otra condición o circunstancia personal o social”</w:t>
      </w:r>
    </w:p>
    <w:p w:rsidR="00E63ABB" w:rsidRPr="00274631" w:rsidRDefault="00E63AB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Es un derecho fundamental, y como tal tiene protección jurisdiccional especial, en acuerdo al artículo 53.2 de la Constitución, por el que cualquier ciudadano podrá recabar la tutela de las libertades y derechos, ante los tribunales ordinarios y por un procedimiento basado en los principios de preferencia y sumariedad. Y dado el caso, a través del recurso de amparo ante el Tribunal Constitucional.</w:t>
      </w:r>
    </w:p>
    <w:p w:rsidR="00E63ABB" w:rsidRPr="00274631" w:rsidRDefault="00E63AB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defensor del pueblo es situado en el artículo 54, designado por las Cortes Generales para la defensa de los derechos y que además deberá supervisar a la administración.</w:t>
      </w:r>
    </w:p>
    <w:p w:rsidR="00E63ABB" w:rsidRPr="00274631" w:rsidRDefault="00E63AB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Por otro lado, “</w:t>
      </w:r>
      <w:r w:rsidRPr="00274631">
        <w:rPr>
          <w:rFonts w:ascii="Times New Roman" w:hAnsi="Times New Roman" w:cs="Times New Roman"/>
          <w:i/>
          <w:sz w:val="24"/>
          <w:szCs w:val="24"/>
        </w:rPr>
        <w:t>la igualdad también es un valor superior del ordenamiento jurídico, junto a la libertad, la justicia y el pluralismo político”</w:t>
      </w:r>
      <w:r w:rsidRPr="00274631">
        <w:rPr>
          <w:rFonts w:ascii="Times New Roman" w:hAnsi="Times New Roman" w:cs="Times New Roman"/>
          <w:sz w:val="24"/>
          <w:szCs w:val="24"/>
        </w:rPr>
        <w:t xml:space="preserve"> proclamado en el artículo primero de la Constitución</w:t>
      </w:r>
      <w:r w:rsidR="00CC2C91" w:rsidRPr="00274631">
        <w:rPr>
          <w:rFonts w:ascii="Times New Roman" w:hAnsi="Times New Roman" w:cs="Times New Roman"/>
          <w:sz w:val="24"/>
          <w:szCs w:val="24"/>
        </w:rPr>
        <w:t>, y tanto como un derecho fundamental y como un valor superior tiene sus manifestaciones por escrito con conceptos absolutos como pue</w:t>
      </w:r>
      <w:r w:rsidR="00274631">
        <w:rPr>
          <w:rFonts w:ascii="Times New Roman" w:hAnsi="Times New Roman" w:cs="Times New Roman"/>
          <w:sz w:val="24"/>
          <w:szCs w:val="24"/>
        </w:rPr>
        <w:t>d</w:t>
      </w:r>
      <w:r w:rsidR="00CC2C91" w:rsidRPr="00274631">
        <w:rPr>
          <w:rFonts w:ascii="Times New Roman" w:hAnsi="Times New Roman" w:cs="Times New Roman"/>
          <w:sz w:val="24"/>
          <w:szCs w:val="24"/>
        </w:rPr>
        <w:t>en ser, todos, nadie, los ciudadanos o los españoles.</w:t>
      </w:r>
    </w:p>
    <w:p w:rsidR="00CC2C91" w:rsidRPr="00274631" w:rsidRDefault="00CC2C91" w:rsidP="00274631">
      <w:pPr>
        <w:pStyle w:val="Prrafodelista"/>
        <w:numPr>
          <w:ilvl w:val="2"/>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igualdad de sexo en el ámbito jurídico-civil</w:t>
      </w:r>
    </w:p>
    <w:p w:rsidR="00CC2C91" w:rsidRPr="00274631" w:rsidRDefault="00CC2C91" w:rsidP="00274631">
      <w:pPr>
        <w:spacing w:line="360" w:lineRule="auto"/>
        <w:jc w:val="both"/>
        <w:rPr>
          <w:rFonts w:ascii="Times New Roman" w:hAnsi="Times New Roman" w:cs="Times New Roman"/>
          <w:i/>
          <w:sz w:val="24"/>
          <w:szCs w:val="24"/>
        </w:rPr>
      </w:pPr>
      <w:r w:rsidRPr="00274631">
        <w:rPr>
          <w:rFonts w:ascii="Times New Roman" w:hAnsi="Times New Roman" w:cs="Times New Roman"/>
          <w:sz w:val="24"/>
          <w:szCs w:val="24"/>
        </w:rPr>
        <w:t>En la esfera del derecho privado existen diferentes leyes en donde quedan enmarcadas la intención del legislador por lograr esa igualdad entre el hombre y la mujer, así la propia Constitución en su artículo 32.1 dice “</w:t>
      </w:r>
      <w:r w:rsidRPr="00274631">
        <w:rPr>
          <w:rFonts w:ascii="Times New Roman" w:hAnsi="Times New Roman" w:cs="Times New Roman"/>
          <w:i/>
          <w:sz w:val="24"/>
          <w:szCs w:val="24"/>
        </w:rPr>
        <w:t>EL hombre y la mujer tienen derecho a contraer matrimonio con plena igualdad jurídica”.</w:t>
      </w:r>
    </w:p>
    <w:p w:rsidR="00CC2C91" w:rsidRPr="00274631" w:rsidRDefault="00CC2C91" w:rsidP="00274631">
      <w:pPr>
        <w:spacing w:line="360" w:lineRule="auto"/>
        <w:jc w:val="both"/>
        <w:rPr>
          <w:rFonts w:ascii="Times New Roman" w:hAnsi="Times New Roman" w:cs="Times New Roman"/>
          <w:i/>
          <w:sz w:val="24"/>
          <w:szCs w:val="24"/>
        </w:rPr>
      </w:pPr>
      <w:r w:rsidRPr="00274631">
        <w:rPr>
          <w:rFonts w:ascii="Times New Roman" w:hAnsi="Times New Roman" w:cs="Times New Roman"/>
          <w:sz w:val="24"/>
          <w:szCs w:val="24"/>
        </w:rPr>
        <w:t>Por lo que respecta al código civil, el artículo 66 dice así “</w:t>
      </w:r>
      <w:r w:rsidRPr="00274631">
        <w:rPr>
          <w:rFonts w:ascii="Times New Roman" w:hAnsi="Times New Roman" w:cs="Times New Roman"/>
          <w:i/>
          <w:sz w:val="24"/>
          <w:szCs w:val="24"/>
        </w:rPr>
        <w:t>Los cónyuges son iguales en derechos y deberes”</w:t>
      </w:r>
      <w:r w:rsidRPr="00274631">
        <w:rPr>
          <w:rFonts w:ascii="Times New Roman" w:hAnsi="Times New Roman" w:cs="Times New Roman"/>
          <w:sz w:val="24"/>
          <w:szCs w:val="24"/>
        </w:rPr>
        <w:t xml:space="preserve"> y el 67 expresa “</w:t>
      </w:r>
      <w:r w:rsidRPr="00274631">
        <w:rPr>
          <w:rFonts w:ascii="Times New Roman" w:hAnsi="Times New Roman" w:cs="Times New Roman"/>
          <w:i/>
          <w:sz w:val="24"/>
          <w:szCs w:val="24"/>
        </w:rPr>
        <w:t>Los cónyuges deben respetarse y ayudarse mutuamente y actuar en interés de la familia”</w:t>
      </w:r>
    </w:p>
    <w:p w:rsidR="00CC2C91" w:rsidRPr="00274631" w:rsidRDefault="00CC2C91"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 las medidas provisionales por demanda de nulidad, separación o divorcio también se observa la igualdad de los cónyuges a la hora de responder en la medida de sus posibilidades, por ejemplo, en la manutención de los hijos, conforme al artículo 102 y siguientes del Código Civil.</w:t>
      </w:r>
    </w:p>
    <w:p w:rsidR="00CC2C91" w:rsidRPr="00274631" w:rsidRDefault="001128BE" w:rsidP="00274631">
      <w:pPr>
        <w:pStyle w:val="Prrafodelista"/>
        <w:numPr>
          <w:ilvl w:val="2"/>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igualdad de sexo en el ámbito jurídico laboral.</w:t>
      </w:r>
    </w:p>
    <w:p w:rsidR="00B81F1B" w:rsidRPr="00274631" w:rsidRDefault="00B81F1B" w:rsidP="00274631">
      <w:pPr>
        <w:pStyle w:val="Prrafodelista"/>
        <w:spacing w:line="360" w:lineRule="auto"/>
        <w:ind w:left="1080"/>
        <w:jc w:val="both"/>
        <w:rPr>
          <w:rFonts w:ascii="Times New Roman" w:hAnsi="Times New Roman" w:cs="Times New Roman"/>
          <w:sz w:val="24"/>
          <w:szCs w:val="24"/>
        </w:rPr>
      </w:pPr>
    </w:p>
    <w:p w:rsidR="00400A8B" w:rsidRPr="00274631" w:rsidRDefault="00B81F1B" w:rsidP="00274631">
      <w:pPr>
        <w:pStyle w:val="Prrafodelista"/>
        <w:numPr>
          <w:ilvl w:val="3"/>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400A8B" w:rsidRPr="00274631">
        <w:rPr>
          <w:rFonts w:ascii="Times New Roman" w:hAnsi="Times New Roman" w:cs="Times New Roman"/>
          <w:sz w:val="24"/>
          <w:szCs w:val="24"/>
        </w:rPr>
        <w:t>La conciliación laboral</w:t>
      </w:r>
    </w:p>
    <w:p w:rsidR="001128BE" w:rsidRPr="00274631" w:rsidRDefault="001128BE"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 el Real Decreto Legislativo 1/1995, de 24 de Marzo, quedó citado en su artículo 4  los derechos laborales, mencionándose en él los básicos, como son:</w:t>
      </w:r>
    </w:p>
    <w:p w:rsidR="001128BE" w:rsidRPr="00274631" w:rsidRDefault="001128BE" w:rsidP="00274631">
      <w:pPr>
        <w:pStyle w:val="Prrafodelista"/>
        <w:numPr>
          <w:ilvl w:val="0"/>
          <w:numId w:val="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Trabajo y libre elección de profesión u oficio</w:t>
      </w:r>
    </w:p>
    <w:p w:rsidR="001128BE" w:rsidRPr="00274631" w:rsidRDefault="001128BE" w:rsidP="00274631">
      <w:pPr>
        <w:pStyle w:val="Prrafodelista"/>
        <w:numPr>
          <w:ilvl w:val="0"/>
          <w:numId w:val="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Libre sindicación</w:t>
      </w:r>
    </w:p>
    <w:p w:rsidR="001128BE" w:rsidRPr="00274631" w:rsidRDefault="001128BE" w:rsidP="00274631">
      <w:pPr>
        <w:pStyle w:val="Prrafodelista"/>
        <w:numPr>
          <w:ilvl w:val="0"/>
          <w:numId w:val="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Negociación colectiva</w:t>
      </w:r>
    </w:p>
    <w:p w:rsidR="001128BE" w:rsidRPr="00274631" w:rsidRDefault="001128BE" w:rsidP="00274631">
      <w:pPr>
        <w:pStyle w:val="Prrafodelista"/>
        <w:numPr>
          <w:ilvl w:val="0"/>
          <w:numId w:val="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Adopción de medidas de conflicto colectivo</w:t>
      </w:r>
    </w:p>
    <w:p w:rsidR="001128BE" w:rsidRPr="00274631" w:rsidRDefault="001128BE" w:rsidP="00274631">
      <w:pPr>
        <w:pStyle w:val="Prrafodelista"/>
        <w:numPr>
          <w:ilvl w:val="0"/>
          <w:numId w:val="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Huelga</w:t>
      </w:r>
    </w:p>
    <w:p w:rsidR="001128BE" w:rsidRPr="00274631" w:rsidRDefault="001128BE" w:rsidP="00274631">
      <w:pPr>
        <w:pStyle w:val="Prrafodelista"/>
        <w:numPr>
          <w:ilvl w:val="0"/>
          <w:numId w:val="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Reunión</w:t>
      </w:r>
    </w:p>
    <w:p w:rsidR="001128BE" w:rsidRPr="00274631" w:rsidRDefault="001128BE" w:rsidP="00274631">
      <w:pPr>
        <w:pStyle w:val="Prrafodelista"/>
        <w:numPr>
          <w:ilvl w:val="0"/>
          <w:numId w:val="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Participación en la empresa</w:t>
      </w:r>
    </w:p>
    <w:p w:rsidR="001128BE" w:rsidRPr="00274631" w:rsidRDefault="001128BE" w:rsidP="00274631">
      <w:pPr>
        <w:spacing w:line="360" w:lineRule="auto"/>
        <w:jc w:val="both"/>
        <w:rPr>
          <w:rFonts w:ascii="Times New Roman" w:hAnsi="Times New Roman" w:cs="Times New Roman"/>
          <w:sz w:val="24"/>
          <w:szCs w:val="24"/>
        </w:rPr>
      </w:pPr>
    </w:p>
    <w:p w:rsidR="001128BE" w:rsidRPr="00274631" w:rsidRDefault="001128BE" w:rsidP="00274631">
      <w:pPr>
        <w:spacing w:line="360" w:lineRule="auto"/>
        <w:jc w:val="both"/>
        <w:rPr>
          <w:rFonts w:ascii="Times New Roman" w:hAnsi="Times New Roman" w:cs="Times New Roman"/>
          <w:i/>
          <w:sz w:val="24"/>
          <w:szCs w:val="24"/>
        </w:rPr>
      </w:pPr>
      <w:r w:rsidRPr="00274631">
        <w:rPr>
          <w:rFonts w:ascii="Times New Roman" w:hAnsi="Times New Roman" w:cs="Times New Roman"/>
          <w:sz w:val="24"/>
          <w:szCs w:val="24"/>
        </w:rPr>
        <w:t xml:space="preserve">             En su segunda párrafo se sitúan los derechos de los trabajadores en la relación de trabajo, donde queda señalado expresamente por una redacción recibida por Real Decreto 3/2012, de 10 de Febrero, de medidas urgentes para la reforma del mercado laboral, “</w:t>
      </w:r>
      <w:r w:rsidRPr="00274631">
        <w:rPr>
          <w:rFonts w:ascii="Times New Roman" w:hAnsi="Times New Roman" w:cs="Times New Roman"/>
          <w:i/>
          <w:sz w:val="24"/>
          <w:szCs w:val="24"/>
        </w:rPr>
        <w:t>a no ser discriminados directa o indirectamente para el empleo, o una vez empleados, por razones de sexo, estado civil, edad dentro de los límites marcados por esta ley, origen racial o étnico, condición social, religión o convicciones, ideas políticas, orientación sexual, afiliación o no a un sindicato, así como por razón de lengua, dentro del Estado español</w:t>
      </w:r>
      <w:r w:rsidR="00F75EC7" w:rsidRPr="00274631">
        <w:rPr>
          <w:rFonts w:ascii="Times New Roman" w:hAnsi="Times New Roman" w:cs="Times New Roman"/>
          <w:i/>
          <w:sz w:val="24"/>
          <w:szCs w:val="24"/>
        </w:rPr>
        <w:t>. Tampoco podrán ser discriminados por razón de discapacidad, siempre que se hallasen en condiciones de aptitud para desempeñar el trabajo o empleo que se trate”</w:t>
      </w:r>
    </w:p>
    <w:p w:rsidR="00F75EC7" w:rsidRPr="00274631" w:rsidRDefault="00F75EC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Por ello, de una forma genérica reconoce todos los derechos tanto al hombre como la mujer, en el concepto absoluto de “</w:t>
      </w:r>
      <w:r w:rsidRPr="00274631">
        <w:rPr>
          <w:rFonts w:ascii="Times New Roman" w:hAnsi="Times New Roman" w:cs="Times New Roman"/>
          <w:i/>
          <w:sz w:val="24"/>
          <w:szCs w:val="24"/>
        </w:rPr>
        <w:t>los trabajadores</w:t>
      </w:r>
      <w:r w:rsidR="007C7B3B" w:rsidRPr="00274631">
        <w:rPr>
          <w:rFonts w:ascii="Times New Roman" w:hAnsi="Times New Roman" w:cs="Times New Roman"/>
          <w:sz w:val="24"/>
          <w:szCs w:val="24"/>
        </w:rPr>
        <w:t>”, y de una manera expresa se reconoce,  como y se ha mencionó anteriormente la no discriminación en el ámbito laboral.</w:t>
      </w:r>
    </w:p>
    <w:p w:rsidR="00400A8B" w:rsidRPr="00274631" w:rsidRDefault="00400A8B" w:rsidP="00274631">
      <w:pPr>
        <w:spacing w:line="360" w:lineRule="auto"/>
        <w:jc w:val="both"/>
        <w:rPr>
          <w:rFonts w:ascii="Times New Roman" w:hAnsi="Times New Roman" w:cs="Times New Roman"/>
          <w:i/>
          <w:sz w:val="24"/>
          <w:szCs w:val="24"/>
        </w:rPr>
      </w:pPr>
      <w:r w:rsidRPr="00274631">
        <w:rPr>
          <w:rFonts w:ascii="Times New Roman" w:hAnsi="Times New Roman" w:cs="Times New Roman"/>
          <w:sz w:val="24"/>
          <w:szCs w:val="24"/>
        </w:rPr>
        <w:t>Cabe también mencionar en su artículo 17.1, sobra la no discriminación en las relaciones laborales, que dice así por la redacción de la ley 30/2005, de 17 de Septiembre “</w:t>
      </w:r>
      <w:r w:rsidRPr="00274631">
        <w:rPr>
          <w:rFonts w:ascii="Times New Roman" w:hAnsi="Times New Roman" w:cs="Times New Roman"/>
          <w:i/>
          <w:sz w:val="24"/>
          <w:szCs w:val="24"/>
        </w:rPr>
        <w:t xml:space="preserve">Se entenderán nulos y sin efecto los preceptos reglamentarios, las </w:t>
      </w:r>
      <w:r w:rsidR="00274631" w:rsidRPr="00274631">
        <w:rPr>
          <w:rFonts w:ascii="Times New Roman" w:hAnsi="Times New Roman" w:cs="Times New Roman"/>
          <w:i/>
          <w:sz w:val="24"/>
          <w:szCs w:val="24"/>
        </w:rPr>
        <w:t>cláusulas</w:t>
      </w:r>
      <w:r w:rsidRPr="00274631">
        <w:rPr>
          <w:rFonts w:ascii="Times New Roman" w:hAnsi="Times New Roman" w:cs="Times New Roman"/>
          <w:i/>
          <w:sz w:val="24"/>
          <w:szCs w:val="24"/>
        </w:rPr>
        <w:t xml:space="preserve"> de los convenios colectivos, los pactos individuales y las decisiones unilaterales del empresario que del lugar en el empleo, así como en materia de retribuciones, jornada y demás condiciones de trabajo, a situaciones de discriminación directa o indirecta desfavorables por razón de edad o discapacidad o a situaciones de discriminación directa o indirecta por razón de sexo, origen, incluido el racial o étnico, estado civil, condición social, religión o convicciones, ideas políticas, orientación o condición sexual, adhesión o no a sindicatos y a sus acuerdos , vínculos de parentesco con personas pertenecientes o relacionadas con la empresa y lengua dentro del Estado español”.</w:t>
      </w:r>
    </w:p>
    <w:p w:rsidR="00400A8B" w:rsidRPr="00274631" w:rsidRDefault="00400A8B" w:rsidP="00274631">
      <w:pPr>
        <w:spacing w:line="360" w:lineRule="auto"/>
        <w:jc w:val="both"/>
        <w:rPr>
          <w:rFonts w:ascii="Times New Roman" w:hAnsi="Times New Roman" w:cs="Times New Roman"/>
          <w:i/>
          <w:sz w:val="24"/>
          <w:szCs w:val="24"/>
        </w:rPr>
      </w:pPr>
      <w:r w:rsidRPr="00274631">
        <w:rPr>
          <w:rFonts w:ascii="Times New Roman" w:hAnsi="Times New Roman" w:cs="Times New Roman"/>
          <w:sz w:val="24"/>
          <w:szCs w:val="24"/>
        </w:rPr>
        <w:lastRenderedPageBreak/>
        <w:t>EL artículo 28 por su parte consagra un principio como es el de igual remuneración a igual trabajo sin discriminación de sexo “</w:t>
      </w:r>
      <w:r w:rsidRPr="00274631">
        <w:rPr>
          <w:rFonts w:ascii="Times New Roman" w:hAnsi="Times New Roman" w:cs="Times New Roman"/>
          <w:i/>
          <w:sz w:val="24"/>
          <w:szCs w:val="24"/>
        </w:rPr>
        <w:t xml:space="preserve">Un empresario está obligado a pagar por la prestación de un trabajo de igual valor la misma retribución, </w:t>
      </w:r>
      <w:r w:rsidR="00B51E7A" w:rsidRPr="00274631">
        <w:rPr>
          <w:rFonts w:ascii="Times New Roman" w:hAnsi="Times New Roman" w:cs="Times New Roman"/>
          <w:i/>
          <w:sz w:val="24"/>
          <w:szCs w:val="24"/>
        </w:rPr>
        <w:t>satisfecha directa o indirectamente, y cualquiera que sea la naturaleza de la misma, salarial o extrasalarial, sin que pueda producirse discriminación alguna por razón de sexo en ninguno de los elementos o condiciones de aquella”.</w:t>
      </w:r>
    </w:p>
    <w:p w:rsidR="00B51E7A" w:rsidRPr="00274631" w:rsidRDefault="00B51E7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Al igual, la LO 3/2007 introduce un nuevo apartado, en su artículo 34 del Estatuto de Trabajadores estableciendo el derecho de adoptar la duración y distribución de la jornada de trabajo para poder hacer efectivo su derecho a la conciliación de la vida personal. En su artículo 37.4 se recoge el caso de la lactancia en las trabajadoras con hijo menor de 9 meses, ya sea hijo por nacimiento, adopción o acogimiento, y al derecho de tener una hora de ausencia del trabajo que podrán dividir en dos fracciones. Quien ejerza este derecho por su voluntad, podrá sustituirlo por una reducción en su jornada, de media hora, con la misma finalidad o incluso acumularlo en jornadas completas.</w:t>
      </w:r>
    </w:p>
    <w:p w:rsidR="002A33AC" w:rsidRPr="00274631" w:rsidRDefault="00B51E7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Este último permiso es un derecho individual que puede ser elegido s</w:t>
      </w:r>
      <w:r w:rsidR="002A33AC" w:rsidRPr="00274631">
        <w:rPr>
          <w:rFonts w:ascii="Times New Roman" w:hAnsi="Times New Roman" w:cs="Times New Roman"/>
          <w:sz w:val="24"/>
          <w:szCs w:val="24"/>
        </w:rPr>
        <w:t>ólo por uno de los dos progenitores en caso de que ambos trabajasen. (Artículo modificado por la Ley 3/2012, de 6 de Julio)</w:t>
      </w:r>
    </w:p>
    <w:p w:rsidR="002A33AC" w:rsidRPr="00274631" w:rsidRDefault="002A33AC"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Por esta misma ley, se modifica el artículo 37.5 del estatuto de los trabajadores concerniente al tema de la reducción de jornada, para los casos de aquellas personan que estén a cargo directo de un menor de 8 años o una persona discapacitada sin una actividad retribuida, dando un derecho de reducción de jornada diaria acompañado de una reducción de salario proporcional. Igual derecho posee aquél que deba encargarse por tema de enfermedad grave, durante la hospitalización  y el tratamiento continuado del menor de 18 años que así lo precise.</w:t>
      </w:r>
    </w:p>
    <w:p w:rsidR="00806BE2" w:rsidRPr="00274631" w:rsidRDefault="002A33AC"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La reducción de jornada es también un derecho individual, al que pueden </w:t>
      </w:r>
      <w:r w:rsidR="00274631" w:rsidRPr="00274631">
        <w:rPr>
          <w:rFonts w:ascii="Times New Roman" w:hAnsi="Times New Roman" w:cs="Times New Roman"/>
          <w:sz w:val="24"/>
          <w:szCs w:val="24"/>
        </w:rPr>
        <w:t>acogerse</w:t>
      </w:r>
      <w:bookmarkStart w:id="0" w:name="_GoBack"/>
      <w:bookmarkEnd w:id="0"/>
      <w:r w:rsidRPr="00274631">
        <w:rPr>
          <w:rFonts w:ascii="Times New Roman" w:hAnsi="Times New Roman" w:cs="Times New Roman"/>
          <w:sz w:val="24"/>
          <w:szCs w:val="24"/>
        </w:rPr>
        <w:t xml:space="preserve"> tanto hombres como mujeres, y que en el caso de que </w:t>
      </w:r>
      <w:r w:rsidR="00806BE2" w:rsidRPr="00274631">
        <w:rPr>
          <w:rFonts w:ascii="Times New Roman" w:hAnsi="Times New Roman" w:cs="Times New Roman"/>
          <w:sz w:val="24"/>
          <w:szCs w:val="24"/>
        </w:rPr>
        <w:t>dos o más trabajadores ejercieran este derecho sobre la misma persona el empresario podría limitarlo por cuestiones del buen funcionamiento de su empresa.</w:t>
      </w:r>
    </w:p>
    <w:p w:rsidR="00806BE2"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Por</w:t>
      </w:r>
      <w:r w:rsidR="00806BE2" w:rsidRPr="00274631">
        <w:rPr>
          <w:rFonts w:ascii="Times New Roman" w:hAnsi="Times New Roman" w:cs="Times New Roman"/>
          <w:sz w:val="24"/>
          <w:szCs w:val="24"/>
        </w:rPr>
        <w:t xml:space="preserve"> la LO 1/2004, de 28 de Diciembre, de Medidas de </w:t>
      </w:r>
      <w:r w:rsidR="00274631" w:rsidRPr="00274631">
        <w:rPr>
          <w:rFonts w:ascii="Times New Roman" w:hAnsi="Times New Roman" w:cs="Times New Roman"/>
          <w:sz w:val="24"/>
          <w:szCs w:val="24"/>
        </w:rPr>
        <w:t>Protección</w:t>
      </w:r>
      <w:r w:rsidR="00806BE2" w:rsidRPr="00274631">
        <w:rPr>
          <w:rFonts w:ascii="Times New Roman" w:hAnsi="Times New Roman" w:cs="Times New Roman"/>
          <w:sz w:val="24"/>
          <w:szCs w:val="24"/>
        </w:rPr>
        <w:t xml:space="preserve"> Integral contra la Violencia de Género, se introduce un nuevo apartado 7 en el artículo 37 del Estatuto de los Trabajadores, con un contenido que hace mención a las trabajadoras víctimas de violencia de </w:t>
      </w:r>
      <w:r w:rsidR="00806BE2" w:rsidRPr="00274631">
        <w:rPr>
          <w:rFonts w:ascii="Times New Roman" w:hAnsi="Times New Roman" w:cs="Times New Roman"/>
          <w:sz w:val="24"/>
          <w:szCs w:val="24"/>
        </w:rPr>
        <w:lastRenderedPageBreak/>
        <w:t>género, incluyendo un derecho de reducción de jornada de trabajo con su reducción de salario proporcional, o a la reordenación del tiempo de su trabajo en cualquiera de las formas que la empresa pudiera utilizar.</w:t>
      </w:r>
    </w:p>
    <w:p w:rsidR="00B51E7A" w:rsidRPr="00274631" w:rsidRDefault="0078368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Por último, cabe destacar como artículo referente en cuanto al á</w:t>
      </w:r>
      <w:r w:rsidR="006C1FF2" w:rsidRPr="00274631">
        <w:rPr>
          <w:rFonts w:ascii="Times New Roman" w:hAnsi="Times New Roman" w:cs="Times New Roman"/>
          <w:sz w:val="24"/>
          <w:szCs w:val="24"/>
        </w:rPr>
        <w:t>m</w:t>
      </w:r>
      <w:r w:rsidRPr="00274631">
        <w:rPr>
          <w:rFonts w:ascii="Times New Roman" w:hAnsi="Times New Roman" w:cs="Times New Roman"/>
          <w:sz w:val="24"/>
          <w:szCs w:val="24"/>
        </w:rPr>
        <w:t xml:space="preserve">bito jurídico laboral que afecte al sistema de igualdad entre hombres y mujeres el artículo 48, que en su apartado 4 nos abarca el tema del supuesto de parto, con una suspensión ininterrumpida de 16 semanas, ampliable en caso de partos múltiples, y que pueden ser distribuidas a opción de la interesada siempre y cuando 6 de ellas sean después de dar a luz. En caso de fallecimiento de la madre el otro progenitor podrá hacer uso de la totalidad o de la parte que le quedara a la madre </w:t>
      </w:r>
      <w:r w:rsidR="006C1FF2" w:rsidRPr="00274631">
        <w:rPr>
          <w:rFonts w:ascii="Times New Roman" w:hAnsi="Times New Roman" w:cs="Times New Roman"/>
          <w:sz w:val="24"/>
          <w:szCs w:val="24"/>
        </w:rPr>
        <w:t>de suspensión.</w:t>
      </w:r>
    </w:p>
    <w:p w:rsidR="006C1FF2" w:rsidRPr="00274631" w:rsidRDefault="006C1FF2"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Estos periodos pueden ser compartidos entre progenitores, y en el caso que por cuestiones profesionales la madre no pudiera suspender su actividad profesional será el padre el que disfrute de este derecho.</w:t>
      </w:r>
    </w:p>
    <w:p w:rsidR="006C1FF2" w:rsidRPr="00274631" w:rsidRDefault="006C1FF2"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Para los casos especiales como puede ser el caso de parto prematuro y en los que el recién nacido precise tras su nacimiento de un tiempo de hospitalización, ese tiempo, con un máximo de 13 semanas, será ampliado al ya anteriormente dicho de 16 semanas. En los casos de adopción o acogimiento el periodo de 16 semanas ininterrumpido es igual, con la misma regla para los casos en que ambos supuestos sean múltiples.</w:t>
      </w:r>
    </w:p>
    <w:p w:rsidR="006C1FF2" w:rsidRPr="00274631" w:rsidRDefault="006C1FF2"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 caso de que ambos progenitores trabajasen, el periodo de suspensión de distribuirá a elección de los interesados</w:t>
      </w:r>
      <w:r w:rsidR="00651FA4" w:rsidRPr="00274631">
        <w:rPr>
          <w:rFonts w:ascii="Times New Roman" w:hAnsi="Times New Roman" w:cs="Times New Roman"/>
          <w:sz w:val="24"/>
          <w:szCs w:val="24"/>
        </w:rPr>
        <w:t>, siempre y cuando no se exceda el límite antes indicado pudiendo incluso disfrutarse de forma simultánea.</w:t>
      </w:r>
      <w:r w:rsidR="00544986" w:rsidRPr="00274631">
        <w:rPr>
          <w:rFonts w:ascii="Times New Roman" w:hAnsi="Times New Roman" w:cs="Times New Roman"/>
          <w:sz w:val="24"/>
          <w:szCs w:val="24"/>
        </w:rPr>
        <w:t xml:space="preserve"> Los periodos a los que he hecho referencia pueden disfrutarse tanto en régimen de jornada completa como a tiempo parcial, siempre previo acuerdo con el empresario.</w:t>
      </w:r>
    </w:p>
    <w:p w:rsidR="00544986" w:rsidRPr="00274631" w:rsidRDefault="00B81F1B" w:rsidP="00274631">
      <w:pPr>
        <w:pStyle w:val="Prrafodelista"/>
        <w:numPr>
          <w:ilvl w:val="3"/>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544986" w:rsidRPr="00274631">
        <w:rPr>
          <w:rFonts w:ascii="Times New Roman" w:hAnsi="Times New Roman" w:cs="Times New Roman"/>
          <w:sz w:val="24"/>
          <w:szCs w:val="24"/>
        </w:rPr>
        <w:t>La suspensión del contrato por Paternidad</w:t>
      </w:r>
    </w:p>
    <w:p w:rsidR="00544986" w:rsidRPr="00274631" w:rsidRDefault="00544986"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 los supuestos antes mencionados de nacimiento de hijo, adopción o acogimiento, según el artículo 45.1 d) el trabajador tendrá derecho a la suspensión del contrato durante 13 días, esta suspensión es independiente del disfrute compartido de los periodos de descanso por maternidad antes mencionados.</w:t>
      </w:r>
    </w:p>
    <w:p w:rsidR="006E36CF" w:rsidRPr="00274631" w:rsidRDefault="006E36CF"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También indica esta ley que el trabajador deberá comunicar al empresario, con la debida antelación, el ejercicio de este derecho, cuyos términos están establecidos en los convenios colectivos.</w:t>
      </w:r>
    </w:p>
    <w:p w:rsidR="006E36CF" w:rsidRPr="00274631" w:rsidRDefault="006E36CF" w:rsidP="00274631">
      <w:pPr>
        <w:pStyle w:val="Prrafodelista"/>
        <w:numPr>
          <w:ilvl w:val="2"/>
          <w:numId w:val="2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Consecuencias penales de la discriminación por razón de sexo.</w:t>
      </w:r>
    </w:p>
    <w:p w:rsidR="006E36CF" w:rsidRPr="00274631" w:rsidRDefault="006E36CF"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más relevante es la agravante recogida en el artículo 22.4 del Código Penal cuyo tenor literal es “</w:t>
      </w:r>
      <w:r w:rsidRPr="00274631">
        <w:rPr>
          <w:rFonts w:ascii="Times New Roman" w:hAnsi="Times New Roman" w:cs="Times New Roman"/>
          <w:i/>
          <w:sz w:val="24"/>
          <w:szCs w:val="24"/>
        </w:rPr>
        <w:t>Es circunstancia agravante: Cometer el delito por motivos racistas, antisemitas u otra clase de discriminación referente a la ideología, religión, creencias de la víctima, etnia, raza o nación a la que pertenezca, su sexo, orientación o identidad sexual, la enfermedad que padezca o su discapacidad” (</w:t>
      </w:r>
      <w:r w:rsidRPr="00274631">
        <w:rPr>
          <w:rFonts w:ascii="Times New Roman" w:hAnsi="Times New Roman" w:cs="Times New Roman"/>
          <w:sz w:val="24"/>
          <w:szCs w:val="24"/>
        </w:rPr>
        <w:t>LO 5/2010, de 22 de Junio)</w:t>
      </w:r>
    </w:p>
    <w:p w:rsidR="00544986" w:rsidRPr="00274631" w:rsidRDefault="006E36CF"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 consonancia con la Recomendación 92/131/CEE, de la Comisión, de 27 de noviembre de 1991, podemos señalar el apartado de delito de acoso sexual que lo encontramos en nuestro Código Penal en el artículo 184, modificado por la LO 15/2003, y dice así:</w:t>
      </w:r>
    </w:p>
    <w:p w:rsidR="007232C2" w:rsidRPr="00274631" w:rsidRDefault="006E36CF" w:rsidP="00274631">
      <w:pPr>
        <w:spacing w:line="360" w:lineRule="auto"/>
        <w:jc w:val="both"/>
        <w:rPr>
          <w:rFonts w:ascii="Times New Roman" w:hAnsi="Times New Roman" w:cs="Times New Roman"/>
          <w:i/>
          <w:sz w:val="24"/>
          <w:szCs w:val="24"/>
        </w:rPr>
      </w:pPr>
      <w:r w:rsidRPr="00274631">
        <w:rPr>
          <w:rFonts w:ascii="Times New Roman" w:hAnsi="Times New Roman" w:cs="Times New Roman"/>
          <w:sz w:val="24"/>
          <w:szCs w:val="24"/>
        </w:rPr>
        <w:t>“</w:t>
      </w:r>
      <w:r w:rsidRPr="00274631">
        <w:rPr>
          <w:rFonts w:ascii="Times New Roman" w:hAnsi="Times New Roman" w:cs="Times New Roman"/>
          <w:i/>
          <w:sz w:val="24"/>
          <w:szCs w:val="24"/>
        </w:rPr>
        <w:t xml:space="preserve">El que solicitare favores sexuales de naturaleza sexual, para sí o para un tercero, en el ámbito de una relación laboral, docente o de prestación de servicios, continuada o habitual, y con tal comportamiento provocare a la víctima una situación objetiva </w:t>
      </w:r>
      <w:r w:rsidR="007232C2" w:rsidRPr="00274631">
        <w:rPr>
          <w:rFonts w:ascii="Times New Roman" w:hAnsi="Times New Roman" w:cs="Times New Roman"/>
          <w:i/>
          <w:sz w:val="24"/>
          <w:szCs w:val="24"/>
        </w:rPr>
        <w:t>y gravemente intimidatoria, hostil o humillante, será castigado, como autor de acoso sexual, con la pena de prisión de 3 a 5 meses o multa de 6 a 10 meses. Si el culpable del acoso sexual hubiera cometido el hecho prevaliéndose de una situación de superioridad laboral, docente o jerárquica, o con el anuncio expreso o tácito de causar a la víctima un mal relacionado con las legítimas expectativas que aquella pueda tener en el ámbito de la indicada relación, la pena será de prisión de 5 a 7 meses o multa de 10 a 14 meses.”</w:t>
      </w:r>
    </w:p>
    <w:p w:rsidR="007232C2" w:rsidRPr="00274631" w:rsidRDefault="007232C2" w:rsidP="00274631">
      <w:pPr>
        <w:spacing w:line="360" w:lineRule="auto"/>
        <w:jc w:val="both"/>
        <w:rPr>
          <w:rFonts w:ascii="Times New Roman" w:hAnsi="Times New Roman" w:cs="Times New Roman"/>
          <w:i/>
          <w:sz w:val="24"/>
          <w:szCs w:val="24"/>
        </w:rPr>
      </w:pPr>
      <w:r w:rsidRPr="00274631">
        <w:rPr>
          <w:rFonts w:ascii="Times New Roman" w:hAnsi="Times New Roman" w:cs="Times New Roman"/>
          <w:i/>
          <w:sz w:val="24"/>
          <w:szCs w:val="24"/>
        </w:rPr>
        <w:t xml:space="preserve">Otros artículos con referencia al tema que aquí trato son los </w:t>
      </w:r>
      <w:r w:rsidR="00053ED0" w:rsidRPr="00274631">
        <w:rPr>
          <w:rFonts w:ascii="Times New Roman" w:hAnsi="Times New Roman" w:cs="Times New Roman"/>
          <w:i/>
          <w:sz w:val="24"/>
          <w:szCs w:val="24"/>
        </w:rPr>
        <w:t>encontrados en el Título XXI “Delitos contra la Constitución”, en su capítulo IV “De los delitos relativos al ejercicio de los derechos fundamentales y libertades públicas” en su sección 1ª “De los delitos cometidos con ocasión del ejercicio de los derechos fundamentales y las libertades públicas garantizados por la ley”, como son:</w:t>
      </w:r>
    </w:p>
    <w:p w:rsidR="00053ED0" w:rsidRPr="00274631" w:rsidRDefault="00053ED0" w:rsidP="00274631">
      <w:pPr>
        <w:pStyle w:val="Prrafodelista"/>
        <w:numPr>
          <w:ilvl w:val="0"/>
          <w:numId w:val="4"/>
        </w:numPr>
        <w:spacing w:line="360" w:lineRule="auto"/>
        <w:jc w:val="both"/>
        <w:rPr>
          <w:rFonts w:ascii="Times New Roman" w:hAnsi="Times New Roman" w:cs="Times New Roman"/>
          <w:i/>
          <w:sz w:val="24"/>
          <w:szCs w:val="24"/>
        </w:rPr>
      </w:pPr>
      <w:r w:rsidRPr="00274631">
        <w:rPr>
          <w:rFonts w:ascii="Times New Roman" w:hAnsi="Times New Roman" w:cs="Times New Roman"/>
          <w:i/>
          <w:sz w:val="24"/>
          <w:szCs w:val="24"/>
        </w:rPr>
        <w:t>Artículo 510.1: Provocar a la discriminación contra grupos por su sexo u orientación sexual</w:t>
      </w:r>
    </w:p>
    <w:p w:rsidR="00053ED0" w:rsidRPr="00274631" w:rsidRDefault="00053ED0" w:rsidP="00274631">
      <w:pPr>
        <w:pStyle w:val="Prrafodelista"/>
        <w:numPr>
          <w:ilvl w:val="0"/>
          <w:numId w:val="4"/>
        </w:numPr>
        <w:spacing w:line="360" w:lineRule="auto"/>
        <w:jc w:val="both"/>
        <w:rPr>
          <w:rFonts w:ascii="Times New Roman" w:hAnsi="Times New Roman" w:cs="Times New Roman"/>
          <w:i/>
          <w:sz w:val="24"/>
          <w:szCs w:val="24"/>
        </w:rPr>
      </w:pPr>
      <w:r w:rsidRPr="00274631">
        <w:rPr>
          <w:rFonts w:ascii="Times New Roman" w:hAnsi="Times New Roman" w:cs="Times New Roman"/>
          <w:i/>
          <w:sz w:val="24"/>
          <w:szCs w:val="24"/>
        </w:rPr>
        <w:t>Artículo 512: Denegar un derecho o prestación por razón de su sexo u orientación sexual por persona que ejerza actividades profesionales o empresariales.</w:t>
      </w:r>
    </w:p>
    <w:p w:rsidR="00053ED0" w:rsidRPr="00274631" w:rsidRDefault="00053ED0" w:rsidP="00274631">
      <w:pPr>
        <w:pStyle w:val="Prrafodelista"/>
        <w:numPr>
          <w:ilvl w:val="0"/>
          <w:numId w:val="4"/>
        </w:numPr>
        <w:spacing w:line="360" w:lineRule="auto"/>
        <w:jc w:val="both"/>
        <w:rPr>
          <w:rFonts w:ascii="Times New Roman" w:hAnsi="Times New Roman" w:cs="Times New Roman"/>
          <w:i/>
          <w:sz w:val="24"/>
          <w:szCs w:val="24"/>
        </w:rPr>
      </w:pPr>
      <w:r w:rsidRPr="00274631">
        <w:rPr>
          <w:rFonts w:ascii="Times New Roman" w:hAnsi="Times New Roman" w:cs="Times New Roman"/>
          <w:i/>
          <w:sz w:val="24"/>
          <w:szCs w:val="24"/>
        </w:rPr>
        <w:lastRenderedPageBreak/>
        <w:t>Art</w:t>
      </w:r>
      <w:r w:rsidR="006D0F25" w:rsidRPr="00274631">
        <w:rPr>
          <w:rFonts w:ascii="Times New Roman" w:hAnsi="Times New Roman" w:cs="Times New Roman"/>
          <w:i/>
          <w:sz w:val="24"/>
          <w:szCs w:val="24"/>
        </w:rPr>
        <w:t>ículo 515.5: Asociaciones ilícitas que tengan por objeto promover la discriminación, el odio y la violencia contra grupos por razón de su sexo.</w:t>
      </w:r>
    </w:p>
    <w:p w:rsidR="006D0F25" w:rsidRPr="00274631" w:rsidRDefault="006D0F25" w:rsidP="00274631">
      <w:pPr>
        <w:pStyle w:val="Prrafodelista"/>
        <w:numPr>
          <w:ilvl w:val="0"/>
          <w:numId w:val="4"/>
        </w:numPr>
        <w:spacing w:line="360" w:lineRule="auto"/>
        <w:jc w:val="both"/>
        <w:rPr>
          <w:rFonts w:ascii="Times New Roman" w:hAnsi="Times New Roman" w:cs="Times New Roman"/>
          <w:i/>
          <w:sz w:val="24"/>
          <w:szCs w:val="24"/>
        </w:rPr>
      </w:pPr>
      <w:r w:rsidRPr="00274631">
        <w:rPr>
          <w:rFonts w:ascii="Times New Roman" w:hAnsi="Times New Roman" w:cs="Times New Roman"/>
          <w:i/>
          <w:sz w:val="24"/>
          <w:szCs w:val="24"/>
        </w:rPr>
        <w:t>Artículo 517: Agravante del delito del artículo 515.5 anterior mente nombrado para los presidentes, fundadores y directores de tales asociaciones.</w:t>
      </w:r>
    </w:p>
    <w:p w:rsidR="00B81F1B" w:rsidRPr="00274631" w:rsidRDefault="00B81F1B" w:rsidP="00274631">
      <w:pPr>
        <w:pStyle w:val="Prrafodelista"/>
        <w:spacing w:line="360" w:lineRule="auto"/>
        <w:jc w:val="both"/>
        <w:rPr>
          <w:rFonts w:ascii="Times New Roman" w:hAnsi="Times New Roman" w:cs="Times New Roman"/>
          <w:i/>
          <w:sz w:val="24"/>
          <w:szCs w:val="24"/>
        </w:rPr>
      </w:pPr>
    </w:p>
    <w:p w:rsidR="00BE5D62" w:rsidRPr="00274631" w:rsidRDefault="00B81F1B" w:rsidP="00274631">
      <w:pPr>
        <w:pStyle w:val="Prrafodelista"/>
        <w:numPr>
          <w:ilvl w:val="0"/>
          <w:numId w:val="25"/>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Instituciones y legislación en materia de igualdad de oportunidades entre el hombre y la mujer</w:t>
      </w:r>
    </w:p>
    <w:p w:rsidR="00B81F1B" w:rsidRPr="00274631" w:rsidRDefault="00B81F1B" w:rsidP="00274631">
      <w:pPr>
        <w:pStyle w:val="Prrafodelista"/>
        <w:spacing w:line="360" w:lineRule="auto"/>
        <w:ind w:left="360"/>
        <w:jc w:val="both"/>
        <w:rPr>
          <w:rFonts w:ascii="Times New Roman" w:hAnsi="Times New Roman" w:cs="Times New Roman"/>
          <w:sz w:val="24"/>
          <w:szCs w:val="24"/>
        </w:rPr>
      </w:pPr>
    </w:p>
    <w:p w:rsidR="00BE5D62" w:rsidRPr="00274631" w:rsidRDefault="00B81F1B" w:rsidP="00274631">
      <w:pPr>
        <w:pStyle w:val="Prrafodelista"/>
        <w:numPr>
          <w:ilvl w:val="1"/>
          <w:numId w:val="3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BE5D62" w:rsidRPr="00274631">
        <w:rPr>
          <w:rFonts w:ascii="Times New Roman" w:hAnsi="Times New Roman" w:cs="Times New Roman"/>
          <w:sz w:val="24"/>
          <w:szCs w:val="24"/>
        </w:rPr>
        <w:t>Observatorio de la Igualdad de Oportunidades entre Mujeres y Hombres</w:t>
      </w:r>
    </w:p>
    <w:p w:rsidR="00BE5D62" w:rsidRPr="00274631" w:rsidRDefault="00BE5D62"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Fue creado por Real Decreto 1686/2000, de 6 de Octubre, en concordancia con lo dispuesto en la Ley de Organización y Funcionamiento de la Administración General del Estado, y tiene por objeto la construcción de un sistema de información con capacidad para reconocer la situación de mujeres, respecto a la de los hombres, y el efecto que han provocado las políticas institucionales puestas en marcha, para promover la participación de las mujeres, en todos los ámbitos, en un plano de igualdad.</w:t>
      </w:r>
    </w:p>
    <w:p w:rsidR="00B81F1B" w:rsidRPr="00274631" w:rsidRDefault="00B81F1B" w:rsidP="00274631">
      <w:pPr>
        <w:spacing w:line="360" w:lineRule="auto"/>
        <w:jc w:val="both"/>
        <w:rPr>
          <w:rFonts w:ascii="Times New Roman" w:hAnsi="Times New Roman" w:cs="Times New Roman"/>
          <w:sz w:val="24"/>
          <w:szCs w:val="24"/>
        </w:rPr>
      </w:pPr>
    </w:p>
    <w:p w:rsidR="00B81F1B" w:rsidRPr="00274631" w:rsidRDefault="00B81F1B" w:rsidP="00274631">
      <w:pPr>
        <w:spacing w:line="360" w:lineRule="auto"/>
        <w:jc w:val="both"/>
        <w:rPr>
          <w:rFonts w:ascii="Times New Roman" w:hAnsi="Times New Roman" w:cs="Times New Roman"/>
          <w:sz w:val="24"/>
          <w:szCs w:val="24"/>
        </w:rPr>
      </w:pPr>
    </w:p>
    <w:p w:rsidR="00BE5D62" w:rsidRPr="00274631" w:rsidRDefault="00BE5D62"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Este observatorio se encuentra actualmente en el Ministerio de Sanidad, Servicios Sociales e Igualdad., y tiene como algunas de sus principales funciones:</w:t>
      </w:r>
    </w:p>
    <w:p w:rsidR="00BE5D62" w:rsidRPr="00274631" w:rsidRDefault="00BE5D62" w:rsidP="00274631">
      <w:pPr>
        <w:pStyle w:val="Prrafodelista"/>
        <w:numPr>
          <w:ilvl w:val="0"/>
          <w:numId w:val="2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Actuar como órgano permanente de recogida y análisis de la información disponible en diferentes fuentes nacionales e internacionales sobra la igualdad de oportunidades</w:t>
      </w:r>
    </w:p>
    <w:p w:rsidR="00BE5D62" w:rsidRPr="00274631" w:rsidRDefault="00B81F1B" w:rsidP="00274631">
      <w:pPr>
        <w:pStyle w:val="Prrafodelista"/>
        <w:numPr>
          <w:ilvl w:val="0"/>
          <w:numId w:val="2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Evaluar el impacto en la sociedad de las políticas y medidas que afecten de forma directa a la mujeres</w:t>
      </w:r>
    </w:p>
    <w:p w:rsidR="00B81F1B" w:rsidRPr="00274631" w:rsidRDefault="00B81F1B" w:rsidP="00274631">
      <w:pPr>
        <w:pStyle w:val="Prrafodelista"/>
        <w:numPr>
          <w:ilvl w:val="0"/>
          <w:numId w:val="2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Difundir información sobre diferentes aspectos relacionados con las mujeres</w:t>
      </w:r>
    </w:p>
    <w:p w:rsidR="00B81F1B" w:rsidRPr="00274631" w:rsidRDefault="00B81F1B" w:rsidP="00274631">
      <w:pPr>
        <w:pStyle w:val="Prrafodelista"/>
        <w:numPr>
          <w:ilvl w:val="0"/>
          <w:numId w:val="23"/>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Proponer iniciativas tendentes a realizar el seguimiento del tratamiento de la figura de la mujer en los medios de comunicación.</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observatorio funcionará en Pleno y estará formado por un/a Presidente/a, una Vicepresidente 1ª, una Vicepresidenta 2ª y 44 vocales.</w:t>
      </w:r>
    </w:p>
    <w:p w:rsidR="00B81F1B" w:rsidRPr="00274631" w:rsidRDefault="00B81F1B" w:rsidP="00274631">
      <w:pPr>
        <w:spacing w:line="360" w:lineRule="auto"/>
        <w:jc w:val="both"/>
        <w:rPr>
          <w:rFonts w:ascii="Times New Roman" w:hAnsi="Times New Roman" w:cs="Times New Roman"/>
          <w:sz w:val="24"/>
          <w:szCs w:val="24"/>
        </w:rPr>
      </w:pPr>
    </w:p>
    <w:p w:rsidR="00B81F1B" w:rsidRPr="00274631" w:rsidRDefault="00B81F1B" w:rsidP="00274631">
      <w:pPr>
        <w:pStyle w:val="Prrafodelista"/>
        <w:numPr>
          <w:ilvl w:val="1"/>
          <w:numId w:val="3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 xml:space="preserve"> Acuerdo de Consejo de Ministros por el que se adoptan medidas para favorecer la igualdad entre mujeres y hombres.</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Publicación en el BOE de 8 de Marzo de 2005, la Orden PRE/525/2005, de 7 de Marzo, por la que se da publicidad a este acuerdo, y que recibirá la denominación de “Plan para la Igualdad de Género de la Administración General del Estado”. </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Entre las medidas adoptadas más importantes, cabe destacar las siguientes:</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 la Administración General del Estado y en los organismos públicos y empresas que dependan de ella, los órganos de selección de personal tendrán una composición que deberá ser paritaria.</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Se habilita, previa negociación con los organismos sindicales, a las autoridades competentes para que autoricen con carácter personal y temporal la modificación del horario fijo de los empleados y empleadas públicos, con mantenimiento íntegro y flexible de la jornada laboral que les corresponda.</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Se dispone la creación y constitución de juzgados de violencia sobre la mujer</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Se aprueba la puesta en marcha de un plan específico para la inserción laboral de las mujeres víctimas de violencia de género.</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Por último, se crea la Delegación Especial del Gobierno contra la Violencia sobre la Mujer, de la que hablaré a continuación. Hay que tener en cuenta que tras la entrada en vigor del Real Decreto 438/2008, de 14 de Abril, por el que se aprueba la estructura orgánica básica de los departamentos ministeriales, la Delegación Especial del Gobierno contra la Violencia sobre la Mujer ha sido suprimida y es la Delegación del Gobierno para la Violencia de Género la que asume las competencias. Aunque este Real Decreto ya está en vigor, la Ley 1/2004, de 28 de Diciembre, sigue refiriéndose a la ya suprimida Delegación especial.</w:t>
      </w:r>
    </w:p>
    <w:p w:rsidR="00B81F1B" w:rsidRPr="00274631" w:rsidRDefault="00757E44" w:rsidP="00274631">
      <w:pPr>
        <w:pStyle w:val="Prrafodelista"/>
        <w:numPr>
          <w:ilvl w:val="1"/>
          <w:numId w:val="3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B81F1B" w:rsidRPr="00274631">
        <w:rPr>
          <w:rFonts w:ascii="Times New Roman" w:hAnsi="Times New Roman" w:cs="Times New Roman"/>
          <w:sz w:val="24"/>
          <w:szCs w:val="24"/>
        </w:rPr>
        <w:t>Delegación del Gobierno para la Violencia de Género</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Estaba adscrita al Ministerio de Igualdad, actualmente se encuentra en el Ministerio de Sanidad, Servicios Sociales e Igualdad, asume las competencias de la suprimida Delegación Especial del Gobierno contra la Violencia sobre la Mujer, prevista en la LO 1/2004, de Medidas de Protección Integral contra la Violencia de Género.</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Su principal cometido es proponer la política del Gobierno en relación con la violencia de género y coordinar e impulsar todas las actuaciones que se realicen en dicha materia.</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Hoy en día, con arreglo al artículo 3 del RD 200/2012, de 23 de Enero, por el que se desarrolla la estructura orgánica básica del Ministerio de Sanidad, Servicios Sociales e Igualdad, se dispone que, le corresponde a la Delegación del Gobierno para la Violencia de Género proponer la política del gobierno contra las distintas formas de violencia de género y coordinar e impulsar todas las medidas llevadas a cabo en esta materia, y, especialmente en la siguientes funciones aquí mencionadas:</w:t>
      </w:r>
    </w:p>
    <w:p w:rsidR="00B81F1B" w:rsidRPr="00274631" w:rsidRDefault="00B81F1B" w:rsidP="00274631">
      <w:pPr>
        <w:pStyle w:val="Prrafodelista"/>
        <w:numPr>
          <w:ilvl w:val="0"/>
          <w:numId w:val="2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impulso de la aplicación del principio de transversalidad de las medidas destinadas a luchar contra las distintas formas de violencia de género.</w:t>
      </w:r>
    </w:p>
    <w:p w:rsidR="00B81F1B" w:rsidRPr="00274631" w:rsidRDefault="00B81F1B" w:rsidP="00274631">
      <w:pPr>
        <w:pStyle w:val="Prrafodelista"/>
        <w:numPr>
          <w:ilvl w:val="0"/>
          <w:numId w:val="2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sensibilización ciudadana y la prevención de todas las formas de violencia contra la mujer.</w:t>
      </w:r>
    </w:p>
    <w:p w:rsidR="00B81F1B" w:rsidRPr="00274631" w:rsidRDefault="00B81F1B" w:rsidP="00274631">
      <w:pPr>
        <w:pStyle w:val="Prrafodelista"/>
        <w:numPr>
          <w:ilvl w:val="0"/>
          <w:numId w:val="2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promoción de la coordinación y la colaboración entre los distintos servicios competentes para garantizar una actuación integral en relación con la valoración y gestión del riesgo.</w:t>
      </w:r>
    </w:p>
    <w:p w:rsidR="00B81F1B" w:rsidRPr="00274631" w:rsidRDefault="00B81F1B" w:rsidP="00274631">
      <w:pPr>
        <w:pStyle w:val="Prrafodelista"/>
        <w:numPr>
          <w:ilvl w:val="0"/>
          <w:numId w:val="2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realización, promoción y difusión de informes, estudios e investigaciones sobre cuestiones relacionadas con las distintas formas de violencia de género.</w:t>
      </w:r>
    </w:p>
    <w:p w:rsidR="00B81F1B" w:rsidRPr="00274631" w:rsidRDefault="00B81F1B" w:rsidP="00274631">
      <w:pPr>
        <w:pStyle w:val="Prrafodelista"/>
        <w:numPr>
          <w:ilvl w:val="0"/>
          <w:numId w:val="2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fomento de la formación y especialización de los colectivos profesionales que intervienen en el proceso de prevención, información, atención y protección de las víctimas.</w:t>
      </w:r>
    </w:p>
    <w:p w:rsidR="00B81F1B" w:rsidRPr="00274631" w:rsidRDefault="00B81F1B" w:rsidP="00274631">
      <w:pPr>
        <w:pStyle w:val="Prrafodelista"/>
        <w:numPr>
          <w:ilvl w:val="0"/>
          <w:numId w:val="2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promoción de la colaboración y participación de las entidades, asociaciones y organizaciones que, desde la sociedad civil, actúan contra las distintas formas de violencia de género a la hora de programar y poner en práctica mecanismos y actuaciones tendentes a erradicar este fenómeno.</w:t>
      </w:r>
    </w:p>
    <w:p w:rsidR="00B81F1B" w:rsidRPr="00274631" w:rsidRDefault="00B81F1B" w:rsidP="00274631">
      <w:pPr>
        <w:pStyle w:val="Prrafodelista"/>
        <w:numPr>
          <w:ilvl w:val="0"/>
          <w:numId w:val="2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Participar y mantener relaciones en el ámbito internacional, sin perjuicio de las competencias encomendadas a la Secretaría General Técnica del Ministerio de Salud, Servicios Sociales e Igualdad.</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persona titular de la Delegación del Gobierno para la Violencia de Género estará legitimada ante los órganos jurisdiccionales para intervenir en defensa de los derechos y de los intereses tutelados por la LO 1/2004, en colaboración y coordinación con las Administraciones Públicas con competencias en materia, para ejercer la acción de cesación y rectificación de la publicidad ilícita por utilizar de forma vejatoria la imagen de las mujeres.</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Se adscribe además al Ministerio de Sanidad, Servicios Sociales e Igualdad el Observatorio Estatal de Violencia sobre la Mujer, mediante la Delegación del Gobierno para la Violencia de Género, que ejercerá su presidencia, y que analizo a continuación.</w:t>
      </w:r>
    </w:p>
    <w:p w:rsidR="00B81F1B" w:rsidRPr="00274631" w:rsidRDefault="00757E44" w:rsidP="00274631">
      <w:pPr>
        <w:pStyle w:val="Prrafodelista"/>
        <w:numPr>
          <w:ilvl w:val="1"/>
          <w:numId w:val="3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w:t>
      </w:r>
      <w:r w:rsidR="00B81F1B" w:rsidRPr="00274631">
        <w:rPr>
          <w:rFonts w:ascii="Times New Roman" w:hAnsi="Times New Roman" w:cs="Times New Roman"/>
          <w:sz w:val="24"/>
          <w:szCs w:val="24"/>
        </w:rPr>
        <w:t>Real Decreto 253/2006, por el que se establecen las funciones, el régimen de funcionamiento y la composición del observator</w:t>
      </w:r>
      <w:r w:rsidR="00FD1E25" w:rsidRPr="00274631">
        <w:rPr>
          <w:rFonts w:ascii="Times New Roman" w:hAnsi="Times New Roman" w:cs="Times New Roman"/>
          <w:sz w:val="24"/>
          <w:szCs w:val="24"/>
        </w:rPr>
        <w:t>io estatal de la violencia sobre</w:t>
      </w:r>
      <w:r w:rsidR="00B81F1B" w:rsidRPr="00274631">
        <w:rPr>
          <w:rFonts w:ascii="Times New Roman" w:hAnsi="Times New Roman" w:cs="Times New Roman"/>
          <w:sz w:val="24"/>
          <w:szCs w:val="24"/>
        </w:rPr>
        <w:t xml:space="preserve"> la mujer.</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objeto es establecer las funciones, el régimen de funcionamiento y la composición de este observatorio, su naturaleza es la de un órgano interministerial, al que le corresponde el asesoramiento, comprobación, colaboración institucional, elaboración de informes y estudios, y por último la propuesta de actuación en materia de violencia de género.</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Como funciones principales a destacar, destaco las siguientes:</w:t>
      </w:r>
    </w:p>
    <w:p w:rsidR="00B81F1B" w:rsidRPr="00274631" w:rsidRDefault="00B81F1B" w:rsidP="00274631">
      <w:pPr>
        <w:pStyle w:val="Prrafodelista"/>
        <w:numPr>
          <w:ilvl w:val="0"/>
          <w:numId w:val="2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Colaborar institucionalmente en materia de violencia de género, así como promover la colaboración entre el resto de instituciones implicadas.</w:t>
      </w:r>
    </w:p>
    <w:p w:rsidR="00B81F1B" w:rsidRPr="00274631" w:rsidRDefault="00B81F1B" w:rsidP="00274631">
      <w:pPr>
        <w:pStyle w:val="Prrafodelista"/>
        <w:numPr>
          <w:ilvl w:val="0"/>
          <w:numId w:val="2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Formular recomendaciones y propuestas tendentes a mejorar los indicadores y sistemas de información relacionados con la violencia de género.</w:t>
      </w:r>
    </w:p>
    <w:p w:rsidR="00B81F1B" w:rsidRPr="00274631" w:rsidRDefault="00B81F1B" w:rsidP="00274631">
      <w:pPr>
        <w:pStyle w:val="Prrafodelista"/>
        <w:numPr>
          <w:ilvl w:val="0"/>
          <w:numId w:val="2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Evaluar el impacto de las políticas y medidas que se desarrollen con el fin de erradicar la violencia de género y paliar sus efectos.</w:t>
      </w:r>
    </w:p>
    <w:p w:rsidR="00B81F1B" w:rsidRPr="00274631" w:rsidRDefault="00B81F1B" w:rsidP="00274631">
      <w:pPr>
        <w:pStyle w:val="Prrafodelista"/>
        <w:numPr>
          <w:ilvl w:val="0"/>
          <w:numId w:val="2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Elaborar informes y estudios sobre la violencia de género, con el fin de conseguir un diagnóstico lo más preciso posible sobre este fenómeno social.</w:t>
      </w:r>
    </w:p>
    <w:p w:rsidR="00B81F1B" w:rsidRPr="00274631" w:rsidRDefault="00B81F1B" w:rsidP="00274631">
      <w:pPr>
        <w:pStyle w:val="Prrafodelista"/>
        <w:numPr>
          <w:ilvl w:val="0"/>
          <w:numId w:val="2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Participar y mantener relaciones con instituciones internacionales similares, sin perjuicio de las competencias de la Secretaria General Técnica del Ministerio de Trabajo y Asuntos Sociales.</w:t>
      </w:r>
    </w:p>
    <w:p w:rsidR="00B81F1B" w:rsidRPr="00274631" w:rsidRDefault="00B81F1B" w:rsidP="00274631">
      <w:pPr>
        <w:pStyle w:val="Prrafodelista"/>
        <w:numPr>
          <w:ilvl w:val="0"/>
          <w:numId w:val="27"/>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Realizar cuentas actuaciones le sean encomendadas para el mejor cumplimiento de sus fines.</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Observatorio Estatal de Violencia sobre la Mujer tendrá una composición, en la que se velará por la paridad entre hombres y mujeres, y que está compuesta por:</w:t>
      </w:r>
    </w:p>
    <w:p w:rsidR="00B81F1B" w:rsidRPr="00274631" w:rsidRDefault="00B81F1B" w:rsidP="00274631">
      <w:pPr>
        <w:pStyle w:val="Prrafodelista"/>
        <w:numPr>
          <w:ilvl w:val="0"/>
          <w:numId w:val="2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Presidencia</w:t>
      </w:r>
    </w:p>
    <w:p w:rsidR="00B81F1B" w:rsidRPr="00274631" w:rsidRDefault="00B81F1B" w:rsidP="00274631">
      <w:pPr>
        <w:pStyle w:val="Prrafodelista"/>
        <w:numPr>
          <w:ilvl w:val="0"/>
          <w:numId w:val="2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Vicepresidencia Primera</w:t>
      </w:r>
    </w:p>
    <w:p w:rsidR="00B81F1B" w:rsidRPr="00274631" w:rsidRDefault="00B81F1B" w:rsidP="00274631">
      <w:pPr>
        <w:pStyle w:val="Prrafodelista"/>
        <w:numPr>
          <w:ilvl w:val="0"/>
          <w:numId w:val="2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Vicepresidencia Segunda</w:t>
      </w:r>
    </w:p>
    <w:p w:rsidR="00B81F1B" w:rsidRPr="00274631" w:rsidRDefault="00B81F1B" w:rsidP="00274631">
      <w:pPr>
        <w:pStyle w:val="Prrafodelista"/>
        <w:numPr>
          <w:ilvl w:val="0"/>
          <w:numId w:val="2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Doce vocales en representación de la Administración pública</w:t>
      </w:r>
    </w:p>
    <w:p w:rsidR="00B81F1B" w:rsidRPr="00274631" w:rsidRDefault="00B81F1B" w:rsidP="00274631">
      <w:pPr>
        <w:pStyle w:val="Prrafodelista"/>
        <w:numPr>
          <w:ilvl w:val="0"/>
          <w:numId w:val="2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Una persona que representa a la Federación Española de Municipios y Provincias</w:t>
      </w:r>
    </w:p>
    <w:p w:rsidR="00B81F1B" w:rsidRPr="00274631" w:rsidRDefault="00B81F1B" w:rsidP="00274631">
      <w:pPr>
        <w:pStyle w:val="Prrafodelista"/>
        <w:numPr>
          <w:ilvl w:val="0"/>
          <w:numId w:val="2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La persona titular del cargo de Fiscal de Sala Delegado contra la Violencia sobre la mujer.</w:t>
      </w:r>
    </w:p>
    <w:p w:rsidR="00B81F1B" w:rsidRPr="00274631" w:rsidRDefault="00B81F1B" w:rsidP="00274631">
      <w:pPr>
        <w:pStyle w:val="Prrafodelista"/>
        <w:numPr>
          <w:ilvl w:val="0"/>
          <w:numId w:val="2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Una persona que representará al Consejo General del Poder Judicial</w:t>
      </w:r>
    </w:p>
    <w:p w:rsidR="00B81F1B" w:rsidRPr="00274631" w:rsidRDefault="00B81F1B" w:rsidP="00274631">
      <w:pPr>
        <w:pStyle w:val="Prrafodelista"/>
        <w:numPr>
          <w:ilvl w:val="0"/>
          <w:numId w:val="2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Trece vocales en representación de los agentes sociales, organizaciones y asociaciones cívicas.</w:t>
      </w:r>
    </w:p>
    <w:p w:rsidR="00B81F1B" w:rsidRPr="00274631" w:rsidRDefault="00B81F1B" w:rsidP="00274631">
      <w:pPr>
        <w:pStyle w:val="Prrafodelista"/>
        <w:numPr>
          <w:ilvl w:val="0"/>
          <w:numId w:val="28"/>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Dos personas expertas en materia de Violencia de Género.</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mandato de las personas que componen el Observatorio que no participen en el mismo en razón del cargo que desempeñan tendrá una duración de 4 años, pudiendo ser renovados.</w:t>
      </w:r>
    </w:p>
    <w:p w:rsidR="00B81F1B" w:rsidRPr="00274631" w:rsidRDefault="00B81F1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pleno lo formarán todas las personas antes mencionadas en la composición, y se reunirá en sesión ordinaria al menos dos veces al año, mientras que la comisión permanente la formarán la presidencia, una vicepresidencia, 14 vocales y una secretaría.</w:t>
      </w:r>
    </w:p>
    <w:p w:rsidR="00B81F1B" w:rsidRPr="00274631" w:rsidRDefault="00757E44" w:rsidP="00274631">
      <w:pPr>
        <w:pStyle w:val="Prrafodelista"/>
        <w:numPr>
          <w:ilvl w:val="0"/>
          <w:numId w:val="3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Ley Orgánica 3/2007, de 22 de Marzo, para la igualdad efectiva de mujeres y hombres.</w:t>
      </w:r>
    </w:p>
    <w:p w:rsidR="00757E44" w:rsidRPr="00274631" w:rsidRDefault="00757E44" w:rsidP="00274631">
      <w:pPr>
        <w:pStyle w:val="Prrafodelista"/>
        <w:spacing w:line="360" w:lineRule="auto"/>
        <w:ind w:left="360"/>
        <w:jc w:val="both"/>
        <w:rPr>
          <w:rFonts w:ascii="Times New Roman" w:hAnsi="Times New Roman" w:cs="Times New Roman"/>
          <w:sz w:val="24"/>
          <w:szCs w:val="24"/>
        </w:rPr>
      </w:pPr>
    </w:p>
    <w:p w:rsidR="00757E44" w:rsidRPr="00274631" w:rsidRDefault="00757E44" w:rsidP="00274631">
      <w:pPr>
        <w:pStyle w:val="Prrafodelista"/>
        <w:numPr>
          <w:ilvl w:val="1"/>
          <w:numId w:val="3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Introducción</w:t>
      </w:r>
    </w:p>
    <w:p w:rsidR="00B81F1B"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Fue publicada en el BOE el 23/03/2007 y su entrada en vigor se produce un día después de su publicación. Se compone de 78 artículos, distribuidos en un título preliminar y 8 títulos aparte:</w:t>
      </w:r>
    </w:p>
    <w:p w:rsidR="00757E44" w:rsidRPr="00274631" w:rsidRDefault="00757E44" w:rsidP="00274631">
      <w:pPr>
        <w:pStyle w:val="Prrafodelista"/>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Título Preliminar: “Objeto y ámbito de la ley”</w:t>
      </w:r>
    </w:p>
    <w:p w:rsidR="00757E44" w:rsidRPr="00274631" w:rsidRDefault="00757E44" w:rsidP="00274631">
      <w:pPr>
        <w:pStyle w:val="Prrafodelista"/>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Título I: “El principio de igualdad y la tutela contra la discriminación”</w:t>
      </w:r>
    </w:p>
    <w:p w:rsidR="00757E44" w:rsidRPr="00274631" w:rsidRDefault="00757E44" w:rsidP="00274631">
      <w:pPr>
        <w:pStyle w:val="Prrafodelista"/>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Título II: “Políticas públicas para la igualdad”</w:t>
      </w:r>
    </w:p>
    <w:p w:rsidR="00757E44" w:rsidRPr="00274631" w:rsidRDefault="00757E44" w:rsidP="00274631">
      <w:pPr>
        <w:pStyle w:val="Prrafodelista"/>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Título III: “Igualdad y medios de comunicación”</w:t>
      </w:r>
    </w:p>
    <w:p w:rsidR="00757E44" w:rsidRPr="00274631" w:rsidRDefault="00757E44" w:rsidP="00274631">
      <w:pPr>
        <w:pStyle w:val="Prrafodelista"/>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Título IV: “El derecho al trabajo en igualdad en el empleo público”</w:t>
      </w:r>
    </w:p>
    <w:p w:rsidR="00757E44" w:rsidRPr="00274631" w:rsidRDefault="00757E44" w:rsidP="00274631">
      <w:pPr>
        <w:pStyle w:val="Prrafodelista"/>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Título V: “El principio de igualdad en el empleo público”</w:t>
      </w:r>
    </w:p>
    <w:p w:rsidR="00757E44" w:rsidRPr="00274631" w:rsidRDefault="00757E44" w:rsidP="00274631">
      <w:pPr>
        <w:pStyle w:val="Prrafodelista"/>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Título VI: “Igualdad de trato en el acceso a bienes y servicios y su suministro”</w:t>
      </w:r>
    </w:p>
    <w:p w:rsidR="00757E44" w:rsidRPr="00274631" w:rsidRDefault="00757E44" w:rsidP="00274631">
      <w:pPr>
        <w:pStyle w:val="Prrafodelista"/>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Título VII: “La igualdad en la responsabilidad social de las empresas”</w:t>
      </w:r>
    </w:p>
    <w:p w:rsidR="00757E44" w:rsidRPr="00274631" w:rsidRDefault="00757E44" w:rsidP="00274631">
      <w:pPr>
        <w:pStyle w:val="Prrafodelista"/>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Título VIII: “Disposiciones organizativas”</w:t>
      </w:r>
    </w:p>
    <w:p w:rsidR="00757E44" w:rsidRPr="00274631" w:rsidRDefault="00757E44" w:rsidP="00274631">
      <w:pPr>
        <w:spacing w:line="360" w:lineRule="auto"/>
        <w:jc w:val="both"/>
        <w:rPr>
          <w:rFonts w:ascii="Times New Roman" w:hAnsi="Times New Roman" w:cs="Times New Roman"/>
          <w:i/>
          <w:sz w:val="24"/>
          <w:szCs w:val="24"/>
        </w:rPr>
      </w:pPr>
      <w:r w:rsidRPr="00274631">
        <w:rPr>
          <w:rFonts w:ascii="Times New Roman" w:hAnsi="Times New Roman" w:cs="Times New Roman"/>
          <w:sz w:val="24"/>
          <w:szCs w:val="24"/>
        </w:rPr>
        <w:t>El objeto de esta ley viene redactado en su artículo primero, donde extrayendo una parte, dice así: “</w:t>
      </w:r>
      <w:r w:rsidRPr="00274631">
        <w:rPr>
          <w:rFonts w:ascii="Times New Roman" w:hAnsi="Times New Roman" w:cs="Times New Roman"/>
          <w:i/>
          <w:sz w:val="24"/>
          <w:szCs w:val="24"/>
        </w:rPr>
        <w:t>Las mujeres y los hombres son iguales en dignidad humana, e iguales en derecho y deberes. Esta ley tiene por objeto hacer efectivo el derecho de igualdad de trato y de oportunidades entre mujeres y hombres, en particular mediante la eliminación de la discriminación de la mujer”</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 xml:space="preserve">El ámbito de aplicación, como debe suponerse, abarca a todas las personas, pues todas deben gozar de los derechos derivados del principio de igualdad de trato y de la prohibición de discriminación por razón de sexo. Por tanto, las obligaciones impuestas en </w:t>
      </w:r>
      <w:proofErr w:type="gramStart"/>
      <w:r w:rsidRPr="00274631">
        <w:rPr>
          <w:rFonts w:ascii="Times New Roman" w:hAnsi="Times New Roman" w:cs="Times New Roman"/>
          <w:sz w:val="24"/>
          <w:szCs w:val="24"/>
        </w:rPr>
        <w:t>estas ley</w:t>
      </w:r>
      <w:proofErr w:type="gramEnd"/>
      <w:r w:rsidRPr="00274631">
        <w:rPr>
          <w:rFonts w:ascii="Times New Roman" w:hAnsi="Times New Roman" w:cs="Times New Roman"/>
          <w:sz w:val="24"/>
          <w:szCs w:val="24"/>
        </w:rPr>
        <w:t xml:space="preserve"> también deben ser cumplidas por todas ellas, siempre y cuando se encuentren en territorio español sea cual sea su nacionalidad, o donde esté ubicado su residencia o domicilio.</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Principio de igualdad de trato entre mujeres y hombres supone la ausencia de toda discriminación, ya sea de forma directa o indirecta, por razón de sexo, y de manera especial las derivadas de la maternidad, la asunción de obligaciones familiares y el estado civil que posean.</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igualdad de trato al igual que la igualdad de oportunidades entre mujeres y hombres es un principio informador del ordenamiento jurídico y, como tal, se integrará y observará en la interpretación y aplicación de las normas jurídicas.</w:t>
      </w:r>
    </w:p>
    <w:p w:rsidR="00757E44" w:rsidRPr="00274631" w:rsidRDefault="00757E44" w:rsidP="00274631">
      <w:pPr>
        <w:pStyle w:val="Prrafodelista"/>
        <w:numPr>
          <w:ilvl w:val="1"/>
          <w:numId w:val="3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Discriminación directa e indirecta</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Entendemos por discriminación directa por razón de sexo la situación en que se encuentra una persona que sea, haya sido o que pudiera ser tratada, en atención a su sexo, de manera menos favorable que otra en situación comparable. Así es como calificamos a todo trato desfavorable que se produce hacia las mujeres embarazadas o que han sido madres recientemente.</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Mientras que la discriminación indirecta por razón de sexo se puede considerar a cualquier situación en que una disposición, criterio o práctica aparentemente neutros pone a personas de un sexo en desventaja particular con respecto a personas del otro, excepto que puedan justificarse mediante una finalidad legítima.</w:t>
      </w:r>
    </w:p>
    <w:p w:rsidR="00757E44" w:rsidRPr="00274631" w:rsidRDefault="00757E44" w:rsidP="00274631">
      <w:pPr>
        <w:pStyle w:val="Prrafodelista"/>
        <w:numPr>
          <w:ilvl w:val="1"/>
          <w:numId w:val="3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Acoso sexual y acoso por razón de sexo</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Sin perjuicio de lo que se establece en el Código Penal, a efectos de esta ley constituye acoso sexual cualquier comportamiento, verbal o físico, de naturaleza sexual que tena el propósito o produzca el efecto de atentar contra la dignidad de una persona, en particular cuando se crean un entorno intimidatorio, degradante u ofensivo.</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Constituye acoso por razón de sexo cualquiera de los comportamientos realizados en función del sexo de una persona, con el serio propósito o el efecto de atentar contra su dignidad y de crear un entorno intimidatorio, degradante u ofensivo. </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Los actos y cláusulas de cualquier negocio jurídico que constituyan discriminación por razón de sexo son considerados nulos y sin efecto.</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Cualquier persona podrá recabar de los tribunales la tutela del derecho a la igualdad entre mujeres y hombres, de acuerdo con lo establecido en el artículo 53.2 de la Constitución Española, incluso tras la terminación de la relación en la que supuestamente se ha producido la discriminación. La persona acosada será la única legitimada en los litigios sobre acoso sexual y acoso por razón de sexo.</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 acuerdo con las leyes procesales, en aquellos procedimientos en los que las alegaciones de la parte actora se fundamenten en actuaciones discriminatorias, por razón de sexo, corresponderá a la persona demandada probar la ausencia de discriminación en las medidas adoptadas.</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A estos efectos, el órgano judicial, a instancia de parte, podrá recabar, si lo estimase útil y pertinente, informe o dictamen de los organismos públicos competentes. Esto no se aplicará en los procesos penales.</w:t>
      </w:r>
    </w:p>
    <w:p w:rsidR="00757E44" w:rsidRPr="00274631" w:rsidRDefault="00757E44" w:rsidP="00274631">
      <w:pPr>
        <w:pStyle w:val="Prrafodelista"/>
        <w:numPr>
          <w:ilvl w:val="1"/>
          <w:numId w:val="3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 Políticas públicas para la igualdad</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Como consecuencia de esta ley, y con fines a ella, serán criterios generales de actuación de los poderes públicos:</w:t>
      </w:r>
    </w:p>
    <w:p w:rsidR="00757E44" w:rsidRPr="00274631" w:rsidRDefault="00757E44" w:rsidP="00274631">
      <w:pPr>
        <w:pStyle w:val="Prrafodelista"/>
        <w:numPr>
          <w:ilvl w:val="0"/>
          <w:numId w:val="3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compromiso con la efectividad del derecho constitucional de igualdad entre mujeres y hombres</w:t>
      </w:r>
    </w:p>
    <w:p w:rsidR="00757E44" w:rsidRPr="00274631" w:rsidRDefault="00757E44" w:rsidP="00274631">
      <w:pPr>
        <w:pStyle w:val="Prrafodelista"/>
        <w:numPr>
          <w:ilvl w:val="0"/>
          <w:numId w:val="3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colaboración y cooperación entre las distintas administraciones pública en la aplicación del principio de igualdad de trato y de oportunidades</w:t>
      </w:r>
    </w:p>
    <w:p w:rsidR="00757E44" w:rsidRPr="00274631" w:rsidRDefault="00757E44" w:rsidP="00274631">
      <w:pPr>
        <w:pStyle w:val="Prrafodelista"/>
        <w:numPr>
          <w:ilvl w:val="0"/>
          <w:numId w:val="3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participación equilibrada de mujeres y hombres de las candidaturas electorales y en la toma de decisiones.</w:t>
      </w:r>
    </w:p>
    <w:p w:rsidR="00757E44" w:rsidRPr="00274631" w:rsidRDefault="00757E44" w:rsidP="00274631">
      <w:pPr>
        <w:pStyle w:val="Prrafodelista"/>
        <w:numPr>
          <w:ilvl w:val="0"/>
          <w:numId w:val="3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adopción de las medidas necesarias para la erradicación de la violencia de género, la violencia familiar y todas las formas de acoso sexual y acoso por razón de sexo.</w:t>
      </w:r>
    </w:p>
    <w:p w:rsidR="00757E44" w:rsidRPr="00274631" w:rsidRDefault="00757E44" w:rsidP="00274631">
      <w:pPr>
        <w:pStyle w:val="Prrafodelista"/>
        <w:numPr>
          <w:ilvl w:val="0"/>
          <w:numId w:val="3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protección de la maternidad, con especial atención a la asunción por la sociedad de los efectos derivado del embarazo, parto y lactancia.</w:t>
      </w:r>
    </w:p>
    <w:p w:rsidR="00757E44" w:rsidRPr="00274631" w:rsidRDefault="00757E44" w:rsidP="00274631">
      <w:pPr>
        <w:pStyle w:val="Prrafodelista"/>
        <w:numPr>
          <w:ilvl w:val="0"/>
          <w:numId w:val="3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fomento de la efectividad del principio de igualdad entre mujeres y hombres en las relaciones entre particulares.</w:t>
      </w:r>
    </w:p>
    <w:p w:rsidR="00757E44" w:rsidRPr="00274631" w:rsidRDefault="00757E44" w:rsidP="00274631">
      <w:pPr>
        <w:pStyle w:val="Prrafodelista"/>
        <w:numPr>
          <w:ilvl w:val="0"/>
          <w:numId w:val="3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El fomento de instrumentos de colaboración entre las distintas administraciones públicas y los agentes sociales, las asociaciones de mujeres y las restantes entidades privadas.</w:t>
      </w:r>
    </w:p>
    <w:p w:rsidR="00757E44" w:rsidRPr="00274631" w:rsidRDefault="00757E44" w:rsidP="00274631">
      <w:pPr>
        <w:pStyle w:val="Prrafodelista"/>
        <w:numPr>
          <w:ilvl w:val="0"/>
          <w:numId w:val="31"/>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El Gobierno elaborará un informe periódico sobre el conjunto de sus actuaciones en relación con la efectividad del principio de igualdad entre hombres y mujeres, De este informe se dará cuenta a las Cortes Generales.</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Además, al objeto de hacer efectivas la disposiciones contenidas en esta ley y que se garantice la integración de modo efectivo de la perspectiva de género en su actividad ordinaria, los poderes públicos deberán a la hora de elaborar sus estudios una serie de directrices, como por ejemplo la de incluir sistemáticamente la variable de sexo en las estadísticas, encuestas y recogida de datos que pueda llevar a cabo o realizar muestras lo suficientemente amplias para que las diversas variables incluidas puedan ser explotadas y analizadas en función de la variable de sexo.</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Administración General del Estado así como las administraciones de las comunidades autónomas cooperarán para integrar el derecho de igualdad entre mujeres y hombres en el ejercicio de sus competencias.</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Las entidades locales integrarán el derecho de igualdad en el ejercicio de sus competencias y colaborarán, a tal efecto, con el resto de las administraciones públicas. Así igual, el sistema educativo incluirá entre sus fines la educación en el respeto de los derechos y libertades fundamentales.</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Para ello las administraciones educativas desarrollarán algunas de las siguientes actuaciones: </w:t>
      </w:r>
    </w:p>
    <w:p w:rsidR="00757E44" w:rsidRPr="00274631" w:rsidRDefault="00757E44" w:rsidP="00274631">
      <w:pPr>
        <w:pStyle w:val="Prrafodelista"/>
        <w:numPr>
          <w:ilvl w:val="0"/>
          <w:numId w:val="32"/>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eliminación y el rechazo de los comportamientos sexistas y estereotipos que supongan discriminación entre hombres y mujeres.</w:t>
      </w:r>
    </w:p>
    <w:p w:rsidR="00757E44" w:rsidRPr="00274631" w:rsidRDefault="00757E44" w:rsidP="00274631">
      <w:pPr>
        <w:pStyle w:val="Prrafodelista"/>
        <w:numPr>
          <w:ilvl w:val="0"/>
          <w:numId w:val="32"/>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La promoción de la presencia equilibrada de mujeres y hombres en los órganos de control y de gobierno de los centros docentes</w:t>
      </w:r>
    </w:p>
    <w:p w:rsidR="00757E44" w:rsidRPr="00274631" w:rsidRDefault="00757E44" w:rsidP="00274631">
      <w:pPr>
        <w:pStyle w:val="Prrafodelista"/>
        <w:numPr>
          <w:ilvl w:val="0"/>
          <w:numId w:val="32"/>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El establecimiento de medidas educativas destinadas al reconocimiento y enseñanza del papel de </w:t>
      </w:r>
      <w:proofErr w:type="gramStart"/>
      <w:r w:rsidRPr="00274631">
        <w:rPr>
          <w:rFonts w:ascii="Times New Roman" w:hAnsi="Times New Roman" w:cs="Times New Roman"/>
          <w:sz w:val="24"/>
          <w:szCs w:val="24"/>
        </w:rPr>
        <w:t>la mujeres</w:t>
      </w:r>
      <w:proofErr w:type="gramEnd"/>
      <w:r w:rsidRPr="00274631">
        <w:rPr>
          <w:rFonts w:ascii="Times New Roman" w:hAnsi="Times New Roman" w:cs="Times New Roman"/>
          <w:sz w:val="24"/>
          <w:szCs w:val="24"/>
        </w:rPr>
        <w:t xml:space="preserve"> en la historia.</w:t>
      </w:r>
    </w:p>
    <w:p w:rsidR="00757E44" w:rsidRPr="00274631" w:rsidRDefault="00757E44"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En cuanto al tema deportivo, los programas públicos de desarrollo del deporte incorporarán la efectiva consideración del principio de igualdad real y efectiva entre hombre y mujeres en su diseño y su ejecución</w:t>
      </w:r>
    </w:p>
    <w:p w:rsidR="00757E44" w:rsidRPr="00274631" w:rsidRDefault="00147F97" w:rsidP="00274631">
      <w:pPr>
        <w:pStyle w:val="Prrafodelista"/>
        <w:numPr>
          <w:ilvl w:val="0"/>
          <w:numId w:val="3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 xml:space="preserve">Resumen y opinión </w:t>
      </w:r>
    </w:p>
    <w:p w:rsidR="00147F97" w:rsidRPr="00274631" w:rsidRDefault="00147F9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Mi idea principal a la hora de elaborar este Trabajo Fin de Grado sobre Igualdad y no discriminación, fue la de comenzar con una muy breve exposición de la idea de igualdad, así como su clasificación dentro de los derechos humanos, para sobresaltar la importancia de este derecho, y una vez comentados los derechos humanos, profundizar un poco en los ámbitos más globales de estos, como son el comunitario y el europeo.</w:t>
      </w:r>
    </w:p>
    <w:p w:rsidR="00147F97" w:rsidRPr="00274631" w:rsidRDefault="00147F9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Una vez visto el concepto de derecho y no discriminación y el trato que se le da en ámbitos supranacionales, he querido profundizar en un tema que a mí me gusta, como es el de la igualdad entre la mujer y el hombre, pero no sin antes al menos, explicar de forma breve, los más notorios casos de discriminación, como pueden ser la discriminación por nacionalidad, por creencia, raza o color y por poseer una lengua distinta. Una vez explicados de unas formas esquemáticas todos, con sus conceptos, fundamentos y demás temática que he podido recopilar de ambos ya si he profundizado en la igualdad entre sexos.</w:t>
      </w:r>
    </w:p>
    <w:p w:rsidR="00147F97" w:rsidRPr="00274631" w:rsidRDefault="00147F9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Me he basado en la evolución de la igualdad entre el hombre y la mujer a través del estudio de la legislación y los pequeños avances que se han ido dando con cada nueva ley, directiva, resolución etc... </w:t>
      </w:r>
      <w:proofErr w:type="gramStart"/>
      <w:r w:rsidRPr="00274631">
        <w:rPr>
          <w:rFonts w:ascii="Times New Roman" w:hAnsi="Times New Roman" w:cs="Times New Roman"/>
          <w:sz w:val="24"/>
          <w:szCs w:val="24"/>
        </w:rPr>
        <w:t>que</w:t>
      </w:r>
      <w:proofErr w:type="gramEnd"/>
      <w:r w:rsidRPr="00274631">
        <w:rPr>
          <w:rFonts w:ascii="Times New Roman" w:hAnsi="Times New Roman" w:cs="Times New Roman"/>
          <w:sz w:val="24"/>
          <w:szCs w:val="24"/>
        </w:rPr>
        <w:t xml:space="preserve"> iba naciendo. </w:t>
      </w:r>
    </w:p>
    <w:p w:rsidR="00147F97" w:rsidRPr="00274631" w:rsidRDefault="00147F9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He analizado las diferencias que existen en casos tan particulares como puede ser el </w:t>
      </w:r>
      <w:proofErr w:type="spellStart"/>
      <w:r w:rsidRPr="00274631">
        <w:rPr>
          <w:rFonts w:ascii="Times New Roman" w:hAnsi="Times New Roman" w:cs="Times New Roman"/>
          <w:sz w:val="24"/>
          <w:szCs w:val="24"/>
        </w:rPr>
        <w:t>d</w:t>
      </w:r>
      <w:r w:rsidR="00CC1F6D" w:rsidRPr="00274631">
        <w:rPr>
          <w:rFonts w:ascii="Times New Roman" w:hAnsi="Times New Roman" w:cs="Times New Roman"/>
          <w:sz w:val="24"/>
          <w:szCs w:val="24"/>
        </w:rPr>
        <w:t xml:space="preserve"> </w:t>
      </w:r>
      <w:r w:rsidRPr="00274631">
        <w:rPr>
          <w:rFonts w:ascii="Times New Roman" w:hAnsi="Times New Roman" w:cs="Times New Roman"/>
          <w:sz w:val="24"/>
          <w:szCs w:val="24"/>
        </w:rPr>
        <w:t>e</w:t>
      </w:r>
      <w:proofErr w:type="spellEnd"/>
      <w:r w:rsidRPr="00274631">
        <w:rPr>
          <w:rFonts w:ascii="Times New Roman" w:hAnsi="Times New Roman" w:cs="Times New Roman"/>
          <w:sz w:val="24"/>
          <w:szCs w:val="24"/>
        </w:rPr>
        <w:t xml:space="preserve"> baja por maternidad, paternidad, adopción, donde la diferencias entre el ho</w:t>
      </w:r>
      <w:r w:rsidR="00301E30" w:rsidRPr="00274631">
        <w:rPr>
          <w:rFonts w:ascii="Times New Roman" w:hAnsi="Times New Roman" w:cs="Times New Roman"/>
          <w:sz w:val="24"/>
          <w:szCs w:val="24"/>
        </w:rPr>
        <w:t>mbre y la mujer son evidentes. Y por último he querido mostrar la situación de la ley actual, los propósitos que se marcan para un futuro y las ideas a llevar a cabo para seguir avanzando y poder lograr la verdadera igualdad entre hombres y mujeres, ya que debido al estudio realizado y a mis experiencias personales, mi opinión es que a día de hoy no se ha conseguido tal igualdad.</w:t>
      </w:r>
    </w:p>
    <w:p w:rsidR="00301E30" w:rsidRPr="00274631" w:rsidRDefault="00301E30"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Siguen existiendo casos claros de machismo en nuestra sociedad, conductas de las mujeres mal vistas por el hecho de ser mujeres, o conductas reprochables por parte de hombres que se ven como normales en la actualidad. </w:t>
      </w:r>
    </w:p>
    <w:p w:rsidR="00A26257" w:rsidRPr="00274631" w:rsidRDefault="00A26257" w:rsidP="00274631">
      <w:pPr>
        <w:spacing w:line="360" w:lineRule="auto"/>
        <w:jc w:val="both"/>
        <w:rPr>
          <w:rFonts w:ascii="Times New Roman" w:hAnsi="Times New Roman" w:cs="Times New Roman"/>
          <w:i/>
          <w:sz w:val="24"/>
          <w:szCs w:val="24"/>
        </w:rPr>
      </w:pPr>
      <w:r w:rsidRPr="00274631">
        <w:rPr>
          <w:rFonts w:ascii="Times New Roman" w:hAnsi="Times New Roman" w:cs="Times New Roman"/>
          <w:sz w:val="24"/>
          <w:szCs w:val="24"/>
        </w:rPr>
        <w:t>Sin olvidar, la famosas discriminación positiva, en la cual comparto opinión con la siguiente cita de Caldito Aunión, Carlos Aurelio: “</w:t>
      </w:r>
      <w:r w:rsidRPr="00274631">
        <w:rPr>
          <w:rFonts w:ascii="Times New Roman" w:hAnsi="Times New Roman" w:cs="Times New Roman"/>
          <w:i/>
          <w:sz w:val="24"/>
          <w:szCs w:val="24"/>
        </w:rPr>
        <w:t>Calificar de positivo lo que cualquier diccionario define como negativo, tiene como fin evitar el rechazo de las personas educadas, aparte de darle un barniz de ética al asunto. Aunque sus partidarios no oculten que aunque positiva sigue siendo discriminación (en español lo correcto sería denominarlo “trato preferente o trato a favor”</w:t>
      </w:r>
      <w:r w:rsidR="0026571E" w:rsidRPr="00274631">
        <w:rPr>
          <w:rFonts w:ascii="Times New Roman" w:hAnsi="Times New Roman" w:cs="Times New Roman"/>
          <w:i/>
          <w:sz w:val="24"/>
          <w:szCs w:val="24"/>
        </w:rPr>
        <w:t xml:space="preserve">) su intención no es otra que la de convencernos de que el fin justifica los </w:t>
      </w:r>
      <w:r w:rsidR="0026571E" w:rsidRPr="00274631">
        <w:rPr>
          <w:rFonts w:ascii="Times New Roman" w:hAnsi="Times New Roman" w:cs="Times New Roman"/>
          <w:i/>
          <w:sz w:val="24"/>
          <w:szCs w:val="24"/>
        </w:rPr>
        <w:lastRenderedPageBreak/>
        <w:t>medios, pues se trata de saldar una deuda con gente desfavorecida, maltratada, discriminada, y de que… para tan noble causa es legítimo perjudicar a otros individuos”.</w:t>
      </w:r>
      <w:r w:rsidR="0026571E" w:rsidRPr="00274631">
        <w:rPr>
          <w:rStyle w:val="Refdenotaalpie"/>
          <w:rFonts w:ascii="Times New Roman" w:hAnsi="Times New Roman" w:cs="Times New Roman"/>
          <w:i/>
          <w:sz w:val="24"/>
          <w:szCs w:val="24"/>
        </w:rPr>
        <w:footnoteReference w:id="3"/>
      </w:r>
    </w:p>
    <w:p w:rsidR="00757E44" w:rsidRPr="00274631" w:rsidRDefault="00757E44" w:rsidP="00274631">
      <w:pPr>
        <w:spacing w:line="360" w:lineRule="auto"/>
        <w:jc w:val="both"/>
        <w:rPr>
          <w:rFonts w:ascii="Times New Roman" w:hAnsi="Times New Roman" w:cs="Times New Roman"/>
          <w:sz w:val="24"/>
          <w:szCs w:val="24"/>
        </w:rPr>
      </w:pPr>
    </w:p>
    <w:p w:rsidR="00757E44" w:rsidRPr="00274631" w:rsidRDefault="00757E44" w:rsidP="00274631">
      <w:pPr>
        <w:spacing w:line="360" w:lineRule="auto"/>
        <w:jc w:val="both"/>
        <w:rPr>
          <w:rFonts w:ascii="Times New Roman" w:hAnsi="Times New Roman" w:cs="Times New Roman"/>
          <w:sz w:val="24"/>
          <w:szCs w:val="24"/>
        </w:rPr>
      </w:pPr>
    </w:p>
    <w:p w:rsidR="00B81F1B" w:rsidRPr="00274631" w:rsidRDefault="00B81F1B"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26571E" w:rsidRPr="00274631" w:rsidRDefault="0026571E" w:rsidP="00274631">
      <w:pPr>
        <w:spacing w:line="360" w:lineRule="auto"/>
        <w:jc w:val="both"/>
        <w:rPr>
          <w:rFonts w:ascii="Times New Roman" w:hAnsi="Times New Roman" w:cs="Times New Roman"/>
          <w:sz w:val="24"/>
          <w:szCs w:val="24"/>
        </w:rPr>
      </w:pPr>
    </w:p>
    <w:p w:rsidR="00B81F1B" w:rsidRPr="00274631" w:rsidRDefault="00B81F1B" w:rsidP="00274631">
      <w:pPr>
        <w:spacing w:line="360" w:lineRule="auto"/>
        <w:jc w:val="both"/>
        <w:rPr>
          <w:rFonts w:ascii="Times New Roman" w:hAnsi="Times New Roman" w:cs="Times New Roman"/>
          <w:sz w:val="24"/>
          <w:szCs w:val="24"/>
        </w:rPr>
      </w:pPr>
    </w:p>
    <w:p w:rsidR="00FF04EE" w:rsidRPr="00274631" w:rsidRDefault="00301E30" w:rsidP="00274631">
      <w:pPr>
        <w:pStyle w:val="Prrafodelista"/>
        <w:numPr>
          <w:ilvl w:val="0"/>
          <w:numId w:val="30"/>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Bibliografía</w:t>
      </w:r>
    </w:p>
    <w:p w:rsidR="00D01FFB" w:rsidRPr="00274631" w:rsidRDefault="00D01FFB" w:rsidP="00274631">
      <w:pPr>
        <w:pStyle w:val="Prrafodelista"/>
        <w:numPr>
          <w:ilvl w:val="0"/>
          <w:numId w:val="36"/>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Legislación:</w:t>
      </w:r>
    </w:p>
    <w:p w:rsidR="00A26257" w:rsidRPr="00274631" w:rsidRDefault="00A2625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Constitución Española</w:t>
      </w:r>
    </w:p>
    <w:p w:rsidR="00A26257" w:rsidRPr="00274631" w:rsidRDefault="00A2625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Código Civil </w:t>
      </w:r>
    </w:p>
    <w:p w:rsidR="00A26257" w:rsidRPr="00274631" w:rsidRDefault="00A2625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Código Penal</w:t>
      </w:r>
    </w:p>
    <w:p w:rsidR="00301E30" w:rsidRPr="00274631" w:rsidRDefault="00A2625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Declaración Universal de Derechos Humanos</w:t>
      </w:r>
    </w:p>
    <w:p w:rsidR="00A26257" w:rsidRPr="00274631" w:rsidRDefault="00A2625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Protocolo 11 de la Convención Europea de Derechos Humanos</w:t>
      </w:r>
    </w:p>
    <w:p w:rsidR="00CC1F6D" w:rsidRPr="00274631" w:rsidRDefault="00CC1F6D"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Directiva 75/117/CEE, de 10 de Febrero de 1975</w:t>
      </w:r>
    </w:p>
    <w:p w:rsidR="00CC1F6D" w:rsidRPr="00274631" w:rsidRDefault="00CC1F6D"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Directiva 76/207/CEE de 9 de Febrero de 1976</w:t>
      </w:r>
    </w:p>
    <w:p w:rsidR="00CC1F6D" w:rsidRPr="00274631" w:rsidRDefault="00CC1F6D"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Directiva 79/7/CEE de 19 de Diciembre de 1978</w:t>
      </w:r>
    </w:p>
    <w:p w:rsidR="00CC1F6D" w:rsidRPr="00274631" w:rsidRDefault="00CC1F6D"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Directiva 92/85/CEE, de 19 de Octubre de 1992</w:t>
      </w:r>
    </w:p>
    <w:p w:rsidR="00CC1F6D" w:rsidRPr="00274631" w:rsidRDefault="00CC1F6D"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Directiva 97/80/CE</w:t>
      </w:r>
    </w:p>
    <w:p w:rsidR="00CC1F6D" w:rsidRPr="00274631" w:rsidRDefault="00CC1F6D"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Directiva 97/81/CE de 15 de Diciembre de 1997</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Directiva 2006/54/CE de 5 de Julio de 2006</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Resolución del Consejo de 12 de Julio de 1982</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Resolución del Consejo de 24 de Julio de 1986</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Resolución del Consejo de 22 de Junio de 1994</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Recomendación 92/131/CEE de 27 de Noviembre de 1991</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Informe Anual 1997, de 13 de Mayo de 1998</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Real Decreto Legislativo 1/1995 de 24 de Marzo</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Real Decreto 3/2012, de 10 de Febrero</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Real Decreto 200/2012</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lastRenderedPageBreak/>
        <w:t xml:space="preserve">Real Decreto 253/2006 de 3 de Marzo </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LO 1/2004, de 28 de Diciembre, </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LO 15/2003</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LO 5/2010</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LO 3/2007 de 22 de Marzo para la Igualdad efectiva entre mujeres y hombres</w:t>
      </w:r>
    </w:p>
    <w:p w:rsidR="00D01FFB" w:rsidRPr="00274631" w:rsidRDefault="00D01FFB"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Ley 30/2005 de 17 de Septiembre</w:t>
      </w:r>
    </w:p>
    <w:p w:rsidR="00D01FFB" w:rsidRPr="00274631" w:rsidRDefault="00D01FFB" w:rsidP="00274631">
      <w:pPr>
        <w:spacing w:line="360" w:lineRule="auto"/>
        <w:jc w:val="both"/>
        <w:rPr>
          <w:rFonts w:ascii="Times New Roman" w:hAnsi="Times New Roman" w:cs="Times New Roman"/>
          <w:sz w:val="24"/>
          <w:szCs w:val="24"/>
        </w:rPr>
      </w:pPr>
    </w:p>
    <w:p w:rsidR="00D01FFB" w:rsidRPr="00274631" w:rsidRDefault="00D01FFB" w:rsidP="00274631">
      <w:pPr>
        <w:pStyle w:val="Prrafodelista"/>
        <w:numPr>
          <w:ilvl w:val="0"/>
          <w:numId w:val="35"/>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Material:</w:t>
      </w:r>
    </w:p>
    <w:p w:rsidR="00D01FFB" w:rsidRPr="00274631" w:rsidRDefault="00377BC9"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Cuesta López, Víctor. (2015) Estado de Derecho y discriminación por razón de género, orientación e identidad sexual. Thompson Reuters.</w:t>
      </w:r>
    </w:p>
    <w:p w:rsidR="00377BC9" w:rsidRPr="00274631" w:rsidRDefault="00377BC9"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P. Jiménez, Eduardo. (2013) Igualdad, no discriminación y discapacidad</w:t>
      </w:r>
    </w:p>
    <w:p w:rsidR="00377BC9" w:rsidRPr="00274631" w:rsidRDefault="00377BC9"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Tapia Ballesteros, Patricia (2012) La discriminación laboral.</w:t>
      </w:r>
    </w:p>
    <w:p w:rsidR="00377BC9" w:rsidRPr="00274631" w:rsidRDefault="00377BC9"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Ed. Popular (1993) Reflexión ética sobre el racismo y la xenofobia. </w:t>
      </w:r>
      <w:proofErr w:type="spellStart"/>
      <w:r w:rsidRPr="00274631">
        <w:rPr>
          <w:rFonts w:ascii="Times New Roman" w:hAnsi="Times New Roman" w:cs="Times New Roman"/>
          <w:sz w:val="24"/>
          <w:szCs w:val="24"/>
        </w:rPr>
        <w:t>Ed.Popular</w:t>
      </w:r>
      <w:proofErr w:type="spellEnd"/>
      <w:r w:rsidRPr="00274631">
        <w:rPr>
          <w:rFonts w:ascii="Times New Roman" w:hAnsi="Times New Roman" w:cs="Times New Roman"/>
          <w:sz w:val="24"/>
          <w:szCs w:val="24"/>
        </w:rPr>
        <w:t>.</w:t>
      </w:r>
    </w:p>
    <w:p w:rsidR="00377BC9" w:rsidRPr="00274631" w:rsidRDefault="00377BC9" w:rsidP="00274631">
      <w:pPr>
        <w:pStyle w:val="Prrafodelista"/>
        <w:numPr>
          <w:ilvl w:val="0"/>
          <w:numId w:val="3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Citas:</w:t>
      </w:r>
    </w:p>
    <w:p w:rsidR="00377BC9" w:rsidRPr="00274631" w:rsidRDefault="00377BC9"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Caldito Aunión, Carlos Aurelio (2012) Discriminatoria discriminación positiva. Sociopolítica</w:t>
      </w:r>
    </w:p>
    <w:p w:rsidR="00377BC9" w:rsidRPr="00274631" w:rsidRDefault="00377BC9"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Nogueira Alcalá, Humberto (2006) El Derecho a la igualdad ante la ley, la no discriminación                    </w:t>
      </w:r>
      <w:r w:rsidR="00C41A2A" w:rsidRPr="00274631">
        <w:rPr>
          <w:rFonts w:ascii="Times New Roman" w:hAnsi="Times New Roman" w:cs="Times New Roman"/>
          <w:sz w:val="24"/>
          <w:szCs w:val="24"/>
        </w:rPr>
        <w:t xml:space="preserve">     </w:t>
      </w:r>
      <w:r w:rsidRPr="00274631">
        <w:rPr>
          <w:rFonts w:ascii="Times New Roman" w:hAnsi="Times New Roman" w:cs="Times New Roman"/>
          <w:sz w:val="24"/>
          <w:szCs w:val="24"/>
        </w:rPr>
        <w:t>y las acciones positivas</w:t>
      </w:r>
    </w:p>
    <w:p w:rsidR="00C41A2A" w:rsidRPr="00274631" w:rsidRDefault="00C41A2A"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Soberanes D</w:t>
      </w:r>
      <w:r w:rsidR="00274631">
        <w:rPr>
          <w:rFonts w:ascii="Times New Roman" w:hAnsi="Times New Roman" w:cs="Times New Roman"/>
          <w:sz w:val="24"/>
          <w:szCs w:val="24"/>
        </w:rPr>
        <w:t>íez, José</w:t>
      </w:r>
      <w:r w:rsidRPr="00274631">
        <w:rPr>
          <w:rFonts w:ascii="Times New Roman" w:hAnsi="Times New Roman" w:cs="Times New Roman"/>
          <w:sz w:val="24"/>
          <w:szCs w:val="24"/>
        </w:rPr>
        <w:t xml:space="preserve"> María (2011) La igualdad y la desigualdad jurídica, Porrúa, p 194.</w:t>
      </w:r>
    </w:p>
    <w:p w:rsidR="007B3C17" w:rsidRPr="00274631" w:rsidRDefault="007B3C17" w:rsidP="00274631">
      <w:pPr>
        <w:pStyle w:val="Prrafodelista"/>
        <w:numPr>
          <w:ilvl w:val="0"/>
          <w:numId w:val="34"/>
        </w:num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Jurisprudencia</w:t>
      </w:r>
      <w:r w:rsidR="00274631">
        <w:rPr>
          <w:rFonts w:ascii="Times New Roman" w:hAnsi="Times New Roman" w:cs="Times New Roman"/>
          <w:sz w:val="24"/>
          <w:szCs w:val="24"/>
        </w:rPr>
        <w:t>:</w:t>
      </w:r>
    </w:p>
    <w:p w:rsidR="007B3C17" w:rsidRPr="00274631" w:rsidRDefault="007B3C1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 xml:space="preserve">STEDH de 30 de Septiembre de 2003, caso </w:t>
      </w:r>
      <w:proofErr w:type="spellStart"/>
      <w:r w:rsidRPr="00274631">
        <w:rPr>
          <w:rFonts w:ascii="Times New Roman" w:hAnsi="Times New Roman" w:cs="Times New Roman"/>
          <w:sz w:val="24"/>
          <w:szCs w:val="24"/>
        </w:rPr>
        <w:t>Koua</w:t>
      </w:r>
      <w:proofErr w:type="spellEnd"/>
      <w:r w:rsidRPr="00274631">
        <w:rPr>
          <w:rFonts w:ascii="Times New Roman" w:hAnsi="Times New Roman" w:cs="Times New Roman"/>
          <w:sz w:val="24"/>
          <w:szCs w:val="24"/>
        </w:rPr>
        <w:t xml:space="preserve"> </w:t>
      </w:r>
      <w:proofErr w:type="spellStart"/>
      <w:r w:rsidRPr="00274631">
        <w:rPr>
          <w:rFonts w:ascii="Times New Roman" w:hAnsi="Times New Roman" w:cs="Times New Roman"/>
          <w:sz w:val="24"/>
          <w:szCs w:val="24"/>
        </w:rPr>
        <w:t>Poirrez</w:t>
      </w:r>
      <w:proofErr w:type="spellEnd"/>
      <w:r w:rsidRPr="00274631">
        <w:rPr>
          <w:rFonts w:ascii="Times New Roman" w:hAnsi="Times New Roman" w:cs="Times New Roman"/>
          <w:sz w:val="24"/>
          <w:szCs w:val="24"/>
        </w:rPr>
        <w:t xml:space="preserve"> contra Francia, discriminación por razón de origen</w:t>
      </w:r>
    </w:p>
    <w:p w:rsidR="007B3C17" w:rsidRPr="00274631" w:rsidRDefault="007B3C17" w:rsidP="00274631">
      <w:pPr>
        <w:spacing w:line="360" w:lineRule="auto"/>
        <w:jc w:val="both"/>
        <w:rPr>
          <w:rFonts w:ascii="Times New Roman" w:hAnsi="Times New Roman" w:cs="Times New Roman"/>
          <w:sz w:val="24"/>
          <w:szCs w:val="24"/>
        </w:rPr>
      </w:pPr>
      <w:r w:rsidRPr="00274631">
        <w:rPr>
          <w:rFonts w:ascii="Times New Roman" w:hAnsi="Times New Roman" w:cs="Times New Roman"/>
          <w:sz w:val="24"/>
          <w:szCs w:val="24"/>
        </w:rPr>
        <w:t>STS de 14 de Mayo de 2014, sobre discriminación por razón de sexo.</w:t>
      </w:r>
    </w:p>
    <w:p w:rsidR="00C41A2A" w:rsidRPr="00274631" w:rsidRDefault="00C41A2A" w:rsidP="00274631">
      <w:pPr>
        <w:spacing w:line="360" w:lineRule="auto"/>
        <w:jc w:val="both"/>
        <w:rPr>
          <w:rFonts w:ascii="Times New Roman" w:hAnsi="Times New Roman" w:cs="Times New Roman"/>
          <w:sz w:val="24"/>
          <w:szCs w:val="24"/>
        </w:rPr>
      </w:pPr>
    </w:p>
    <w:p w:rsidR="00C41A2A" w:rsidRDefault="00C41A2A" w:rsidP="00A26257">
      <w:pPr>
        <w:rPr>
          <w:rFonts w:ascii="Times New Roman" w:hAnsi="Times New Roman" w:cs="Times New Roman"/>
          <w:sz w:val="24"/>
          <w:szCs w:val="24"/>
        </w:rPr>
      </w:pPr>
    </w:p>
    <w:p w:rsidR="00377BC9" w:rsidRDefault="00377BC9" w:rsidP="00A26257">
      <w:pPr>
        <w:rPr>
          <w:rFonts w:ascii="Times New Roman" w:hAnsi="Times New Roman" w:cs="Times New Roman"/>
          <w:sz w:val="24"/>
          <w:szCs w:val="24"/>
        </w:rPr>
      </w:pPr>
    </w:p>
    <w:p w:rsidR="00377BC9" w:rsidRDefault="00377BC9" w:rsidP="00A26257">
      <w:pPr>
        <w:rPr>
          <w:rFonts w:ascii="Times New Roman" w:hAnsi="Times New Roman" w:cs="Times New Roman"/>
          <w:sz w:val="24"/>
          <w:szCs w:val="24"/>
        </w:rPr>
      </w:pPr>
    </w:p>
    <w:p w:rsidR="00D01FFB" w:rsidRDefault="00D01FFB" w:rsidP="00A26257">
      <w:pPr>
        <w:rPr>
          <w:rFonts w:ascii="Times New Roman" w:hAnsi="Times New Roman" w:cs="Times New Roman"/>
          <w:sz w:val="24"/>
          <w:szCs w:val="24"/>
        </w:rPr>
      </w:pPr>
    </w:p>
    <w:p w:rsidR="00D01FFB" w:rsidRDefault="00D01FFB" w:rsidP="00A26257">
      <w:pPr>
        <w:rPr>
          <w:rFonts w:ascii="Times New Roman" w:hAnsi="Times New Roman" w:cs="Times New Roman"/>
          <w:sz w:val="24"/>
          <w:szCs w:val="24"/>
        </w:rPr>
      </w:pPr>
    </w:p>
    <w:p w:rsidR="00D01FFB" w:rsidRDefault="00D01FFB" w:rsidP="00A26257">
      <w:pPr>
        <w:rPr>
          <w:rFonts w:ascii="Times New Roman" w:hAnsi="Times New Roman" w:cs="Times New Roman"/>
          <w:sz w:val="24"/>
          <w:szCs w:val="24"/>
        </w:rPr>
      </w:pPr>
    </w:p>
    <w:p w:rsidR="00D01FFB" w:rsidRPr="00A26257" w:rsidRDefault="00D01FFB" w:rsidP="00A26257">
      <w:pPr>
        <w:rPr>
          <w:rFonts w:ascii="Times New Roman" w:hAnsi="Times New Roman" w:cs="Times New Roman"/>
          <w:sz w:val="24"/>
          <w:szCs w:val="24"/>
        </w:rPr>
      </w:pPr>
    </w:p>
    <w:p w:rsidR="00A26257" w:rsidRDefault="00A26257" w:rsidP="00A26257"/>
    <w:p w:rsidR="00A26257" w:rsidRPr="0064030B" w:rsidRDefault="00A26257" w:rsidP="00301E30">
      <w:pPr>
        <w:spacing w:line="360" w:lineRule="auto"/>
        <w:rPr>
          <w:rFonts w:ascii="Times New Roman" w:hAnsi="Times New Roman" w:cs="Times New Roman"/>
          <w:sz w:val="24"/>
          <w:szCs w:val="24"/>
        </w:rPr>
      </w:pPr>
    </w:p>
    <w:p w:rsidR="00FF04EE" w:rsidRPr="0064030B" w:rsidRDefault="00FF04EE" w:rsidP="0064030B">
      <w:pPr>
        <w:spacing w:line="360" w:lineRule="auto"/>
        <w:jc w:val="both"/>
        <w:rPr>
          <w:rFonts w:ascii="Times New Roman" w:hAnsi="Times New Roman" w:cs="Times New Roman"/>
          <w:sz w:val="24"/>
          <w:szCs w:val="24"/>
        </w:rPr>
      </w:pPr>
    </w:p>
    <w:p w:rsidR="00FF04EE" w:rsidRPr="0064030B" w:rsidRDefault="00FF04EE" w:rsidP="0064030B">
      <w:pPr>
        <w:spacing w:line="360" w:lineRule="auto"/>
        <w:jc w:val="both"/>
        <w:rPr>
          <w:rFonts w:ascii="Times New Roman" w:hAnsi="Times New Roman" w:cs="Times New Roman"/>
          <w:sz w:val="24"/>
          <w:szCs w:val="24"/>
        </w:rPr>
      </w:pPr>
    </w:p>
    <w:p w:rsidR="00FF04EE" w:rsidRPr="0064030B" w:rsidRDefault="00FF04EE" w:rsidP="0064030B">
      <w:pPr>
        <w:spacing w:line="360" w:lineRule="auto"/>
        <w:jc w:val="both"/>
        <w:rPr>
          <w:rFonts w:ascii="Times New Roman" w:hAnsi="Times New Roman" w:cs="Times New Roman"/>
          <w:sz w:val="24"/>
          <w:szCs w:val="24"/>
        </w:rPr>
      </w:pPr>
    </w:p>
    <w:p w:rsidR="00FF04EE" w:rsidRPr="0064030B" w:rsidRDefault="00FF04EE" w:rsidP="0064030B">
      <w:pPr>
        <w:spacing w:line="360" w:lineRule="auto"/>
        <w:jc w:val="both"/>
        <w:rPr>
          <w:rFonts w:ascii="Times New Roman" w:hAnsi="Times New Roman" w:cs="Times New Roman"/>
          <w:sz w:val="24"/>
          <w:szCs w:val="24"/>
        </w:rPr>
      </w:pPr>
    </w:p>
    <w:p w:rsidR="00CC2C91" w:rsidRPr="0064030B" w:rsidRDefault="00CC2C91" w:rsidP="0064030B">
      <w:pPr>
        <w:spacing w:line="360" w:lineRule="auto"/>
        <w:jc w:val="both"/>
        <w:rPr>
          <w:rFonts w:ascii="Times New Roman" w:hAnsi="Times New Roman" w:cs="Times New Roman"/>
          <w:sz w:val="24"/>
          <w:szCs w:val="24"/>
        </w:rPr>
      </w:pPr>
    </w:p>
    <w:p w:rsidR="00C812DA" w:rsidRPr="0064030B" w:rsidRDefault="00C812DA" w:rsidP="0064030B">
      <w:pPr>
        <w:spacing w:line="360" w:lineRule="auto"/>
        <w:jc w:val="both"/>
        <w:rPr>
          <w:rFonts w:ascii="Times New Roman" w:hAnsi="Times New Roman" w:cs="Times New Roman"/>
          <w:sz w:val="24"/>
          <w:szCs w:val="24"/>
        </w:rPr>
      </w:pPr>
    </w:p>
    <w:p w:rsidR="00081AEB" w:rsidRPr="0064030B" w:rsidRDefault="00081AEB" w:rsidP="0064030B">
      <w:pPr>
        <w:spacing w:line="360" w:lineRule="auto"/>
        <w:jc w:val="both"/>
        <w:rPr>
          <w:rFonts w:ascii="Times New Roman" w:hAnsi="Times New Roman" w:cs="Times New Roman"/>
          <w:sz w:val="24"/>
          <w:szCs w:val="24"/>
        </w:rPr>
      </w:pPr>
    </w:p>
    <w:p w:rsidR="009D1D43" w:rsidRPr="0064030B" w:rsidRDefault="009D1D43" w:rsidP="0064030B">
      <w:pPr>
        <w:spacing w:line="360" w:lineRule="auto"/>
        <w:jc w:val="both"/>
        <w:rPr>
          <w:rFonts w:ascii="Times New Roman" w:hAnsi="Times New Roman" w:cs="Times New Roman"/>
          <w:sz w:val="24"/>
          <w:szCs w:val="24"/>
        </w:rPr>
      </w:pPr>
    </w:p>
    <w:p w:rsidR="00094D58" w:rsidRPr="0064030B" w:rsidRDefault="00094D58" w:rsidP="0064030B">
      <w:pPr>
        <w:spacing w:line="360" w:lineRule="auto"/>
        <w:jc w:val="both"/>
        <w:rPr>
          <w:rFonts w:ascii="Times New Roman" w:hAnsi="Times New Roman" w:cs="Times New Roman"/>
          <w:sz w:val="24"/>
          <w:szCs w:val="24"/>
        </w:rPr>
      </w:pPr>
    </w:p>
    <w:p w:rsidR="00094D58" w:rsidRPr="0064030B" w:rsidRDefault="00094D58" w:rsidP="0064030B">
      <w:pPr>
        <w:spacing w:line="360" w:lineRule="auto"/>
        <w:jc w:val="both"/>
        <w:rPr>
          <w:rFonts w:ascii="Times New Roman" w:hAnsi="Times New Roman" w:cs="Times New Roman"/>
          <w:sz w:val="24"/>
          <w:szCs w:val="24"/>
        </w:rPr>
      </w:pPr>
    </w:p>
    <w:p w:rsidR="005B16AE" w:rsidRPr="0064030B" w:rsidRDefault="005B16AE" w:rsidP="0064030B">
      <w:pPr>
        <w:spacing w:line="360" w:lineRule="auto"/>
        <w:jc w:val="both"/>
        <w:rPr>
          <w:rFonts w:ascii="Times New Roman" w:hAnsi="Times New Roman" w:cs="Times New Roman"/>
          <w:sz w:val="24"/>
          <w:szCs w:val="24"/>
        </w:rPr>
      </w:pPr>
    </w:p>
    <w:p w:rsidR="005B16AE" w:rsidRPr="0064030B" w:rsidRDefault="005B16AE" w:rsidP="0064030B">
      <w:pPr>
        <w:spacing w:line="360" w:lineRule="auto"/>
        <w:jc w:val="both"/>
        <w:rPr>
          <w:rFonts w:ascii="Times New Roman" w:hAnsi="Times New Roman" w:cs="Times New Roman"/>
          <w:sz w:val="24"/>
          <w:szCs w:val="24"/>
        </w:rPr>
      </w:pPr>
    </w:p>
    <w:p w:rsidR="004F3343" w:rsidRPr="0064030B" w:rsidRDefault="004F3343" w:rsidP="0064030B">
      <w:pPr>
        <w:spacing w:line="360" w:lineRule="auto"/>
        <w:jc w:val="both"/>
        <w:rPr>
          <w:rFonts w:ascii="Times New Roman" w:hAnsi="Times New Roman" w:cs="Times New Roman"/>
          <w:sz w:val="24"/>
          <w:szCs w:val="24"/>
        </w:rPr>
      </w:pPr>
    </w:p>
    <w:p w:rsidR="004F3343" w:rsidRPr="0064030B" w:rsidRDefault="004F3343" w:rsidP="0064030B">
      <w:pPr>
        <w:spacing w:line="360" w:lineRule="auto"/>
        <w:jc w:val="both"/>
        <w:rPr>
          <w:rFonts w:ascii="Times New Roman" w:hAnsi="Times New Roman" w:cs="Times New Roman"/>
          <w:sz w:val="24"/>
          <w:szCs w:val="24"/>
        </w:rPr>
      </w:pPr>
    </w:p>
    <w:p w:rsidR="00C1431C" w:rsidRPr="0064030B" w:rsidRDefault="00C1431C" w:rsidP="0064030B">
      <w:pPr>
        <w:spacing w:line="360" w:lineRule="auto"/>
        <w:jc w:val="both"/>
        <w:rPr>
          <w:rFonts w:ascii="Times New Roman" w:hAnsi="Times New Roman" w:cs="Times New Roman"/>
          <w:sz w:val="24"/>
          <w:szCs w:val="24"/>
        </w:rPr>
      </w:pPr>
    </w:p>
    <w:sectPr w:rsidR="00C1431C" w:rsidRPr="0064030B" w:rsidSect="00274631">
      <w:footerReference w:type="default" r:id="rId9"/>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7E44" w:rsidRDefault="00757E44" w:rsidP="001F1B50">
      <w:pPr>
        <w:spacing w:after="0" w:line="240" w:lineRule="auto"/>
      </w:pPr>
      <w:r>
        <w:separator/>
      </w:r>
    </w:p>
  </w:endnote>
  <w:endnote w:type="continuationSeparator" w:id="0">
    <w:p w:rsidR="00757E44" w:rsidRDefault="00757E44" w:rsidP="001F1B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9408116"/>
      <w:docPartObj>
        <w:docPartGallery w:val="Page Numbers (Bottom of Page)"/>
        <w:docPartUnique/>
      </w:docPartObj>
    </w:sdtPr>
    <w:sdtContent>
      <w:p w:rsidR="00757E44" w:rsidRDefault="00757E44">
        <w:pPr>
          <w:pStyle w:val="Piedepgina"/>
          <w:jc w:val="right"/>
        </w:pPr>
        <w:r>
          <w:fldChar w:fldCharType="begin"/>
        </w:r>
        <w:r>
          <w:instrText>PAGE   \* MERGEFORMAT</w:instrText>
        </w:r>
        <w:r>
          <w:fldChar w:fldCharType="separate"/>
        </w:r>
        <w:r w:rsidR="00374815">
          <w:rPr>
            <w:noProof/>
          </w:rPr>
          <w:t>37</w:t>
        </w:r>
        <w:r>
          <w:fldChar w:fldCharType="end"/>
        </w:r>
      </w:p>
    </w:sdtContent>
  </w:sdt>
  <w:p w:rsidR="00757E44" w:rsidRDefault="00757E4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7E44" w:rsidRDefault="00757E44" w:rsidP="001F1B50">
      <w:pPr>
        <w:spacing w:after="0" w:line="240" w:lineRule="auto"/>
      </w:pPr>
      <w:r>
        <w:separator/>
      </w:r>
    </w:p>
  </w:footnote>
  <w:footnote w:type="continuationSeparator" w:id="0">
    <w:p w:rsidR="00757E44" w:rsidRDefault="00757E44" w:rsidP="001F1B50">
      <w:pPr>
        <w:spacing w:after="0" w:line="240" w:lineRule="auto"/>
      </w:pPr>
      <w:r>
        <w:continuationSeparator/>
      </w:r>
    </w:p>
  </w:footnote>
  <w:footnote w:id="1">
    <w:p w:rsidR="00757E44" w:rsidRPr="00DB5F5D" w:rsidRDefault="00757E44" w:rsidP="00DB5F5D">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Soberanes Díez, José María (2011) “La igualdad y la desigualdad jurídicas” Porrúa, p 194.</w:t>
      </w:r>
    </w:p>
  </w:footnote>
  <w:footnote w:id="2">
    <w:p w:rsidR="004D3823" w:rsidRPr="004D3823" w:rsidRDefault="004D3823">
      <w:pPr>
        <w:pStyle w:val="Textonotapie"/>
        <w:rPr>
          <w:rFonts w:ascii="Times New Roman" w:hAnsi="Times New Roman" w:cs="Times New Roman"/>
        </w:rPr>
      </w:pPr>
      <w:r>
        <w:rPr>
          <w:rStyle w:val="Refdenotaalpie"/>
        </w:rPr>
        <w:footnoteRef/>
      </w:r>
      <w:r>
        <w:t xml:space="preserve"> N</w:t>
      </w:r>
      <w:r>
        <w:rPr>
          <w:rFonts w:ascii="Times New Roman" w:hAnsi="Times New Roman" w:cs="Times New Roman"/>
        </w:rPr>
        <w:t xml:space="preserve">ogueira Alcalá, Humberto </w:t>
      </w:r>
      <w:r w:rsidR="00147F97">
        <w:rPr>
          <w:rFonts w:ascii="Times New Roman" w:hAnsi="Times New Roman" w:cs="Times New Roman"/>
        </w:rPr>
        <w:t xml:space="preserve">(2006) El derecho a la igualdad ante la ley, la no discriminación y las acciones </w:t>
      </w:r>
      <w:r w:rsidR="009B4926">
        <w:rPr>
          <w:rFonts w:ascii="Times New Roman" w:hAnsi="Times New Roman" w:cs="Times New Roman"/>
        </w:rPr>
        <w:t>positivas</w:t>
      </w:r>
    </w:p>
  </w:footnote>
  <w:footnote w:id="3">
    <w:p w:rsidR="0026571E" w:rsidRDefault="0026571E">
      <w:pPr>
        <w:pStyle w:val="Textonotapie"/>
      </w:pPr>
      <w:r>
        <w:rPr>
          <w:rStyle w:val="Refdenotaalpie"/>
        </w:rPr>
        <w:footnoteRef/>
      </w:r>
      <w:r>
        <w:t xml:space="preserve"> Caldito Aunión, Carlos Aurelio (2012) “Discriminatoria discriminación positiva” Sociopolítica.</w:t>
      </w:r>
      <w:r>
        <w:tab/>
      </w:r>
      <w:r>
        <w:tab/>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6790E"/>
    <w:multiLevelType w:val="multilevel"/>
    <w:tmpl w:val="87CAD3BA"/>
    <w:lvl w:ilvl="0">
      <w:start w:val="6"/>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
    <w:nsid w:val="021C1E2D"/>
    <w:multiLevelType w:val="hybridMultilevel"/>
    <w:tmpl w:val="022233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2286C21"/>
    <w:multiLevelType w:val="hybridMultilevel"/>
    <w:tmpl w:val="ED9AE19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2C6261B"/>
    <w:multiLevelType w:val="hybridMultilevel"/>
    <w:tmpl w:val="1ADA683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
    <w:nsid w:val="04130C19"/>
    <w:multiLevelType w:val="hybridMultilevel"/>
    <w:tmpl w:val="A6F45A64"/>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5">
    <w:nsid w:val="06550FA1"/>
    <w:multiLevelType w:val="hybridMultilevel"/>
    <w:tmpl w:val="A7224A0C"/>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
    <w:nsid w:val="086F32F8"/>
    <w:multiLevelType w:val="hybridMultilevel"/>
    <w:tmpl w:val="9184F1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095526CF"/>
    <w:multiLevelType w:val="hybridMultilevel"/>
    <w:tmpl w:val="211C974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nsid w:val="10CC1E9A"/>
    <w:multiLevelType w:val="multilevel"/>
    <w:tmpl w:val="49665A7A"/>
    <w:lvl w:ilvl="0">
      <w:start w:val="6"/>
      <w:numFmt w:val="decimal"/>
      <w:lvlText w:val="%1."/>
      <w:lvlJc w:val="left"/>
      <w:pPr>
        <w:ind w:left="360" w:hanging="360"/>
      </w:pPr>
      <w:rPr>
        <w:rFonts w:hint="default"/>
      </w:rPr>
    </w:lvl>
    <w:lvl w:ilvl="1">
      <w:start w:val="1"/>
      <w:numFmt w:val="upperRoman"/>
      <w:lvlText w:val="%2."/>
      <w:lvlJc w:val="righ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
    <w:nsid w:val="11633A8C"/>
    <w:multiLevelType w:val="multilevel"/>
    <w:tmpl w:val="25BE63CA"/>
    <w:lvl w:ilvl="0">
      <w:start w:val="1"/>
      <w:numFmt w:val="decimal"/>
      <w:lvlText w:val="%1."/>
      <w:lvlJc w:val="left"/>
      <w:pPr>
        <w:ind w:left="927"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18E0052E"/>
    <w:multiLevelType w:val="hybridMultilevel"/>
    <w:tmpl w:val="F01AADCA"/>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A1437C1"/>
    <w:multiLevelType w:val="hybridMultilevel"/>
    <w:tmpl w:val="2F80CE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AC07DF6"/>
    <w:multiLevelType w:val="multilevel"/>
    <w:tmpl w:val="5ED482AA"/>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3">
    <w:nsid w:val="21F84D92"/>
    <w:multiLevelType w:val="hybridMultilevel"/>
    <w:tmpl w:val="593CE53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34379A1"/>
    <w:multiLevelType w:val="hybridMultilevel"/>
    <w:tmpl w:val="4372F84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2A8F61D8"/>
    <w:multiLevelType w:val="hybridMultilevel"/>
    <w:tmpl w:val="E79E36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2BD411BF"/>
    <w:multiLevelType w:val="hybridMultilevel"/>
    <w:tmpl w:val="FCC264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37D942F6"/>
    <w:multiLevelType w:val="hybridMultilevel"/>
    <w:tmpl w:val="363C04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39AE7CAE"/>
    <w:multiLevelType w:val="hybridMultilevel"/>
    <w:tmpl w:val="E8BCFCA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B2111C8"/>
    <w:multiLevelType w:val="hybridMultilevel"/>
    <w:tmpl w:val="93D287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CB103E9"/>
    <w:multiLevelType w:val="hybridMultilevel"/>
    <w:tmpl w:val="500AE0F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1">
    <w:nsid w:val="3EF926CB"/>
    <w:multiLevelType w:val="hybridMultilevel"/>
    <w:tmpl w:val="EF6247D6"/>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CD13DE9"/>
    <w:multiLevelType w:val="hybridMultilevel"/>
    <w:tmpl w:val="AA0AAB9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52775E44"/>
    <w:multiLevelType w:val="hybridMultilevel"/>
    <w:tmpl w:val="3256544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2D16DB4"/>
    <w:multiLevelType w:val="hybridMultilevel"/>
    <w:tmpl w:val="BD74B0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59026142"/>
    <w:multiLevelType w:val="hybridMultilevel"/>
    <w:tmpl w:val="F39428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9E14671"/>
    <w:multiLevelType w:val="hybridMultilevel"/>
    <w:tmpl w:val="2DE86D6E"/>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7">
    <w:nsid w:val="61553B4C"/>
    <w:multiLevelType w:val="hybridMultilevel"/>
    <w:tmpl w:val="08BA19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63421C57"/>
    <w:multiLevelType w:val="hybridMultilevel"/>
    <w:tmpl w:val="FE8E1F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nsid w:val="6EDF24AA"/>
    <w:multiLevelType w:val="hybridMultilevel"/>
    <w:tmpl w:val="A29018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74EE2EA4"/>
    <w:multiLevelType w:val="multilevel"/>
    <w:tmpl w:val="75FE18B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nsid w:val="77FE259F"/>
    <w:multiLevelType w:val="hybridMultilevel"/>
    <w:tmpl w:val="C584E40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797C6B5B"/>
    <w:multiLevelType w:val="hybridMultilevel"/>
    <w:tmpl w:val="8FD6829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3">
    <w:nsid w:val="7C646373"/>
    <w:multiLevelType w:val="hybridMultilevel"/>
    <w:tmpl w:val="195095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7CE22CDB"/>
    <w:multiLevelType w:val="hybridMultilevel"/>
    <w:tmpl w:val="2C5C38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7E362C3D"/>
    <w:multiLevelType w:val="hybridMultilevel"/>
    <w:tmpl w:val="AC8291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2"/>
  </w:num>
  <w:num w:numId="2">
    <w:abstractNumId w:val="20"/>
  </w:num>
  <w:num w:numId="3">
    <w:abstractNumId w:val="29"/>
  </w:num>
  <w:num w:numId="4">
    <w:abstractNumId w:val="35"/>
  </w:num>
  <w:num w:numId="5">
    <w:abstractNumId w:val="33"/>
  </w:num>
  <w:num w:numId="6">
    <w:abstractNumId w:val="23"/>
  </w:num>
  <w:num w:numId="7">
    <w:abstractNumId w:val="18"/>
  </w:num>
  <w:num w:numId="8">
    <w:abstractNumId w:val="3"/>
  </w:num>
  <w:num w:numId="9">
    <w:abstractNumId w:val="5"/>
  </w:num>
  <w:num w:numId="10">
    <w:abstractNumId w:val="4"/>
  </w:num>
  <w:num w:numId="11">
    <w:abstractNumId w:val="2"/>
  </w:num>
  <w:num w:numId="12">
    <w:abstractNumId w:val="7"/>
  </w:num>
  <w:num w:numId="13">
    <w:abstractNumId w:val="6"/>
  </w:num>
  <w:num w:numId="14">
    <w:abstractNumId w:val="31"/>
  </w:num>
  <w:num w:numId="15">
    <w:abstractNumId w:val="14"/>
  </w:num>
  <w:num w:numId="16">
    <w:abstractNumId w:val="25"/>
  </w:num>
  <w:num w:numId="17">
    <w:abstractNumId w:val="22"/>
  </w:num>
  <w:num w:numId="18">
    <w:abstractNumId w:val="13"/>
  </w:num>
  <w:num w:numId="19">
    <w:abstractNumId w:val="26"/>
  </w:num>
  <w:num w:numId="20">
    <w:abstractNumId w:val="15"/>
  </w:num>
  <w:num w:numId="21">
    <w:abstractNumId w:val="17"/>
  </w:num>
  <w:num w:numId="22">
    <w:abstractNumId w:val="34"/>
  </w:num>
  <w:num w:numId="23">
    <w:abstractNumId w:val="27"/>
  </w:num>
  <w:num w:numId="24">
    <w:abstractNumId w:val="9"/>
  </w:num>
  <w:num w:numId="25">
    <w:abstractNumId w:val="8"/>
  </w:num>
  <w:num w:numId="26">
    <w:abstractNumId w:val="32"/>
  </w:num>
  <w:num w:numId="27">
    <w:abstractNumId w:val="28"/>
  </w:num>
  <w:num w:numId="28">
    <w:abstractNumId w:val="21"/>
  </w:num>
  <w:num w:numId="29">
    <w:abstractNumId w:val="10"/>
  </w:num>
  <w:num w:numId="30">
    <w:abstractNumId w:val="0"/>
  </w:num>
  <w:num w:numId="31">
    <w:abstractNumId w:val="19"/>
  </w:num>
  <w:num w:numId="32">
    <w:abstractNumId w:val="11"/>
  </w:num>
  <w:num w:numId="33">
    <w:abstractNumId w:val="30"/>
  </w:num>
  <w:num w:numId="34">
    <w:abstractNumId w:val="1"/>
  </w:num>
  <w:num w:numId="35">
    <w:abstractNumId w:val="16"/>
  </w:num>
  <w:num w:numId="36">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CED"/>
    <w:rsid w:val="00011D83"/>
    <w:rsid w:val="00040B67"/>
    <w:rsid w:val="00053ED0"/>
    <w:rsid w:val="000813EE"/>
    <w:rsid w:val="00081AEB"/>
    <w:rsid w:val="00094D58"/>
    <w:rsid w:val="001128BE"/>
    <w:rsid w:val="001405B9"/>
    <w:rsid w:val="00147F97"/>
    <w:rsid w:val="001A0A13"/>
    <w:rsid w:val="001B4534"/>
    <w:rsid w:val="001D2998"/>
    <w:rsid w:val="001E5445"/>
    <w:rsid w:val="001E5DD7"/>
    <w:rsid w:val="001F1B50"/>
    <w:rsid w:val="00211F74"/>
    <w:rsid w:val="002315A7"/>
    <w:rsid w:val="0026571E"/>
    <w:rsid w:val="00274631"/>
    <w:rsid w:val="002A33AC"/>
    <w:rsid w:val="002B0C64"/>
    <w:rsid w:val="002B1D3A"/>
    <w:rsid w:val="00301E30"/>
    <w:rsid w:val="00374815"/>
    <w:rsid w:val="00377BC9"/>
    <w:rsid w:val="00386941"/>
    <w:rsid w:val="003F1D26"/>
    <w:rsid w:val="00400A8B"/>
    <w:rsid w:val="00433512"/>
    <w:rsid w:val="00482080"/>
    <w:rsid w:val="00495F55"/>
    <w:rsid w:val="004D3823"/>
    <w:rsid w:val="004F3343"/>
    <w:rsid w:val="005133B5"/>
    <w:rsid w:val="00544986"/>
    <w:rsid w:val="00550073"/>
    <w:rsid w:val="005B16AE"/>
    <w:rsid w:val="006145DD"/>
    <w:rsid w:val="00615F45"/>
    <w:rsid w:val="006375ED"/>
    <w:rsid w:val="0064030B"/>
    <w:rsid w:val="00651FA4"/>
    <w:rsid w:val="00687423"/>
    <w:rsid w:val="006C1FF2"/>
    <w:rsid w:val="006D0F25"/>
    <w:rsid w:val="006E36CF"/>
    <w:rsid w:val="006F2A59"/>
    <w:rsid w:val="007232C2"/>
    <w:rsid w:val="00724520"/>
    <w:rsid w:val="00757E44"/>
    <w:rsid w:val="00762AA2"/>
    <w:rsid w:val="00783687"/>
    <w:rsid w:val="007B3C17"/>
    <w:rsid w:val="007C7B3B"/>
    <w:rsid w:val="007E396E"/>
    <w:rsid w:val="007F70D3"/>
    <w:rsid w:val="00806BE2"/>
    <w:rsid w:val="00830848"/>
    <w:rsid w:val="008A7EA6"/>
    <w:rsid w:val="008C3A88"/>
    <w:rsid w:val="008E1090"/>
    <w:rsid w:val="00946D99"/>
    <w:rsid w:val="009546B3"/>
    <w:rsid w:val="0095673C"/>
    <w:rsid w:val="009637E1"/>
    <w:rsid w:val="00971171"/>
    <w:rsid w:val="009B4926"/>
    <w:rsid w:val="009C4A1A"/>
    <w:rsid w:val="009D1D43"/>
    <w:rsid w:val="00A26257"/>
    <w:rsid w:val="00A867A7"/>
    <w:rsid w:val="00AA3304"/>
    <w:rsid w:val="00B03DA4"/>
    <w:rsid w:val="00B1167A"/>
    <w:rsid w:val="00B51E7A"/>
    <w:rsid w:val="00B81F1B"/>
    <w:rsid w:val="00BC1B0A"/>
    <w:rsid w:val="00BE1354"/>
    <w:rsid w:val="00BE5D62"/>
    <w:rsid w:val="00C1431C"/>
    <w:rsid w:val="00C41A2A"/>
    <w:rsid w:val="00C812DA"/>
    <w:rsid w:val="00CB1CED"/>
    <w:rsid w:val="00CC1F6D"/>
    <w:rsid w:val="00CC2C91"/>
    <w:rsid w:val="00CD1098"/>
    <w:rsid w:val="00D01FFB"/>
    <w:rsid w:val="00D03D00"/>
    <w:rsid w:val="00D74C06"/>
    <w:rsid w:val="00D85FE9"/>
    <w:rsid w:val="00D97DC7"/>
    <w:rsid w:val="00DB5F5D"/>
    <w:rsid w:val="00DD068D"/>
    <w:rsid w:val="00DF51CD"/>
    <w:rsid w:val="00E061CA"/>
    <w:rsid w:val="00E271EE"/>
    <w:rsid w:val="00E43EC0"/>
    <w:rsid w:val="00E63ABB"/>
    <w:rsid w:val="00ED3A12"/>
    <w:rsid w:val="00EF5DCA"/>
    <w:rsid w:val="00F339F3"/>
    <w:rsid w:val="00F75EC7"/>
    <w:rsid w:val="00FD1E25"/>
    <w:rsid w:val="00FF04E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B1CED"/>
    <w:pPr>
      <w:ind w:left="720"/>
      <w:contextualSpacing/>
    </w:pPr>
  </w:style>
  <w:style w:type="paragraph" w:styleId="Encabezado">
    <w:name w:val="header"/>
    <w:basedOn w:val="Normal"/>
    <w:link w:val="EncabezadoCar"/>
    <w:uiPriority w:val="99"/>
    <w:unhideWhenUsed/>
    <w:rsid w:val="001F1B5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F1B50"/>
  </w:style>
  <w:style w:type="paragraph" w:styleId="Piedepgina">
    <w:name w:val="footer"/>
    <w:basedOn w:val="Normal"/>
    <w:link w:val="PiedepginaCar"/>
    <w:uiPriority w:val="99"/>
    <w:unhideWhenUsed/>
    <w:rsid w:val="001F1B5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F1B50"/>
  </w:style>
  <w:style w:type="paragraph" w:styleId="Textonotapie">
    <w:name w:val="footnote text"/>
    <w:basedOn w:val="Normal"/>
    <w:link w:val="TextonotapieCar"/>
    <w:uiPriority w:val="99"/>
    <w:semiHidden/>
    <w:unhideWhenUsed/>
    <w:rsid w:val="00DB5F5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B5F5D"/>
    <w:rPr>
      <w:sz w:val="20"/>
      <w:szCs w:val="20"/>
    </w:rPr>
  </w:style>
  <w:style w:type="character" w:styleId="Refdenotaalpie">
    <w:name w:val="footnote reference"/>
    <w:basedOn w:val="Fuentedeprrafopredeter"/>
    <w:uiPriority w:val="99"/>
    <w:semiHidden/>
    <w:unhideWhenUsed/>
    <w:rsid w:val="00DB5F5D"/>
    <w:rPr>
      <w:vertAlign w:val="superscript"/>
    </w:rPr>
  </w:style>
  <w:style w:type="paragraph" w:styleId="Sinespaciado">
    <w:name w:val="No Spacing"/>
    <w:uiPriority w:val="1"/>
    <w:qFormat/>
    <w:rsid w:val="00FD1E25"/>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B1CED"/>
    <w:pPr>
      <w:ind w:left="720"/>
      <w:contextualSpacing/>
    </w:pPr>
  </w:style>
  <w:style w:type="paragraph" w:styleId="Encabezado">
    <w:name w:val="header"/>
    <w:basedOn w:val="Normal"/>
    <w:link w:val="EncabezadoCar"/>
    <w:uiPriority w:val="99"/>
    <w:unhideWhenUsed/>
    <w:rsid w:val="001F1B5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F1B50"/>
  </w:style>
  <w:style w:type="paragraph" w:styleId="Piedepgina">
    <w:name w:val="footer"/>
    <w:basedOn w:val="Normal"/>
    <w:link w:val="PiedepginaCar"/>
    <w:uiPriority w:val="99"/>
    <w:unhideWhenUsed/>
    <w:rsid w:val="001F1B5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F1B50"/>
  </w:style>
  <w:style w:type="paragraph" w:styleId="Textonotapie">
    <w:name w:val="footnote text"/>
    <w:basedOn w:val="Normal"/>
    <w:link w:val="TextonotapieCar"/>
    <w:uiPriority w:val="99"/>
    <w:semiHidden/>
    <w:unhideWhenUsed/>
    <w:rsid w:val="00DB5F5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B5F5D"/>
    <w:rPr>
      <w:sz w:val="20"/>
      <w:szCs w:val="20"/>
    </w:rPr>
  </w:style>
  <w:style w:type="character" w:styleId="Refdenotaalpie">
    <w:name w:val="footnote reference"/>
    <w:basedOn w:val="Fuentedeprrafopredeter"/>
    <w:uiPriority w:val="99"/>
    <w:semiHidden/>
    <w:unhideWhenUsed/>
    <w:rsid w:val="00DB5F5D"/>
    <w:rPr>
      <w:vertAlign w:val="superscript"/>
    </w:rPr>
  </w:style>
  <w:style w:type="paragraph" w:styleId="Sinespaciado">
    <w:name w:val="No Spacing"/>
    <w:uiPriority w:val="1"/>
    <w:qFormat/>
    <w:rsid w:val="00FD1E2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67D043-44C0-4184-8547-9A85CF808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37</Pages>
  <Words>11062</Words>
  <Characters>60843</Characters>
  <Application>Microsoft Office Word</Application>
  <DocSecurity>0</DocSecurity>
  <Lines>507</Lines>
  <Paragraphs>143</Paragraphs>
  <ScaleCrop>false</ScaleCrop>
  <HeadingPairs>
    <vt:vector size="2" baseType="variant">
      <vt:variant>
        <vt:lpstr>Título</vt:lpstr>
      </vt:variant>
      <vt:variant>
        <vt:i4>1</vt:i4>
      </vt:variant>
    </vt:vector>
  </HeadingPairs>
  <TitlesOfParts>
    <vt:vector size="1" baseType="lpstr">
      <vt:lpstr/>
    </vt:vector>
  </TitlesOfParts>
  <Company>Universidad de Jaén</Company>
  <LinksUpToDate>false</LinksUpToDate>
  <CharactersWithSpaces>71762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UJA</dc:creator>
  <cp:lastModifiedBy>JuanP</cp:lastModifiedBy>
  <cp:revision>3</cp:revision>
  <dcterms:created xsi:type="dcterms:W3CDTF">2015-06-24T08:48:00Z</dcterms:created>
  <dcterms:modified xsi:type="dcterms:W3CDTF">2015-06-24T08:53:00Z</dcterms:modified>
</cp:coreProperties>
</file>