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448A" w:rsidRPr="00EC4D82" w:rsidRDefault="0059448A" w:rsidP="001C3B44">
      <w:pPr>
        <w:pStyle w:val="Header"/>
        <w:rPr>
          <w:rFonts w:ascii="Times New Roman" w:hAnsi="Times New Roman" w:cs="Times New Roman"/>
          <w:lang w:val="es-ES"/>
        </w:rPr>
      </w:pPr>
      <w:bookmarkStart w:id="0" w:name="_Toc424110934"/>
      <w:bookmarkStart w:id="1" w:name="_Toc424111214"/>
      <w:bookmarkStart w:id="2" w:name="OLE_LINK15"/>
      <w:bookmarkStart w:id="3" w:name="OLE_LINK16"/>
      <w:r w:rsidRPr="00EC4D82">
        <w:rPr>
          <w:rFonts w:ascii="Times New Roman" w:hAnsi="Times New Roman" w:cs="Times New Roman"/>
          <w:lang w:val="es-ES"/>
        </w:rPr>
        <w:t>Índice</w:t>
      </w:r>
    </w:p>
    <w:p w:rsidR="0059448A" w:rsidRPr="00881AB8" w:rsidRDefault="0059448A" w:rsidP="001C3B44">
      <w:pPr>
        <w:pStyle w:val="TOC1"/>
      </w:pPr>
    </w:p>
    <w:p w:rsidR="00C313D3" w:rsidRDefault="00F47D99">
      <w:pPr>
        <w:pStyle w:val="TOC1"/>
        <w:rPr>
          <w:noProof/>
          <w:kern w:val="0"/>
          <w:sz w:val="22"/>
          <w:lang w:val="es-ES"/>
        </w:rPr>
      </w:pPr>
      <w:r w:rsidRPr="00881AB8">
        <w:rPr>
          <w:rFonts w:cs="Times New Roman"/>
        </w:rPr>
        <w:fldChar w:fldCharType="begin"/>
      </w:r>
      <w:r w:rsidR="0059448A" w:rsidRPr="00881AB8">
        <w:rPr>
          <w:rFonts w:cs="Times New Roman"/>
        </w:rPr>
        <w:instrText xml:space="preserve"> TOC \o "1-3" \h \z \u </w:instrText>
      </w:r>
      <w:r w:rsidRPr="00881AB8">
        <w:rPr>
          <w:rFonts w:cs="Times New Roman"/>
        </w:rPr>
        <w:fldChar w:fldCharType="separate"/>
      </w:r>
      <w:hyperlink w:anchor="_Toc471215294" w:history="1">
        <w:r w:rsidR="00C313D3" w:rsidRPr="00083016">
          <w:rPr>
            <w:rStyle w:val="Hyperlink"/>
            <w:rFonts w:cs="Times New Roman"/>
            <w:noProof/>
          </w:rPr>
          <w:t>Parte 1. Introducción, conceptos</w:t>
        </w:r>
        <w:r w:rsidR="00C313D3">
          <w:rPr>
            <w:noProof/>
            <w:webHidden/>
          </w:rPr>
          <w:tab/>
        </w:r>
        <w:r w:rsidR="00C313D3">
          <w:rPr>
            <w:noProof/>
            <w:webHidden/>
          </w:rPr>
          <w:fldChar w:fldCharType="begin"/>
        </w:r>
        <w:r w:rsidR="00C313D3">
          <w:rPr>
            <w:noProof/>
            <w:webHidden/>
          </w:rPr>
          <w:instrText xml:space="preserve"> PAGEREF _Toc471215294 \h </w:instrText>
        </w:r>
        <w:r w:rsidR="00C313D3">
          <w:rPr>
            <w:noProof/>
            <w:webHidden/>
          </w:rPr>
        </w:r>
        <w:r w:rsidR="00C313D3">
          <w:rPr>
            <w:noProof/>
            <w:webHidden/>
          </w:rPr>
          <w:fldChar w:fldCharType="separate"/>
        </w:r>
        <w:r w:rsidR="00183782">
          <w:rPr>
            <w:noProof/>
            <w:webHidden/>
          </w:rPr>
          <w:t>2</w:t>
        </w:r>
        <w:r w:rsidR="00C313D3">
          <w:rPr>
            <w:noProof/>
            <w:webHidden/>
          </w:rPr>
          <w:fldChar w:fldCharType="end"/>
        </w:r>
      </w:hyperlink>
    </w:p>
    <w:p w:rsidR="00C313D3" w:rsidRDefault="0008433A">
      <w:pPr>
        <w:pStyle w:val="TOC2"/>
        <w:rPr>
          <w:noProof/>
          <w:kern w:val="0"/>
          <w:sz w:val="22"/>
          <w:lang w:val="es-ES"/>
        </w:rPr>
      </w:pPr>
      <w:hyperlink w:anchor="_Toc471215295" w:history="1">
        <w:r w:rsidR="00C313D3" w:rsidRPr="00083016">
          <w:rPr>
            <w:rStyle w:val="Hyperlink"/>
            <w:rFonts w:cs="Times New Roman"/>
            <w:noProof/>
            <w:lang w:val="es-ES_tradnl"/>
          </w:rPr>
          <w:t>1.1 Conceptos generales</w:t>
        </w:r>
        <w:r w:rsidR="00C313D3">
          <w:rPr>
            <w:noProof/>
            <w:webHidden/>
          </w:rPr>
          <w:tab/>
        </w:r>
        <w:r w:rsidR="00C313D3">
          <w:rPr>
            <w:noProof/>
            <w:webHidden/>
          </w:rPr>
          <w:fldChar w:fldCharType="begin"/>
        </w:r>
        <w:r w:rsidR="00C313D3">
          <w:rPr>
            <w:noProof/>
            <w:webHidden/>
          </w:rPr>
          <w:instrText xml:space="preserve"> PAGEREF _Toc471215295 \h </w:instrText>
        </w:r>
        <w:r w:rsidR="00C313D3">
          <w:rPr>
            <w:noProof/>
            <w:webHidden/>
          </w:rPr>
        </w:r>
        <w:r w:rsidR="00C313D3">
          <w:rPr>
            <w:noProof/>
            <w:webHidden/>
          </w:rPr>
          <w:fldChar w:fldCharType="separate"/>
        </w:r>
        <w:r w:rsidR="00183782">
          <w:rPr>
            <w:noProof/>
            <w:webHidden/>
          </w:rPr>
          <w:t>3</w:t>
        </w:r>
        <w:r w:rsidR="00C313D3">
          <w:rPr>
            <w:noProof/>
            <w:webHidden/>
          </w:rPr>
          <w:fldChar w:fldCharType="end"/>
        </w:r>
      </w:hyperlink>
    </w:p>
    <w:p w:rsidR="00C313D3" w:rsidRDefault="0008433A">
      <w:pPr>
        <w:pStyle w:val="TOC2"/>
        <w:rPr>
          <w:noProof/>
          <w:kern w:val="0"/>
          <w:sz w:val="22"/>
          <w:lang w:val="es-ES"/>
        </w:rPr>
      </w:pPr>
      <w:hyperlink w:anchor="_Toc471215296" w:history="1">
        <w:r w:rsidR="00C313D3" w:rsidRPr="00083016">
          <w:rPr>
            <w:rStyle w:val="Hyperlink"/>
            <w:rFonts w:cs="Times New Roman"/>
            <w:noProof/>
            <w:lang w:val="es-ES_tradnl"/>
          </w:rPr>
          <w:t>1.2 Los conceptos relacionados</w:t>
        </w:r>
        <w:r w:rsidR="00C313D3">
          <w:rPr>
            <w:noProof/>
            <w:webHidden/>
          </w:rPr>
          <w:tab/>
        </w:r>
        <w:r w:rsidR="00C313D3">
          <w:rPr>
            <w:noProof/>
            <w:webHidden/>
          </w:rPr>
          <w:fldChar w:fldCharType="begin"/>
        </w:r>
        <w:r w:rsidR="00C313D3">
          <w:rPr>
            <w:noProof/>
            <w:webHidden/>
          </w:rPr>
          <w:instrText xml:space="preserve"> PAGEREF _Toc471215296 \h </w:instrText>
        </w:r>
        <w:r w:rsidR="00C313D3">
          <w:rPr>
            <w:noProof/>
            <w:webHidden/>
          </w:rPr>
        </w:r>
        <w:r w:rsidR="00C313D3">
          <w:rPr>
            <w:noProof/>
            <w:webHidden/>
          </w:rPr>
          <w:fldChar w:fldCharType="separate"/>
        </w:r>
        <w:r w:rsidR="00183782">
          <w:rPr>
            <w:noProof/>
            <w:webHidden/>
          </w:rPr>
          <w:t>5</w:t>
        </w:r>
        <w:r w:rsidR="00C313D3">
          <w:rPr>
            <w:noProof/>
            <w:webHidden/>
          </w:rPr>
          <w:fldChar w:fldCharType="end"/>
        </w:r>
      </w:hyperlink>
    </w:p>
    <w:p w:rsidR="00C313D3" w:rsidRDefault="0008433A" w:rsidP="00C313D3">
      <w:pPr>
        <w:pStyle w:val="TOC3"/>
        <w:ind w:left="840"/>
        <w:rPr>
          <w:noProof/>
          <w:kern w:val="0"/>
          <w:sz w:val="22"/>
          <w:lang w:val="es-ES"/>
        </w:rPr>
      </w:pPr>
      <w:hyperlink w:anchor="_Toc471215297" w:history="1">
        <w:r w:rsidR="00C313D3" w:rsidRPr="00083016">
          <w:rPr>
            <w:rStyle w:val="Hyperlink"/>
            <w:rFonts w:cs="Times New Roman"/>
            <w:noProof/>
            <w:lang w:val="es-ES_tradnl"/>
          </w:rPr>
          <w:t>1.2.1 Población activa</w:t>
        </w:r>
        <w:r w:rsidR="00C313D3">
          <w:rPr>
            <w:noProof/>
            <w:webHidden/>
          </w:rPr>
          <w:tab/>
        </w:r>
        <w:r w:rsidR="00C313D3">
          <w:rPr>
            <w:noProof/>
            <w:webHidden/>
          </w:rPr>
          <w:fldChar w:fldCharType="begin"/>
        </w:r>
        <w:r w:rsidR="00C313D3">
          <w:rPr>
            <w:noProof/>
            <w:webHidden/>
          </w:rPr>
          <w:instrText xml:space="preserve"> PAGEREF _Toc471215297 \h </w:instrText>
        </w:r>
        <w:r w:rsidR="00C313D3">
          <w:rPr>
            <w:noProof/>
            <w:webHidden/>
          </w:rPr>
        </w:r>
        <w:r w:rsidR="00C313D3">
          <w:rPr>
            <w:noProof/>
            <w:webHidden/>
          </w:rPr>
          <w:fldChar w:fldCharType="separate"/>
        </w:r>
        <w:r w:rsidR="00183782">
          <w:rPr>
            <w:noProof/>
            <w:webHidden/>
          </w:rPr>
          <w:t>5</w:t>
        </w:r>
        <w:r w:rsidR="00C313D3">
          <w:rPr>
            <w:noProof/>
            <w:webHidden/>
          </w:rPr>
          <w:fldChar w:fldCharType="end"/>
        </w:r>
      </w:hyperlink>
    </w:p>
    <w:p w:rsidR="00C313D3" w:rsidRDefault="0008433A" w:rsidP="00C313D3">
      <w:pPr>
        <w:pStyle w:val="TOC3"/>
        <w:ind w:left="840"/>
        <w:rPr>
          <w:noProof/>
          <w:kern w:val="0"/>
          <w:sz w:val="22"/>
          <w:lang w:val="es-ES"/>
        </w:rPr>
      </w:pPr>
      <w:hyperlink w:anchor="_Toc471215298" w:history="1">
        <w:r w:rsidR="00C313D3" w:rsidRPr="00083016">
          <w:rPr>
            <w:rStyle w:val="Hyperlink"/>
            <w:rFonts w:cs="Times New Roman"/>
            <w:noProof/>
            <w:lang w:val="es-ES_tradnl"/>
          </w:rPr>
          <w:t>1.2.2. Tasa de desempleo</w:t>
        </w:r>
        <w:r w:rsidR="00C313D3">
          <w:rPr>
            <w:noProof/>
            <w:webHidden/>
          </w:rPr>
          <w:tab/>
        </w:r>
        <w:r w:rsidR="00C313D3">
          <w:rPr>
            <w:noProof/>
            <w:webHidden/>
          </w:rPr>
          <w:fldChar w:fldCharType="begin"/>
        </w:r>
        <w:r w:rsidR="00C313D3">
          <w:rPr>
            <w:noProof/>
            <w:webHidden/>
          </w:rPr>
          <w:instrText xml:space="preserve"> PAGEREF _Toc471215298 \h </w:instrText>
        </w:r>
        <w:r w:rsidR="00C313D3">
          <w:rPr>
            <w:noProof/>
            <w:webHidden/>
          </w:rPr>
        </w:r>
        <w:r w:rsidR="00C313D3">
          <w:rPr>
            <w:noProof/>
            <w:webHidden/>
          </w:rPr>
          <w:fldChar w:fldCharType="separate"/>
        </w:r>
        <w:r w:rsidR="00183782">
          <w:rPr>
            <w:noProof/>
            <w:webHidden/>
          </w:rPr>
          <w:t>5</w:t>
        </w:r>
        <w:r w:rsidR="00C313D3">
          <w:rPr>
            <w:noProof/>
            <w:webHidden/>
          </w:rPr>
          <w:fldChar w:fldCharType="end"/>
        </w:r>
      </w:hyperlink>
    </w:p>
    <w:p w:rsidR="00C313D3" w:rsidRDefault="0008433A" w:rsidP="00C313D3">
      <w:pPr>
        <w:pStyle w:val="TOC3"/>
        <w:ind w:left="840"/>
        <w:rPr>
          <w:noProof/>
          <w:kern w:val="0"/>
          <w:sz w:val="22"/>
          <w:lang w:val="es-ES"/>
        </w:rPr>
      </w:pPr>
      <w:hyperlink w:anchor="_Toc471215299" w:history="1">
        <w:r w:rsidR="00C313D3" w:rsidRPr="00083016">
          <w:rPr>
            <w:rStyle w:val="Hyperlink"/>
            <w:rFonts w:cs="Times New Roman"/>
            <w:noProof/>
            <w:lang w:val="es-ES_tradnl"/>
          </w:rPr>
          <w:t>1.2.3. Salarios y remuneraciones de trabajo</w:t>
        </w:r>
        <w:r w:rsidR="00C313D3">
          <w:rPr>
            <w:noProof/>
            <w:webHidden/>
          </w:rPr>
          <w:tab/>
        </w:r>
        <w:r w:rsidR="00C313D3">
          <w:rPr>
            <w:noProof/>
            <w:webHidden/>
          </w:rPr>
          <w:fldChar w:fldCharType="begin"/>
        </w:r>
        <w:r w:rsidR="00C313D3">
          <w:rPr>
            <w:noProof/>
            <w:webHidden/>
          </w:rPr>
          <w:instrText xml:space="preserve"> PAGEREF _Toc471215299 \h </w:instrText>
        </w:r>
        <w:r w:rsidR="00C313D3">
          <w:rPr>
            <w:noProof/>
            <w:webHidden/>
          </w:rPr>
        </w:r>
        <w:r w:rsidR="00C313D3">
          <w:rPr>
            <w:noProof/>
            <w:webHidden/>
          </w:rPr>
          <w:fldChar w:fldCharType="separate"/>
        </w:r>
        <w:r w:rsidR="00183782">
          <w:rPr>
            <w:noProof/>
            <w:webHidden/>
          </w:rPr>
          <w:t>7</w:t>
        </w:r>
        <w:r w:rsidR="00C313D3">
          <w:rPr>
            <w:noProof/>
            <w:webHidden/>
          </w:rPr>
          <w:fldChar w:fldCharType="end"/>
        </w:r>
      </w:hyperlink>
    </w:p>
    <w:p w:rsidR="00C313D3" w:rsidRDefault="0008433A" w:rsidP="00C313D3">
      <w:pPr>
        <w:pStyle w:val="TOC3"/>
        <w:ind w:left="840"/>
        <w:rPr>
          <w:noProof/>
          <w:kern w:val="0"/>
          <w:sz w:val="22"/>
          <w:lang w:val="es-ES"/>
        </w:rPr>
      </w:pPr>
      <w:hyperlink w:anchor="_Toc471215300" w:history="1">
        <w:r w:rsidR="00C313D3" w:rsidRPr="00083016">
          <w:rPr>
            <w:rStyle w:val="Hyperlink"/>
            <w:noProof/>
          </w:rPr>
          <w:t>1.2.4. Políticas institucionales</w:t>
        </w:r>
        <w:r w:rsidR="00C313D3">
          <w:rPr>
            <w:noProof/>
            <w:webHidden/>
          </w:rPr>
          <w:tab/>
        </w:r>
        <w:r w:rsidR="00C313D3">
          <w:rPr>
            <w:noProof/>
            <w:webHidden/>
          </w:rPr>
          <w:fldChar w:fldCharType="begin"/>
        </w:r>
        <w:r w:rsidR="00C313D3">
          <w:rPr>
            <w:noProof/>
            <w:webHidden/>
          </w:rPr>
          <w:instrText xml:space="preserve"> PAGEREF _Toc471215300 \h </w:instrText>
        </w:r>
        <w:r w:rsidR="00C313D3">
          <w:rPr>
            <w:noProof/>
            <w:webHidden/>
          </w:rPr>
        </w:r>
        <w:r w:rsidR="00C313D3">
          <w:rPr>
            <w:noProof/>
            <w:webHidden/>
          </w:rPr>
          <w:fldChar w:fldCharType="separate"/>
        </w:r>
        <w:r w:rsidR="00183782">
          <w:rPr>
            <w:noProof/>
            <w:webHidden/>
          </w:rPr>
          <w:t>9</w:t>
        </w:r>
        <w:r w:rsidR="00C313D3">
          <w:rPr>
            <w:noProof/>
            <w:webHidden/>
          </w:rPr>
          <w:fldChar w:fldCharType="end"/>
        </w:r>
      </w:hyperlink>
    </w:p>
    <w:p w:rsidR="00C313D3" w:rsidRDefault="0008433A">
      <w:pPr>
        <w:pStyle w:val="TOC1"/>
        <w:rPr>
          <w:noProof/>
          <w:kern w:val="0"/>
          <w:sz w:val="22"/>
          <w:lang w:val="es-ES"/>
        </w:rPr>
      </w:pPr>
      <w:hyperlink w:anchor="_Toc471215301" w:history="1">
        <w:r w:rsidR="00C313D3" w:rsidRPr="00083016">
          <w:rPr>
            <w:rStyle w:val="Hyperlink"/>
            <w:rFonts w:cs="Times New Roman"/>
            <w:noProof/>
          </w:rPr>
          <w:t>Parte 2. El mercado de trabajo en China</w:t>
        </w:r>
        <w:r w:rsidR="00C313D3">
          <w:rPr>
            <w:noProof/>
            <w:webHidden/>
          </w:rPr>
          <w:tab/>
        </w:r>
        <w:r w:rsidR="00C313D3">
          <w:rPr>
            <w:noProof/>
            <w:webHidden/>
          </w:rPr>
          <w:fldChar w:fldCharType="begin"/>
        </w:r>
        <w:r w:rsidR="00C313D3">
          <w:rPr>
            <w:noProof/>
            <w:webHidden/>
          </w:rPr>
          <w:instrText xml:space="preserve"> PAGEREF _Toc471215301 \h </w:instrText>
        </w:r>
        <w:r w:rsidR="00C313D3">
          <w:rPr>
            <w:noProof/>
            <w:webHidden/>
          </w:rPr>
        </w:r>
        <w:r w:rsidR="00C313D3">
          <w:rPr>
            <w:noProof/>
            <w:webHidden/>
          </w:rPr>
          <w:fldChar w:fldCharType="separate"/>
        </w:r>
        <w:r w:rsidR="00183782">
          <w:rPr>
            <w:noProof/>
            <w:webHidden/>
          </w:rPr>
          <w:t>11</w:t>
        </w:r>
        <w:r w:rsidR="00C313D3">
          <w:rPr>
            <w:noProof/>
            <w:webHidden/>
          </w:rPr>
          <w:fldChar w:fldCharType="end"/>
        </w:r>
      </w:hyperlink>
    </w:p>
    <w:p w:rsidR="00C313D3" w:rsidRDefault="0008433A">
      <w:pPr>
        <w:pStyle w:val="TOC2"/>
        <w:rPr>
          <w:noProof/>
          <w:kern w:val="0"/>
          <w:sz w:val="22"/>
          <w:lang w:val="es-ES"/>
        </w:rPr>
      </w:pPr>
      <w:hyperlink w:anchor="_Toc471215302" w:history="1">
        <w:r w:rsidR="00C313D3" w:rsidRPr="00083016">
          <w:rPr>
            <w:rStyle w:val="Hyperlink"/>
            <w:rFonts w:cs="Times New Roman"/>
            <w:noProof/>
            <w:lang w:val="es-ES_tradnl"/>
          </w:rPr>
          <w:t>2.1. El entorno de mercado laboral en China</w:t>
        </w:r>
        <w:r w:rsidR="00C313D3">
          <w:rPr>
            <w:noProof/>
            <w:webHidden/>
          </w:rPr>
          <w:tab/>
        </w:r>
        <w:r w:rsidR="00C313D3">
          <w:rPr>
            <w:noProof/>
            <w:webHidden/>
          </w:rPr>
          <w:fldChar w:fldCharType="begin"/>
        </w:r>
        <w:r w:rsidR="00C313D3">
          <w:rPr>
            <w:noProof/>
            <w:webHidden/>
          </w:rPr>
          <w:instrText xml:space="preserve"> PAGEREF _Toc471215302 \h </w:instrText>
        </w:r>
        <w:r w:rsidR="00C313D3">
          <w:rPr>
            <w:noProof/>
            <w:webHidden/>
          </w:rPr>
        </w:r>
        <w:r w:rsidR="00C313D3">
          <w:rPr>
            <w:noProof/>
            <w:webHidden/>
          </w:rPr>
          <w:fldChar w:fldCharType="separate"/>
        </w:r>
        <w:r w:rsidR="00183782">
          <w:rPr>
            <w:noProof/>
            <w:webHidden/>
          </w:rPr>
          <w:t>11</w:t>
        </w:r>
        <w:r w:rsidR="00C313D3">
          <w:rPr>
            <w:noProof/>
            <w:webHidden/>
          </w:rPr>
          <w:fldChar w:fldCharType="end"/>
        </w:r>
      </w:hyperlink>
    </w:p>
    <w:p w:rsidR="00C313D3" w:rsidRDefault="0008433A" w:rsidP="00C313D3">
      <w:pPr>
        <w:pStyle w:val="TOC3"/>
        <w:ind w:left="840"/>
        <w:rPr>
          <w:noProof/>
          <w:kern w:val="0"/>
          <w:sz w:val="22"/>
          <w:lang w:val="es-ES"/>
        </w:rPr>
      </w:pPr>
      <w:hyperlink w:anchor="_Toc471215303" w:history="1">
        <w:r w:rsidR="00C313D3" w:rsidRPr="00083016">
          <w:rPr>
            <w:rStyle w:val="Hyperlink"/>
            <w:rFonts w:cs="Times New Roman"/>
            <w:noProof/>
            <w:lang w:val="es-ES_tradnl"/>
          </w:rPr>
          <w:t>2.1.1 Población total y población flotante</w:t>
        </w:r>
        <w:r w:rsidR="00C313D3">
          <w:rPr>
            <w:noProof/>
            <w:webHidden/>
          </w:rPr>
          <w:tab/>
        </w:r>
        <w:r w:rsidR="00C313D3">
          <w:rPr>
            <w:noProof/>
            <w:webHidden/>
          </w:rPr>
          <w:fldChar w:fldCharType="begin"/>
        </w:r>
        <w:r w:rsidR="00C313D3">
          <w:rPr>
            <w:noProof/>
            <w:webHidden/>
          </w:rPr>
          <w:instrText xml:space="preserve"> PAGEREF _Toc471215303 \h </w:instrText>
        </w:r>
        <w:r w:rsidR="00C313D3">
          <w:rPr>
            <w:noProof/>
            <w:webHidden/>
          </w:rPr>
        </w:r>
        <w:r w:rsidR="00C313D3">
          <w:rPr>
            <w:noProof/>
            <w:webHidden/>
          </w:rPr>
          <w:fldChar w:fldCharType="separate"/>
        </w:r>
        <w:r w:rsidR="00183782">
          <w:rPr>
            <w:noProof/>
            <w:webHidden/>
          </w:rPr>
          <w:t>11</w:t>
        </w:r>
        <w:r w:rsidR="00C313D3">
          <w:rPr>
            <w:noProof/>
            <w:webHidden/>
          </w:rPr>
          <w:fldChar w:fldCharType="end"/>
        </w:r>
      </w:hyperlink>
    </w:p>
    <w:p w:rsidR="00C313D3" w:rsidRDefault="0008433A" w:rsidP="00C313D3">
      <w:pPr>
        <w:pStyle w:val="TOC3"/>
        <w:ind w:left="840"/>
        <w:rPr>
          <w:noProof/>
          <w:kern w:val="0"/>
          <w:sz w:val="22"/>
          <w:lang w:val="es-ES"/>
        </w:rPr>
      </w:pPr>
      <w:hyperlink w:anchor="_Toc471215304" w:history="1">
        <w:r w:rsidR="00C313D3" w:rsidRPr="00083016">
          <w:rPr>
            <w:rStyle w:val="Hyperlink"/>
            <w:rFonts w:cs="Times New Roman"/>
            <w:noProof/>
            <w:shd w:val="clear" w:color="auto" w:fill="FFFFFF"/>
          </w:rPr>
          <w:t>2.1.2 Geográfico y economía</w:t>
        </w:r>
        <w:r w:rsidR="00C313D3">
          <w:rPr>
            <w:noProof/>
            <w:webHidden/>
          </w:rPr>
          <w:tab/>
        </w:r>
        <w:r w:rsidR="00C313D3">
          <w:rPr>
            <w:noProof/>
            <w:webHidden/>
          </w:rPr>
          <w:fldChar w:fldCharType="begin"/>
        </w:r>
        <w:r w:rsidR="00C313D3">
          <w:rPr>
            <w:noProof/>
            <w:webHidden/>
          </w:rPr>
          <w:instrText xml:space="preserve"> PAGEREF _Toc471215304 \h </w:instrText>
        </w:r>
        <w:r w:rsidR="00C313D3">
          <w:rPr>
            <w:noProof/>
            <w:webHidden/>
          </w:rPr>
        </w:r>
        <w:r w:rsidR="00C313D3">
          <w:rPr>
            <w:noProof/>
            <w:webHidden/>
          </w:rPr>
          <w:fldChar w:fldCharType="separate"/>
        </w:r>
        <w:r w:rsidR="00183782">
          <w:rPr>
            <w:noProof/>
            <w:webHidden/>
          </w:rPr>
          <w:t>16</w:t>
        </w:r>
        <w:r w:rsidR="00C313D3">
          <w:rPr>
            <w:noProof/>
            <w:webHidden/>
          </w:rPr>
          <w:fldChar w:fldCharType="end"/>
        </w:r>
      </w:hyperlink>
    </w:p>
    <w:p w:rsidR="00C313D3" w:rsidRDefault="0008433A" w:rsidP="00C313D3">
      <w:pPr>
        <w:pStyle w:val="TOC2"/>
        <w:rPr>
          <w:noProof/>
          <w:kern w:val="0"/>
          <w:sz w:val="22"/>
          <w:lang w:val="es-ES"/>
        </w:rPr>
      </w:pPr>
      <w:hyperlink w:anchor="_Toc471215305" w:history="1">
        <w:r w:rsidR="00C313D3" w:rsidRPr="00083016">
          <w:rPr>
            <w:rStyle w:val="Hyperlink"/>
            <w:rFonts w:cs="Times New Roman"/>
            <w:noProof/>
            <w:shd w:val="clear" w:color="auto" w:fill="FFFFFF"/>
            <w:lang w:val="es-ES_tradnl"/>
          </w:rPr>
          <w:t>2.2. Configuración y evolución del mercado laboral de China</w:t>
        </w:r>
        <w:r w:rsidR="00C313D3">
          <w:rPr>
            <w:noProof/>
            <w:webHidden/>
          </w:rPr>
          <w:tab/>
        </w:r>
        <w:r w:rsidR="00C313D3">
          <w:rPr>
            <w:noProof/>
            <w:webHidden/>
          </w:rPr>
          <w:fldChar w:fldCharType="begin"/>
        </w:r>
        <w:r w:rsidR="00C313D3">
          <w:rPr>
            <w:noProof/>
            <w:webHidden/>
          </w:rPr>
          <w:instrText xml:space="preserve"> PAGEREF _Toc471215305 \h </w:instrText>
        </w:r>
        <w:r w:rsidR="00C313D3">
          <w:rPr>
            <w:noProof/>
            <w:webHidden/>
          </w:rPr>
        </w:r>
        <w:r w:rsidR="00C313D3">
          <w:rPr>
            <w:noProof/>
            <w:webHidden/>
          </w:rPr>
          <w:fldChar w:fldCharType="separate"/>
        </w:r>
        <w:r w:rsidR="00183782">
          <w:rPr>
            <w:noProof/>
            <w:webHidden/>
          </w:rPr>
          <w:t>19</w:t>
        </w:r>
        <w:r w:rsidR="00C313D3">
          <w:rPr>
            <w:noProof/>
            <w:webHidden/>
          </w:rPr>
          <w:fldChar w:fldCharType="end"/>
        </w:r>
      </w:hyperlink>
    </w:p>
    <w:p w:rsidR="00C313D3" w:rsidRDefault="0008433A" w:rsidP="00C313D3">
      <w:pPr>
        <w:pStyle w:val="TOC3"/>
        <w:ind w:left="840"/>
        <w:rPr>
          <w:noProof/>
          <w:kern w:val="0"/>
          <w:sz w:val="22"/>
          <w:lang w:val="es-ES"/>
        </w:rPr>
      </w:pPr>
      <w:hyperlink w:anchor="_Toc471215306" w:history="1">
        <w:r w:rsidR="00C313D3" w:rsidRPr="00083016">
          <w:rPr>
            <w:rStyle w:val="Hyperlink"/>
            <w:rFonts w:cs="Times New Roman"/>
            <w:noProof/>
            <w:shd w:val="clear" w:color="auto" w:fill="FFFFFF"/>
            <w:lang w:val="es-ES_tradnl"/>
          </w:rPr>
          <w:t>2.2.1. Perspectiva histórica</w:t>
        </w:r>
        <w:r w:rsidR="00C313D3">
          <w:rPr>
            <w:noProof/>
            <w:webHidden/>
          </w:rPr>
          <w:tab/>
        </w:r>
        <w:r w:rsidR="00C313D3">
          <w:rPr>
            <w:noProof/>
            <w:webHidden/>
          </w:rPr>
          <w:fldChar w:fldCharType="begin"/>
        </w:r>
        <w:r w:rsidR="00C313D3">
          <w:rPr>
            <w:noProof/>
            <w:webHidden/>
          </w:rPr>
          <w:instrText xml:space="preserve"> PAGEREF _Toc471215306 \h </w:instrText>
        </w:r>
        <w:r w:rsidR="00C313D3">
          <w:rPr>
            <w:noProof/>
            <w:webHidden/>
          </w:rPr>
        </w:r>
        <w:r w:rsidR="00C313D3">
          <w:rPr>
            <w:noProof/>
            <w:webHidden/>
          </w:rPr>
          <w:fldChar w:fldCharType="separate"/>
        </w:r>
        <w:r w:rsidR="00183782">
          <w:rPr>
            <w:noProof/>
            <w:webHidden/>
          </w:rPr>
          <w:t>20</w:t>
        </w:r>
        <w:r w:rsidR="00C313D3">
          <w:rPr>
            <w:noProof/>
            <w:webHidden/>
          </w:rPr>
          <w:fldChar w:fldCharType="end"/>
        </w:r>
      </w:hyperlink>
    </w:p>
    <w:p w:rsidR="00C313D3" w:rsidRDefault="0008433A" w:rsidP="00C313D3">
      <w:pPr>
        <w:pStyle w:val="TOC3"/>
        <w:tabs>
          <w:tab w:val="left" w:pos="1760"/>
        </w:tabs>
        <w:ind w:left="840"/>
        <w:rPr>
          <w:noProof/>
          <w:kern w:val="0"/>
          <w:sz w:val="22"/>
          <w:lang w:val="es-ES"/>
        </w:rPr>
      </w:pPr>
      <w:hyperlink w:anchor="_Toc471215307" w:history="1">
        <w:r w:rsidR="00C313D3" w:rsidRPr="00083016">
          <w:rPr>
            <w:rStyle w:val="Hyperlink"/>
            <w:noProof/>
          </w:rPr>
          <w:t>2.2.2.</w:t>
        </w:r>
        <w:r w:rsidR="00C313D3">
          <w:rPr>
            <w:noProof/>
            <w:kern w:val="0"/>
            <w:sz w:val="22"/>
            <w:lang w:val="es-ES"/>
          </w:rPr>
          <w:tab/>
        </w:r>
        <w:r w:rsidR="00C313D3" w:rsidRPr="00083016">
          <w:rPr>
            <w:rStyle w:val="Hyperlink"/>
            <w:noProof/>
          </w:rPr>
          <w:t>Evolución del desempleo</w:t>
        </w:r>
        <w:r w:rsidR="00C313D3">
          <w:rPr>
            <w:noProof/>
            <w:webHidden/>
          </w:rPr>
          <w:tab/>
        </w:r>
        <w:r w:rsidR="00C313D3">
          <w:rPr>
            <w:noProof/>
            <w:webHidden/>
          </w:rPr>
          <w:fldChar w:fldCharType="begin"/>
        </w:r>
        <w:r w:rsidR="00C313D3">
          <w:rPr>
            <w:noProof/>
            <w:webHidden/>
          </w:rPr>
          <w:instrText xml:space="preserve"> PAGEREF _Toc471215307 \h </w:instrText>
        </w:r>
        <w:r w:rsidR="00C313D3">
          <w:rPr>
            <w:noProof/>
            <w:webHidden/>
          </w:rPr>
        </w:r>
        <w:r w:rsidR="00C313D3">
          <w:rPr>
            <w:noProof/>
            <w:webHidden/>
          </w:rPr>
          <w:fldChar w:fldCharType="separate"/>
        </w:r>
        <w:r w:rsidR="00183782">
          <w:rPr>
            <w:noProof/>
            <w:webHidden/>
          </w:rPr>
          <w:t>22</w:t>
        </w:r>
        <w:r w:rsidR="00C313D3">
          <w:rPr>
            <w:noProof/>
            <w:webHidden/>
          </w:rPr>
          <w:fldChar w:fldCharType="end"/>
        </w:r>
      </w:hyperlink>
    </w:p>
    <w:p w:rsidR="00C313D3" w:rsidRDefault="0008433A" w:rsidP="00C313D3">
      <w:pPr>
        <w:pStyle w:val="TOC3"/>
        <w:ind w:left="840"/>
        <w:rPr>
          <w:noProof/>
          <w:kern w:val="0"/>
          <w:sz w:val="22"/>
          <w:lang w:val="es-ES"/>
        </w:rPr>
      </w:pPr>
      <w:hyperlink w:anchor="_Toc471215308" w:history="1">
        <w:r w:rsidR="00C313D3" w:rsidRPr="00083016">
          <w:rPr>
            <w:rStyle w:val="Hyperlink"/>
            <w:rFonts w:cs="Times New Roman"/>
            <w:noProof/>
            <w:lang w:val="es-ES_tradnl"/>
          </w:rPr>
          <w:t>2.2.3. La situación básica del estudio de mercado laboral de China</w:t>
        </w:r>
        <w:r w:rsidR="00C313D3">
          <w:rPr>
            <w:noProof/>
            <w:webHidden/>
          </w:rPr>
          <w:tab/>
        </w:r>
        <w:r w:rsidR="00C313D3">
          <w:rPr>
            <w:noProof/>
            <w:webHidden/>
          </w:rPr>
          <w:fldChar w:fldCharType="begin"/>
        </w:r>
        <w:r w:rsidR="00C313D3">
          <w:rPr>
            <w:noProof/>
            <w:webHidden/>
          </w:rPr>
          <w:instrText xml:space="preserve"> PAGEREF _Toc471215308 \h </w:instrText>
        </w:r>
        <w:r w:rsidR="00C313D3">
          <w:rPr>
            <w:noProof/>
            <w:webHidden/>
          </w:rPr>
        </w:r>
        <w:r w:rsidR="00C313D3">
          <w:rPr>
            <w:noProof/>
            <w:webHidden/>
          </w:rPr>
          <w:fldChar w:fldCharType="separate"/>
        </w:r>
        <w:r w:rsidR="00183782">
          <w:rPr>
            <w:noProof/>
            <w:webHidden/>
          </w:rPr>
          <w:t>24</w:t>
        </w:r>
        <w:r w:rsidR="00C313D3">
          <w:rPr>
            <w:noProof/>
            <w:webHidden/>
          </w:rPr>
          <w:fldChar w:fldCharType="end"/>
        </w:r>
      </w:hyperlink>
    </w:p>
    <w:p w:rsidR="00C313D3" w:rsidRDefault="0008433A" w:rsidP="00C313D3">
      <w:pPr>
        <w:pStyle w:val="TOC3"/>
        <w:ind w:left="840"/>
        <w:rPr>
          <w:noProof/>
          <w:kern w:val="0"/>
          <w:sz w:val="22"/>
          <w:lang w:val="es-ES"/>
        </w:rPr>
      </w:pPr>
      <w:hyperlink w:anchor="_Toc471215309" w:history="1">
        <w:r w:rsidR="00C313D3" w:rsidRPr="00083016">
          <w:rPr>
            <w:rStyle w:val="Hyperlink"/>
            <w:noProof/>
          </w:rPr>
          <w:t>2.2.4. Los problemas del mercado laboral de China</w:t>
        </w:r>
        <w:r w:rsidR="00C313D3">
          <w:rPr>
            <w:noProof/>
            <w:webHidden/>
          </w:rPr>
          <w:tab/>
        </w:r>
        <w:r w:rsidR="00C313D3">
          <w:rPr>
            <w:noProof/>
            <w:webHidden/>
          </w:rPr>
          <w:fldChar w:fldCharType="begin"/>
        </w:r>
        <w:r w:rsidR="00C313D3">
          <w:rPr>
            <w:noProof/>
            <w:webHidden/>
          </w:rPr>
          <w:instrText xml:space="preserve"> PAGEREF _Toc471215309 \h </w:instrText>
        </w:r>
        <w:r w:rsidR="00C313D3">
          <w:rPr>
            <w:noProof/>
            <w:webHidden/>
          </w:rPr>
        </w:r>
        <w:r w:rsidR="00C313D3">
          <w:rPr>
            <w:noProof/>
            <w:webHidden/>
          </w:rPr>
          <w:fldChar w:fldCharType="separate"/>
        </w:r>
        <w:r w:rsidR="00183782">
          <w:rPr>
            <w:noProof/>
            <w:webHidden/>
          </w:rPr>
          <w:t>25</w:t>
        </w:r>
        <w:r w:rsidR="00C313D3">
          <w:rPr>
            <w:noProof/>
            <w:webHidden/>
          </w:rPr>
          <w:fldChar w:fldCharType="end"/>
        </w:r>
      </w:hyperlink>
    </w:p>
    <w:p w:rsidR="00C313D3" w:rsidRDefault="0008433A">
      <w:pPr>
        <w:pStyle w:val="TOC1"/>
        <w:rPr>
          <w:noProof/>
          <w:kern w:val="0"/>
          <w:sz w:val="22"/>
          <w:lang w:val="es-ES"/>
        </w:rPr>
      </w:pPr>
      <w:hyperlink w:anchor="_Toc471215310" w:history="1">
        <w:r w:rsidR="00C313D3" w:rsidRPr="00083016">
          <w:rPr>
            <w:rStyle w:val="Hyperlink"/>
            <w:rFonts w:cs="Times New Roman"/>
            <w:noProof/>
          </w:rPr>
          <w:t>Parte 3. Comparación del mercado laboral entre China y España</w:t>
        </w:r>
        <w:r w:rsidR="00C313D3">
          <w:rPr>
            <w:noProof/>
            <w:webHidden/>
          </w:rPr>
          <w:tab/>
        </w:r>
        <w:r w:rsidR="00C313D3">
          <w:rPr>
            <w:noProof/>
            <w:webHidden/>
          </w:rPr>
          <w:fldChar w:fldCharType="begin"/>
        </w:r>
        <w:r w:rsidR="00C313D3">
          <w:rPr>
            <w:noProof/>
            <w:webHidden/>
          </w:rPr>
          <w:instrText xml:space="preserve"> PAGEREF _Toc471215310 \h </w:instrText>
        </w:r>
        <w:r w:rsidR="00C313D3">
          <w:rPr>
            <w:noProof/>
            <w:webHidden/>
          </w:rPr>
        </w:r>
        <w:r w:rsidR="00C313D3">
          <w:rPr>
            <w:noProof/>
            <w:webHidden/>
          </w:rPr>
          <w:fldChar w:fldCharType="separate"/>
        </w:r>
        <w:r w:rsidR="00183782">
          <w:rPr>
            <w:noProof/>
            <w:webHidden/>
          </w:rPr>
          <w:t>26</w:t>
        </w:r>
        <w:r w:rsidR="00C313D3">
          <w:rPr>
            <w:noProof/>
            <w:webHidden/>
          </w:rPr>
          <w:fldChar w:fldCharType="end"/>
        </w:r>
      </w:hyperlink>
    </w:p>
    <w:p w:rsidR="00C313D3" w:rsidRDefault="0008433A">
      <w:pPr>
        <w:pStyle w:val="TOC2"/>
        <w:rPr>
          <w:noProof/>
          <w:kern w:val="0"/>
          <w:sz w:val="22"/>
          <w:lang w:val="es-ES"/>
        </w:rPr>
      </w:pPr>
      <w:hyperlink w:anchor="_Toc471215311" w:history="1">
        <w:r w:rsidR="00C313D3" w:rsidRPr="00083016">
          <w:rPr>
            <w:rStyle w:val="Hyperlink"/>
            <w:rFonts w:cs="Times New Roman"/>
            <w:noProof/>
            <w:lang w:val="es-ES_tradnl"/>
          </w:rPr>
          <w:t>3.1 Tasa de población activa</w:t>
        </w:r>
        <w:r w:rsidR="00C313D3">
          <w:rPr>
            <w:noProof/>
            <w:webHidden/>
          </w:rPr>
          <w:tab/>
        </w:r>
        <w:r w:rsidR="00C313D3">
          <w:rPr>
            <w:noProof/>
            <w:webHidden/>
          </w:rPr>
          <w:fldChar w:fldCharType="begin"/>
        </w:r>
        <w:r w:rsidR="00C313D3">
          <w:rPr>
            <w:noProof/>
            <w:webHidden/>
          </w:rPr>
          <w:instrText xml:space="preserve"> PAGEREF _Toc471215311 \h </w:instrText>
        </w:r>
        <w:r w:rsidR="00C313D3">
          <w:rPr>
            <w:noProof/>
            <w:webHidden/>
          </w:rPr>
        </w:r>
        <w:r w:rsidR="00C313D3">
          <w:rPr>
            <w:noProof/>
            <w:webHidden/>
          </w:rPr>
          <w:fldChar w:fldCharType="separate"/>
        </w:r>
        <w:r w:rsidR="00183782">
          <w:rPr>
            <w:noProof/>
            <w:webHidden/>
          </w:rPr>
          <w:t>26</w:t>
        </w:r>
        <w:r w:rsidR="00C313D3">
          <w:rPr>
            <w:noProof/>
            <w:webHidden/>
          </w:rPr>
          <w:fldChar w:fldCharType="end"/>
        </w:r>
      </w:hyperlink>
    </w:p>
    <w:p w:rsidR="00C313D3" w:rsidRDefault="0008433A">
      <w:pPr>
        <w:pStyle w:val="TOC2"/>
        <w:rPr>
          <w:noProof/>
          <w:kern w:val="0"/>
          <w:sz w:val="22"/>
          <w:lang w:val="es-ES"/>
        </w:rPr>
      </w:pPr>
      <w:hyperlink w:anchor="_Toc471215312" w:history="1">
        <w:r w:rsidR="00C313D3" w:rsidRPr="00083016">
          <w:rPr>
            <w:rStyle w:val="Hyperlink"/>
            <w:noProof/>
          </w:rPr>
          <w:t>3.2. Población activa, mujeres</w:t>
        </w:r>
        <w:r w:rsidR="00C313D3">
          <w:rPr>
            <w:noProof/>
            <w:webHidden/>
          </w:rPr>
          <w:tab/>
        </w:r>
        <w:r w:rsidR="00C313D3">
          <w:rPr>
            <w:noProof/>
            <w:webHidden/>
          </w:rPr>
          <w:fldChar w:fldCharType="begin"/>
        </w:r>
        <w:r w:rsidR="00C313D3">
          <w:rPr>
            <w:noProof/>
            <w:webHidden/>
          </w:rPr>
          <w:instrText xml:space="preserve"> PAGEREF _Toc471215312 \h </w:instrText>
        </w:r>
        <w:r w:rsidR="00C313D3">
          <w:rPr>
            <w:noProof/>
            <w:webHidden/>
          </w:rPr>
        </w:r>
        <w:r w:rsidR="00C313D3">
          <w:rPr>
            <w:noProof/>
            <w:webHidden/>
          </w:rPr>
          <w:fldChar w:fldCharType="separate"/>
        </w:r>
        <w:r w:rsidR="00183782">
          <w:rPr>
            <w:noProof/>
            <w:webHidden/>
          </w:rPr>
          <w:t>28</w:t>
        </w:r>
        <w:r w:rsidR="00C313D3">
          <w:rPr>
            <w:noProof/>
            <w:webHidden/>
          </w:rPr>
          <w:fldChar w:fldCharType="end"/>
        </w:r>
      </w:hyperlink>
    </w:p>
    <w:p w:rsidR="00C313D3" w:rsidRDefault="0008433A">
      <w:pPr>
        <w:pStyle w:val="TOC2"/>
        <w:rPr>
          <w:noProof/>
          <w:kern w:val="0"/>
          <w:sz w:val="22"/>
          <w:lang w:val="es-ES"/>
        </w:rPr>
      </w:pPr>
      <w:hyperlink w:anchor="_Toc471215313" w:history="1">
        <w:r w:rsidR="00C313D3" w:rsidRPr="00083016">
          <w:rPr>
            <w:rStyle w:val="Hyperlink"/>
            <w:rFonts w:cs="Times New Roman"/>
            <w:noProof/>
            <w:lang w:val="es-ES_tradnl"/>
          </w:rPr>
          <w:t xml:space="preserve">3.3. </w:t>
        </w:r>
        <w:r w:rsidR="00C313D3" w:rsidRPr="00083016">
          <w:rPr>
            <w:rStyle w:val="Hyperlink"/>
            <w:rFonts w:cs="Times New Roman"/>
            <w:noProof/>
          </w:rPr>
          <w:t>Población ocupada por grupo de edad (% total empleos)</w:t>
        </w:r>
        <w:r w:rsidR="00C313D3">
          <w:rPr>
            <w:noProof/>
            <w:webHidden/>
          </w:rPr>
          <w:tab/>
        </w:r>
        <w:r w:rsidR="00C313D3">
          <w:rPr>
            <w:noProof/>
            <w:webHidden/>
          </w:rPr>
          <w:fldChar w:fldCharType="begin"/>
        </w:r>
        <w:r w:rsidR="00C313D3">
          <w:rPr>
            <w:noProof/>
            <w:webHidden/>
          </w:rPr>
          <w:instrText xml:space="preserve"> PAGEREF _Toc471215313 \h </w:instrText>
        </w:r>
        <w:r w:rsidR="00C313D3">
          <w:rPr>
            <w:noProof/>
            <w:webHidden/>
          </w:rPr>
        </w:r>
        <w:r w:rsidR="00C313D3">
          <w:rPr>
            <w:noProof/>
            <w:webHidden/>
          </w:rPr>
          <w:fldChar w:fldCharType="separate"/>
        </w:r>
        <w:r w:rsidR="00183782">
          <w:rPr>
            <w:noProof/>
            <w:webHidden/>
          </w:rPr>
          <w:t>30</w:t>
        </w:r>
        <w:r w:rsidR="00C313D3">
          <w:rPr>
            <w:noProof/>
            <w:webHidden/>
          </w:rPr>
          <w:fldChar w:fldCharType="end"/>
        </w:r>
      </w:hyperlink>
    </w:p>
    <w:p w:rsidR="00C313D3" w:rsidRDefault="0008433A">
      <w:pPr>
        <w:pStyle w:val="TOC2"/>
        <w:rPr>
          <w:noProof/>
          <w:kern w:val="0"/>
          <w:sz w:val="22"/>
          <w:lang w:val="es-ES"/>
        </w:rPr>
      </w:pPr>
      <w:hyperlink w:anchor="_Toc471215314" w:history="1">
        <w:r w:rsidR="00C313D3" w:rsidRPr="00083016">
          <w:rPr>
            <w:rStyle w:val="Hyperlink"/>
            <w:rFonts w:cs="Times New Roman"/>
            <w:noProof/>
            <w:lang w:val="es-ES_tradnl"/>
          </w:rPr>
          <w:t>3.3 Mercado laboral por sectores de actividad</w:t>
        </w:r>
        <w:r w:rsidR="00C313D3">
          <w:rPr>
            <w:noProof/>
            <w:webHidden/>
          </w:rPr>
          <w:tab/>
        </w:r>
        <w:r w:rsidR="00C313D3">
          <w:rPr>
            <w:noProof/>
            <w:webHidden/>
          </w:rPr>
          <w:fldChar w:fldCharType="begin"/>
        </w:r>
        <w:r w:rsidR="00C313D3">
          <w:rPr>
            <w:noProof/>
            <w:webHidden/>
          </w:rPr>
          <w:instrText xml:space="preserve"> PAGEREF _Toc471215314 \h </w:instrText>
        </w:r>
        <w:r w:rsidR="00C313D3">
          <w:rPr>
            <w:noProof/>
            <w:webHidden/>
          </w:rPr>
        </w:r>
        <w:r w:rsidR="00C313D3">
          <w:rPr>
            <w:noProof/>
            <w:webHidden/>
          </w:rPr>
          <w:fldChar w:fldCharType="separate"/>
        </w:r>
        <w:r w:rsidR="00183782">
          <w:rPr>
            <w:noProof/>
            <w:webHidden/>
          </w:rPr>
          <w:t>31</w:t>
        </w:r>
        <w:r w:rsidR="00C313D3">
          <w:rPr>
            <w:noProof/>
            <w:webHidden/>
          </w:rPr>
          <w:fldChar w:fldCharType="end"/>
        </w:r>
      </w:hyperlink>
    </w:p>
    <w:p w:rsidR="00C313D3" w:rsidRDefault="0008433A">
      <w:pPr>
        <w:pStyle w:val="TOC2"/>
        <w:rPr>
          <w:noProof/>
          <w:kern w:val="0"/>
          <w:sz w:val="22"/>
          <w:lang w:val="es-ES"/>
        </w:rPr>
      </w:pPr>
      <w:hyperlink w:anchor="_Toc471215315" w:history="1">
        <w:r w:rsidR="00C313D3" w:rsidRPr="00083016">
          <w:rPr>
            <w:rStyle w:val="Hyperlink"/>
            <w:noProof/>
            <w:lang w:val="es-ES_tradnl"/>
          </w:rPr>
          <w:t>3.4. La relación de población activa con nivel de estudio</w:t>
        </w:r>
        <w:r w:rsidR="00C313D3">
          <w:rPr>
            <w:noProof/>
            <w:webHidden/>
          </w:rPr>
          <w:tab/>
        </w:r>
        <w:r w:rsidR="00C313D3">
          <w:rPr>
            <w:noProof/>
            <w:webHidden/>
          </w:rPr>
          <w:fldChar w:fldCharType="begin"/>
        </w:r>
        <w:r w:rsidR="00C313D3">
          <w:rPr>
            <w:noProof/>
            <w:webHidden/>
          </w:rPr>
          <w:instrText xml:space="preserve"> PAGEREF _Toc471215315 \h </w:instrText>
        </w:r>
        <w:r w:rsidR="00C313D3">
          <w:rPr>
            <w:noProof/>
            <w:webHidden/>
          </w:rPr>
        </w:r>
        <w:r w:rsidR="00C313D3">
          <w:rPr>
            <w:noProof/>
            <w:webHidden/>
          </w:rPr>
          <w:fldChar w:fldCharType="separate"/>
        </w:r>
        <w:r w:rsidR="00183782">
          <w:rPr>
            <w:noProof/>
            <w:webHidden/>
          </w:rPr>
          <w:t>40</w:t>
        </w:r>
        <w:r w:rsidR="00C313D3">
          <w:rPr>
            <w:noProof/>
            <w:webHidden/>
          </w:rPr>
          <w:fldChar w:fldCharType="end"/>
        </w:r>
      </w:hyperlink>
    </w:p>
    <w:p w:rsidR="00C313D3" w:rsidRDefault="0008433A">
      <w:pPr>
        <w:pStyle w:val="TOC2"/>
        <w:rPr>
          <w:noProof/>
          <w:kern w:val="0"/>
          <w:sz w:val="22"/>
          <w:lang w:val="es-ES"/>
        </w:rPr>
      </w:pPr>
      <w:hyperlink w:anchor="_Toc471215316" w:history="1">
        <w:r w:rsidR="00C313D3" w:rsidRPr="00083016">
          <w:rPr>
            <w:rStyle w:val="Hyperlink"/>
            <w:noProof/>
            <w:lang w:val="es-ES_tradnl"/>
          </w:rPr>
          <w:t>3.5. Salarios</w:t>
        </w:r>
        <w:r w:rsidR="00C313D3">
          <w:rPr>
            <w:noProof/>
            <w:webHidden/>
          </w:rPr>
          <w:tab/>
        </w:r>
        <w:r w:rsidR="00C313D3">
          <w:rPr>
            <w:noProof/>
            <w:webHidden/>
          </w:rPr>
          <w:fldChar w:fldCharType="begin"/>
        </w:r>
        <w:r w:rsidR="00C313D3">
          <w:rPr>
            <w:noProof/>
            <w:webHidden/>
          </w:rPr>
          <w:instrText xml:space="preserve"> PAGEREF _Toc471215316 \h </w:instrText>
        </w:r>
        <w:r w:rsidR="00C313D3">
          <w:rPr>
            <w:noProof/>
            <w:webHidden/>
          </w:rPr>
        </w:r>
        <w:r w:rsidR="00C313D3">
          <w:rPr>
            <w:noProof/>
            <w:webHidden/>
          </w:rPr>
          <w:fldChar w:fldCharType="separate"/>
        </w:r>
        <w:r w:rsidR="00183782">
          <w:rPr>
            <w:noProof/>
            <w:webHidden/>
          </w:rPr>
          <w:t>43</w:t>
        </w:r>
        <w:r w:rsidR="00C313D3">
          <w:rPr>
            <w:noProof/>
            <w:webHidden/>
          </w:rPr>
          <w:fldChar w:fldCharType="end"/>
        </w:r>
      </w:hyperlink>
    </w:p>
    <w:p w:rsidR="00C313D3" w:rsidRDefault="0008433A" w:rsidP="00C313D3">
      <w:pPr>
        <w:pStyle w:val="TOC3"/>
        <w:ind w:left="840"/>
        <w:rPr>
          <w:noProof/>
          <w:kern w:val="0"/>
          <w:sz w:val="22"/>
          <w:lang w:val="es-ES"/>
        </w:rPr>
      </w:pPr>
      <w:hyperlink w:anchor="_Toc471215317" w:history="1">
        <w:r w:rsidR="00C313D3" w:rsidRPr="00083016">
          <w:rPr>
            <w:rStyle w:val="Hyperlink"/>
            <w:noProof/>
            <w:lang w:val="es-ES_tradnl"/>
          </w:rPr>
          <w:t>3.5.1.  El salario medio de los empleados urbanos (Anual)</w:t>
        </w:r>
        <w:r w:rsidR="00C313D3">
          <w:rPr>
            <w:noProof/>
            <w:webHidden/>
          </w:rPr>
          <w:tab/>
        </w:r>
        <w:r w:rsidR="00C313D3">
          <w:rPr>
            <w:noProof/>
            <w:webHidden/>
          </w:rPr>
          <w:fldChar w:fldCharType="begin"/>
        </w:r>
        <w:r w:rsidR="00C313D3">
          <w:rPr>
            <w:noProof/>
            <w:webHidden/>
          </w:rPr>
          <w:instrText xml:space="preserve"> PAGEREF _Toc471215317 \h </w:instrText>
        </w:r>
        <w:r w:rsidR="00C313D3">
          <w:rPr>
            <w:noProof/>
            <w:webHidden/>
          </w:rPr>
        </w:r>
        <w:r w:rsidR="00C313D3">
          <w:rPr>
            <w:noProof/>
            <w:webHidden/>
          </w:rPr>
          <w:fldChar w:fldCharType="separate"/>
        </w:r>
        <w:r w:rsidR="00183782">
          <w:rPr>
            <w:noProof/>
            <w:webHidden/>
          </w:rPr>
          <w:t>43</w:t>
        </w:r>
        <w:r w:rsidR="00C313D3">
          <w:rPr>
            <w:noProof/>
            <w:webHidden/>
          </w:rPr>
          <w:fldChar w:fldCharType="end"/>
        </w:r>
      </w:hyperlink>
    </w:p>
    <w:p w:rsidR="00C313D3" w:rsidRDefault="0008433A" w:rsidP="00C313D3">
      <w:pPr>
        <w:pStyle w:val="TOC3"/>
        <w:ind w:left="840"/>
        <w:rPr>
          <w:noProof/>
          <w:kern w:val="0"/>
          <w:sz w:val="22"/>
          <w:lang w:val="es-ES"/>
        </w:rPr>
      </w:pPr>
      <w:hyperlink w:anchor="_Toc471215318" w:history="1">
        <w:r w:rsidR="00C313D3" w:rsidRPr="00083016">
          <w:rPr>
            <w:rStyle w:val="Hyperlink"/>
            <w:noProof/>
            <w:lang w:val="es-ES_tradnl"/>
          </w:rPr>
          <w:t>3.5.2.  Niveles de salario (por año) por región</w:t>
        </w:r>
        <w:r w:rsidR="00C313D3">
          <w:rPr>
            <w:noProof/>
            <w:webHidden/>
          </w:rPr>
          <w:tab/>
        </w:r>
        <w:r w:rsidR="00C313D3">
          <w:rPr>
            <w:noProof/>
            <w:webHidden/>
          </w:rPr>
          <w:fldChar w:fldCharType="begin"/>
        </w:r>
        <w:r w:rsidR="00C313D3">
          <w:rPr>
            <w:noProof/>
            <w:webHidden/>
          </w:rPr>
          <w:instrText xml:space="preserve"> PAGEREF _Toc471215318 \h </w:instrText>
        </w:r>
        <w:r w:rsidR="00C313D3">
          <w:rPr>
            <w:noProof/>
            <w:webHidden/>
          </w:rPr>
        </w:r>
        <w:r w:rsidR="00C313D3">
          <w:rPr>
            <w:noProof/>
            <w:webHidden/>
          </w:rPr>
          <w:fldChar w:fldCharType="separate"/>
        </w:r>
        <w:r w:rsidR="00183782">
          <w:rPr>
            <w:noProof/>
            <w:webHidden/>
          </w:rPr>
          <w:t>45</w:t>
        </w:r>
        <w:r w:rsidR="00C313D3">
          <w:rPr>
            <w:noProof/>
            <w:webHidden/>
          </w:rPr>
          <w:fldChar w:fldCharType="end"/>
        </w:r>
      </w:hyperlink>
    </w:p>
    <w:p w:rsidR="00C313D3" w:rsidRDefault="0008433A">
      <w:pPr>
        <w:pStyle w:val="TOC2"/>
        <w:rPr>
          <w:noProof/>
          <w:kern w:val="0"/>
          <w:sz w:val="22"/>
          <w:lang w:val="es-ES"/>
        </w:rPr>
      </w:pPr>
      <w:hyperlink w:anchor="_Toc471215319" w:history="1">
        <w:r w:rsidR="00C313D3" w:rsidRPr="00083016">
          <w:rPr>
            <w:rStyle w:val="Hyperlink"/>
            <w:noProof/>
          </w:rPr>
          <w:t>3.6. Desempleo</w:t>
        </w:r>
        <w:r w:rsidR="00C313D3">
          <w:rPr>
            <w:noProof/>
            <w:webHidden/>
          </w:rPr>
          <w:tab/>
        </w:r>
        <w:r w:rsidR="00C313D3">
          <w:rPr>
            <w:noProof/>
            <w:webHidden/>
          </w:rPr>
          <w:fldChar w:fldCharType="begin"/>
        </w:r>
        <w:r w:rsidR="00C313D3">
          <w:rPr>
            <w:noProof/>
            <w:webHidden/>
          </w:rPr>
          <w:instrText xml:space="preserve"> PAGEREF _Toc471215319 \h </w:instrText>
        </w:r>
        <w:r w:rsidR="00C313D3">
          <w:rPr>
            <w:noProof/>
            <w:webHidden/>
          </w:rPr>
        </w:r>
        <w:r w:rsidR="00C313D3">
          <w:rPr>
            <w:noProof/>
            <w:webHidden/>
          </w:rPr>
          <w:fldChar w:fldCharType="separate"/>
        </w:r>
        <w:r w:rsidR="00183782">
          <w:rPr>
            <w:noProof/>
            <w:webHidden/>
          </w:rPr>
          <w:t>49</w:t>
        </w:r>
        <w:r w:rsidR="00C313D3">
          <w:rPr>
            <w:noProof/>
            <w:webHidden/>
          </w:rPr>
          <w:fldChar w:fldCharType="end"/>
        </w:r>
      </w:hyperlink>
    </w:p>
    <w:p w:rsidR="00C313D3" w:rsidRDefault="0008433A">
      <w:pPr>
        <w:pStyle w:val="TOC1"/>
        <w:rPr>
          <w:noProof/>
          <w:kern w:val="0"/>
          <w:sz w:val="22"/>
          <w:lang w:val="es-ES"/>
        </w:rPr>
      </w:pPr>
      <w:hyperlink w:anchor="_Toc471215320" w:history="1">
        <w:r w:rsidR="00C313D3" w:rsidRPr="00083016">
          <w:rPr>
            <w:rStyle w:val="Hyperlink"/>
            <w:rFonts w:cs="Times New Roman"/>
            <w:noProof/>
          </w:rPr>
          <w:t>PARTE 4. CONCLUSIÓN</w:t>
        </w:r>
        <w:r w:rsidR="00C313D3">
          <w:rPr>
            <w:noProof/>
            <w:webHidden/>
          </w:rPr>
          <w:tab/>
        </w:r>
        <w:r w:rsidR="00C313D3">
          <w:rPr>
            <w:noProof/>
            <w:webHidden/>
          </w:rPr>
          <w:fldChar w:fldCharType="begin"/>
        </w:r>
        <w:r w:rsidR="00C313D3">
          <w:rPr>
            <w:noProof/>
            <w:webHidden/>
          </w:rPr>
          <w:instrText xml:space="preserve"> PAGEREF _Toc471215320 \h </w:instrText>
        </w:r>
        <w:r w:rsidR="00C313D3">
          <w:rPr>
            <w:noProof/>
            <w:webHidden/>
          </w:rPr>
        </w:r>
        <w:r w:rsidR="00C313D3">
          <w:rPr>
            <w:noProof/>
            <w:webHidden/>
          </w:rPr>
          <w:fldChar w:fldCharType="separate"/>
        </w:r>
        <w:r w:rsidR="00183782">
          <w:rPr>
            <w:noProof/>
            <w:webHidden/>
          </w:rPr>
          <w:t>54</w:t>
        </w:r>
        <w:r w:rsidR="00C313D3">
          <w:rPr>
            <w:noProof/>
            <w:webHidden/>
          </w:rPr>
          <w:fldChar w:fldCharType="end"/>
        </w:r>
      </w:hyperlink>
    </w:p>
    <w:p w:rsidR="00C313D3" w:rsidRDefault="0008433A">
      <w:pPr>
        <w:pStyle w:val="TOC1"/>
        <w:rPr>
          <w:noProof/>
          <w:kern w:val="0"/>
          <w:sz w:val="22"/>
          <w:lang w:val="es-ES"/>
        </w:rPr>
      </w:pPr>
      <w:hyperlink w:anchor="_Toc471215321" w:history="1">
        <w:r w:rsidR="00C313D3" w:rsidRPr="00083016">
          <w:rPr>
            <w:rStyle w:val="Hyperlink"/>
            <w:rFonts w:cs="Times New Roman"/>
            <w:noProof/>
          </w:rPr>
          <w:t xml:space="preserve">PARTE 5. </w:t>
        </w:r>
        <w:r w:rsidR="00C313D3" w:rsidRPr="00083016">
          <w:rPr>
            <w:rStyle w:val="Hyperlink"/>
            <w:rFonts w:cs="Times New Roman"/>
            <w:noProof/>
            <w:lang w:val="es-ES"/>
          </w:rPr>
          <w:t>BIBLIOGRAFÍA</w:t>
        </w:r>
        <w:r w:rsidR="00C313D3">
          <w:rPr>
            <w:noProof/>
            <w:webHidden/>
          </w:rPr>
          <w:tab/>
        </w:r>
        <w:r w:rsidR="00C313D3">
          <w:rPr>
            <w:noProof/>
            <w:webHidden/>
          </w:rPr>
          <w:fldChar w:fldCharType="begin"/>
        </w:r>
        <w:r w:rsidR="00C313D3">
          <w:rPr>
            <w:noProof/>
            <w:webHidden/>
          </w:rPr>
          <w:instrText xml:space="preserve"> PAGEREF _Toc471215321 \h </w:instrText>
        </w:r>
        <w:r w:rsidR="00C313D3">
          <w:rPr>
            <w:noProof/>
            <w:webHidden/>
          </w:rPr>
        </w:r>
        <w:r w:rsidR="00C313D3">
          <w:rPr>
            <w:noProof/>
            <w:webHidden/>
          </w:rPr>
          <w:fldChar w:fldCharType="separate"/>
        </w:r>
        <w:r w:rsidR="00183782">
          <w:rPr>
            <w:noProof/>
            <w:webHidden/>
          </w:rPr>
          <w:t>59</w:t>
        </w:r>
        <w:r w:rsidR="00C313D3">
          <w:rPr>
            <w:noProof/>
            <w:webHidden/>
          </w:rPr>
          <w:fldChar w:fldCharType="end"/>
        </w:r>
      </w:hyperlink>
    </w:p>
    <w:p w:rsidR="00B7030C" w:rsidRDefault="00F47D99" w:rsidP="001C3B44">
      <w:pPr>
        <w:rPr>
          <w:lang w:val="es-ES_tradnl"/>
        </w:rPr>
      </w:pPr>
      <w:r w:rsidRPr="00881AB8">
        <w:rPr>
          <w:lang w:val="es-ES_tradnl"/>
        </w:rPr>
        <w:fldChar w:fldCharType="end"/>
      </w:r>
    </w:p>
    <w:p w:rsidR="00FB3BF8" w:rsidRPr="00FB3BF8" w:rsidRDefault="00FB3BF8" w:rsidP="001C3B44">
      <w:pPr>
        <w:pStyle w:val="a"/>
      </w:pPr>
    </w:p>
    <w:p w:rsidR="001C3B44" w:rsidRDefault="001C3B44">
      <w:pPr>
        <w:widowControl/>
        <w:jc w:val="left"/>
        <w:rPr>
          <w:rFonts w:ascii="Times New Roman" w:hAnsi="Times New Roman" w:cs="Times New Roman"/>
          <w:b/>
          <w:bCs/>
          <w:kern w:val="44"/>
          <w:sz w:val="36"/>
          <w:szCs w:val="44"/>
          <w:lang w:val="es-ES_tradnl"/>
        </w:rPr>
      </w:pPr>
      <w:r>
        <w:rPr>
          <w:rFonts w:ascii="Times New Roman" w:hAnsi="Times New Roman" w:cs="Times New Roman"/>
          <w:sz w:val="36"/>
          <w:lang w:val="es-ES_tradnl"/>
        </w:rPr>
        <w:br w:type="page"/>
      </w:r>
    </w:p>
    <w:p w:rsidR="00881AB8" w:rsidRPr="00061BB4" w:rsidRDefault="00974A38" w:rsidP="00B7030C">
      <w:pPr>
        <w:pStyle w:val="Heading1"/>
        <w:rPr>
          <w:rFonts w:cs="Times New Roman"/>
          <w:sz w:val="36"/>
          <w:lang w:val="es-ES_tradnl"/>
        </w:rPr>
      </w:pPr>
      <w:bookmarkStart w:id="4" w:name="_Toc471215294"/>
      <w:r w:rsidRPr="00061BB4">
        <w:rPr>
          <w:rFonts w:cs="Times New Roman"/>
          <w:sz w:val="36"/>
          <w:lang w:val="es-ES_tradnl"/>
        </w:rPr>
        <w:lastRenderedPageBreak/>
        <w:t>Parte 1</w:t>
      </w:r>
      <w:r>
        <w:rPr>
          <w:rFonts w:cs="Times New Roman"/>
          <w:sz w:val="36"/>
          <w:lang w:val="es-ES_tradnl"/>
        </w:rPr>
        <w:t>.</w:t>
      </w:r>
      <w:r w:rsidRPr="00061BB4">
        <w:rPr>
          <w:rFonts w:cs="Times New Roman"/>
          <w:sz w:val="36"/>
          <w:lang w:val="es-ES_tradnl"/>
        </w:rPr>
        <w:t xml:space="preserve"> Introducción, conceptos</w:t>
      </w:r>
      <w:bookmarkEnd w:id="4"/>
      <w:r w:rsidRPr="00061BB4">
        <w:rPr>
          <w:rFonts w:cs="Times New Roman"/>
          <w:sz w:val="36"/>
          <w:lang w:val="es-ES_tradnl"/>
        </w:rPr>
        <w:t xml:space="preserve"> </w:t>
      </w:r>
      <w:bookmarkEnd w:id="0"/>
      <w:bookmarkEnd w:id="1"/>
      <w:bookmarkEnd w:id="2"/>
      <w:bookmarkEnd w:id="3"/>
    </w:p>
    <w:p w:rsidR="001C501D" w:rsidRDefault="001047A4" w:rsidP="001047A4">
      <w:pPr>
        <w:pStyle w:val="a1"/>
      </w:pPr>
      <w:r>
        <w:t>El m</w:t>
      </w:r>
      <w:r w:rsidR="0087061B">
        <w:t>e</w:t>
      </w:r>
      <w:r>
        <w:t xml:space="preserve">rcado laboral es uno de los fundamentos de la economía de mercado y define </w:t>
      </w:r>
      <w:r w:rsidR="001C501D">
        <w:t xml:space="preserve">la retribución del factor de producción </w:t>
      </w:r>
      <w:r>
        <w:t>trabajo</w:t>
      </w:r>
      <w:r w:rsidR="001C501D">
        <w:t>, el salario</w:t>
      </w:r>
      <w:r>
        <w:t xml:space="preserve">. Debido a la importancia de este factor de producción en la buena marcha de la economía, así como a sus implicaciones sobre el bienestar social, los indicadores sobre el mercado laboral se encuentran entre los más destacados y comentados en la esfera pública y en los medios de comunicación. Asimismo, muchas de las políticas económicas de los diferentes gobiernos se </w:t>
      </w:r>
      <w:r w:rsidR="0087061B">
        <w:t>orientan</w:t>
      </w:r>
      <w:r>
        <w:t xml:space="preserve"> a conseguir un mercado laboral competitivo y </w:t>
      </w:r>
      <w:r w:rsidR="001C501D">
        <w:t>equilibrado, en el que no hay</w:t>
      </w:r>
      <w:r w:rsidR="00926F2A">
        <w:t>a</w:t>
      </w:r>
      <w:r w:rsidR="001C501D">
        <w:t xml:space="preserve"> un exceso de </w:t>
      </w:r>
      <w:r>
        <w:t>fuerza de trabajo</w:t>
      </w:r>
      <w:r w:rsidR="001C501D">
        <w:t xml:space="preserve"> que no pueda encontrar oferta</w:t>
      </w:r>
      <w:r w:rsidR="00926F2A">
        <w:t xml:space="preserve"> o que esté subempleado</w:t>
      </w:r>
      <w:r>
        <w:t xml:space="preserve">. </w:t>
      </w:r>
    </w:p>
    <w:p w:rsidR="001047A4" w:rsidRDefault="001047A4" w:rsidP="001047A4">
      <w:pPr>
        <w:pStyle w:val="a1"/>
      </w:pPr>
      <w:r>
        <w:t>España e</w:t>
      </w:r>
      <w:r w:rsidR="001C501D">
        <w:t>s un país</w:t>
      </w:r>
      <w:r w:rsidR="00391D67">
        <w:t xml:space="preserve"> caracterizado por un mercado laboral desequilibrado en el que la oferta de mano de obra supera con creces la demanda, lo que se traduce en una tasa de paro que está por encim</w:t>
      </w:r>
      <w:r w:rsidR="001C501D">
        <w:t>a</w:t>
      </w:r>
      <w:r w:rsidR="00391D67">
        <w:t xml:space="preserve"> del 20% de la población activa. El problema del paro </w:t>
      </w:r>
      <w:r w:rsidR="001C501D">
        <w:t xml:space="preserve">endémico en España </w:t>
      </w:r>
      <w:r w:rsidR="00391D67">
        <w:t xml:space="preserve">se agrava con la crisis. China, es una economía en pleno crecimiento desde hace más de tres décadas, con amplios recursos en mano de obra que han permitido un modelo de manufactura y de exportaciones intensivas. </w:t>
      </w:r>
      <w:r w:rsidR="001C501D">
        <w:t>Sin embargo, e</w:t>
      </w:r>
      <w:r w:rsidR="00391D67">
        <w:t xml:space="preserve">l mercado laboral chino está marcado por problemas de </w:t>
      </w:r>
      <w:r w:rsidR="009F6629">
        <w:t xml:space="preserve">subempleo, de </w:t>
      </w:r>
      <w:r w:rsidR="00391D67">
        <w:t>re</w:t>
      </w:r>
      <w:r w:rsidR="001C501D">
        <w:t xml:space="preserve">tribución y de justicia social. </w:t>
      </w:r>
    </w:p>
    <w:p w:rsidR="008E530E" w:rsidRDefault="004D39B3" w:rsidP="005A7AE8">
      <w:pPr>
        <w:pStyle w:val="a0"/>
      </w:pPr>
      <w:r w:rsidRPr="00881AB8">
        <w:t xml:space="preserve">El propósito fundamental de este trabajo </w:t>
      </w:r>
      <w:r w:rsidR="00824362" w:rsidRPr="00881AB8">
        <w:t xml:space="preserve">es ofrecer una visión </w:t>
      </w:r>
      <w:r w:rsidR="001047A4">
        <w:t xml:space="preserve">comparativa </w:t>
      </w:r>
      <w:r w:rsidR="00824362" w:rsidRPr="00881AB8">
        <w:t>de</w:t>
      </w:r>
      <w:r w:rsidR="005A7AE8">
        <w:t>l</w:t>
      </w:r>
      <w:r w:rsidR="00824362" w:rsidRPr="00881AB8">
        <w:t xml:space="preserve"> merca</w:t>
      </w:r>
      <w:r w:rsidR="00143442">
        <w:t>do laboral en España y China</w:t>
      </w:r>
      <w:r w:rsidR="007D08A5">
        <w:t>,</w:t>
      </w:r>
      <w:r w:rsidR="00143442">
        <w:t xml:space="preserve"> teniendo en cuenta los diferentes</w:t>
      </w:r>
      <w:r w:rsidR="00824362" w:rsidRPr="00881AB8">
        <w:t xml:space="preserve"> asp</w:t>
      </w:r>
      <w:bookmarkStart w:id="5" w:name="OLE_LINK1"/>
      <w:bookmarkStart w:id="6" w:name="OLE_LINK2"/>
      <w:r w:rsidR="00824362" w:rsidRPr="00881AB8">
        <w:t>ectos</w:t>
      </w:r>
      <w:r w:rsidR="00143442">
        <w:t xml:space="preserve"> para la comprensión de los retos que enfrentan los dos países en esta cuestión</w:t>
      </w:r>
      <w:r w:rsidR="001C501D">
        <w:t xml:space="preserve"> crucial para el desarrollo</w:t>
      </w:r>
      <w:r w:rsidR="009F6629">
        <w:t xml:space="preserve"> y el bienestar de los países</w:t>
      </w:r>
      <w:r w:rsidR="00824362" w:rsidRPr="00881AB8">
        <w:t>.</w:t>
      </w:r>
      <w:bookmarkEnd w:id="5"/>
      <w:bookmarkEnd w:id="6"/>
      <w:r w:rsidR="007D08A5">
        <w:t xml:space="preserve"> Así, se identifican los principales problemas que caracterizan la estructura del mercado laboral en los dos países. </w:t>
      </w:r>
      <w:r w:rsidR="00143442">
        <w:t xml:space="preserve">El trabajo se estructura en </w:t>
      </w:r>
      <w:r w:rsidR="006574B0">
        <w:t>tres partes.</w:t>
      </w:r>
      <w:r w:rsidR="00021F4E" w:rsidRPr="00881AB8">
        <w:t xml:space="preserve"> La primera parte </w:t>
      </w:r>
      <w:r w:rsidR="006574B0">
        <w:t>se centra en la definición de</w:t>
      </w:r>
      <w:r w:rsidR="00021F4E" w:rsidRPr="00881AB8">
        <w:t xml:space="preserve"> algunos conceptos generales sobre el mercado laboral.</w:t>
      </w:r>
      <w:r w:rsidR="00824362" w:rsidRPr="00881AB8">
        <w:t xml:space="preserve"> </w:t>
      </w:r>
      <w:r w:rsidR="006574B0">
        <w:t>La</w:t>
      </w:r>
      <w:r w:rsidR="00824362" w:rsidRPr="00881AB8">
        <w:t xml:space="preserve"> segunda </w:t>
      </w:r>
      <w:r w:rsidR="006574B0">
        <w:t>parte</w:t>
      </w:r>
      <w:r w:rsidR="00136859">
        <w:rPr>
          <w:rFonts w:hint="eastAsia"/>
        </w:rPr>
        <w:t xml:space="preserve"> </w:t>
      </w:r>
      <w:r w:rsidR="001C501D">
        <w:t xml:space="preserve">reúne los datos </w:t>
      </w:r>
      <w:r w:rsidR="007D08A5">
        <w:t>y los</w:t>
      </w:r>
      <w:r w:rsidR="001C501D">
        <w:t xml:space="preserve"> indicadores del mercado laboral en los dos países, China y España, y su evolución reciente. </w:t>
      </w:r>
      <w:r w:rsidR="009627DC">
        <w:t xml:space="preserve">Finalmente, la tercera parte se orienta al análisis comparativo de la estructura y de las tendencias del mercado laboral </w:t>
      </w:r>
      <w:r w:rsidR="00D6470C" w:rsidRPr="00881AB8">
        <w:t>ent</w:t>
      </w:r>
      <w:r w:rsidR="00E471A9" w:rsidRPr="00881AB8">
        <w:t xml:space="preserve">re </w:t>
      </w:r>
      <w:r w:rsidR="00136859">
        <w:rPr>
          <w:rFonts w:hint="eastAsia"/>
        </w:rPr>
        <w:t>C</w:t>
      </w:r>
      <w:r w:rsidR="00136859">
        <w:t xml:space="preserve">hina y </w:t>
      </w:r>
      <w:r w:rsidR="00136859">
        <w:rPr>
          <w:rFonts w:hint="eastAsia"/>
        </w:rPr>
        <w:t>E</w:t>
      </w:r>
      <w:r w:rsidR="00607411" w:rsidRPr="00881AB8">
        <w:t>spaña</w:t>
      </w:r>
      <w:r w:rsidR="00021F4E" w:rsidRPr="00881AB8">
        <w:t>.</w:t>
      </w:r>
    </w:p>
    <w:p w:rsidR="00E869F3" w:rsidRPr="00881AB8" w:rsidRDefault="00E869F3" w:rsidP="009627DC">
      <w:pPr>
        <w:pStyle w:val="a1"/>
      </w:pPr>
      <w:r>
        <w:lastRenderedPageBreak/>
        <w:t xml:space="preserve">Este trabajo se basa en un enfoque descriptivo, con la revisión de la bibliografía y la obtención de </w:t>
      </w:r>
      <w:r w:rsidR="009F6629">
        <w:t xml:space="preserve">datos de </w:t>
      </w:r>
      <w:r>
        <w:t xml:space="preserve">fuentes segundarias. </w:t>
      </w:r>
      <w:r w:rsidR="00EC4D82">
        <w:t xml:space="preserve">El objetivo es conocer la estructura y las principales características del mercado laboral en China y en España, para destacar los principales problemas y retos que enfrentan en la actualidad. El estudio se realiza </w:t>
      </w:r>
      <w:r w:rsidR="0060190E">
        <w:t xml:space="preserve">tomando como referencia </w:t>
      </w:r>
      <w:r w:rsidR="007D08A5">
        <w:t xml:space="preserve">de periodo </w:t>
      </w:r>
      <w:r w:rsidR="0060190E">
        <w:t>temporal principal los años 2013 y 2014, que corresponden a los datos consolidados por las agencias estadísticas chinas. Para tener una perspectiva más amplia,</w:t>
      </w:r>
      <w:r w:rsidR="007D08A5">
        <w:t xml:space="preserve"> también</w:t>
      </w:r>
      <w:r w:rsidR="0060190E">
        <w:t xml:space="preserve"> se analizan la evolución de algunos indicadores en los años anteriores. </w:t>
      </w:r>
    </w:p>
    <w:p w:rsidR="002F0031" w:rsidRPr="005A7AE8" w:rsidRDefault="008E530E" w:rsidP="005A7AE8">
      <w:pPr>
        <w:pStyle w:val="Heading2"/>
        <w:rPr>
          <w:rFonts w:cs="Times New Roman"/>
          <w:lang w:val="es-ES_tradnl"/>
        </w:rPr>
      </w:pPr>
      <w:bookmarkStart w:id="7" w:name="_Toc424110935"/>
      <w:bookmarkStart w:id="8" w:name="_Toc424111215"/>
      <w:bookmarkStart w:id="9" w:name="_Toc471215295"/>
      <w:r w:rsidRPr="00881AB8">
        <w:rPr>
          <w:rFonts w:cs="Times New Roman"/>
          <w:lang w:val="es-ES_tradnl"/>
        </w:rPr>
        <w:t>1.1 Concepto</w:t>
      </w:r>
      <w:r w:rsidR="00E471A9" w:rsidRPr="00881AB8">
        <w:rPr>
          <w:rFonts w:cs="Times New Roman"/>
          <w:lang w:val="es-ES_tradnl"/>
        </w:rPr>
        <w:t>s</w:t>
      </w:r>
      <w:r w:rsidRPr="00881AB8">
        <w:rPr>
          <w:rFonts w:cs="Times New Roman"/>
          <w:lang w:val="es-ES_tradnl"/>
        </w:rPr>
        <w:t xml:space="preserve"> general</w:t>
      </w:r>
      <w:r w:rsidR="00E471A9" w:rsidRPr="00881AB8">
        <w:rPr>
          <w:rFonts w:cs="Times New Roman"/>
          <w:lang w:val="es-ES_tradnl"/>
        </w:rPr>
        <w:t>es</w:t>
      </w:r>
      <w:bookmarkEnd w:id="7"/>
      <w:bookmarkEnd w:id="8"/>
      <w:bookmarkEnd w:id="9"/>
      <w:r w:rsidRPr="00881AB8">
        <w:rPr>
          <w:rFonts w:cs="Times New Roman"/>
          <w:lang w:val="es-ES_tradnl"/>
        </w:rPr>
        <w:t xml:space="preserve"> </w:t>
      </w:r>
    </w:p>
    <w:p w:rsidR="00312BE3" w:rsidRDefault="00272E94" w:rsidP="00272E94">
      <w:pPr>
        <w:pStyle w:val="a1"/>
        <w:rPr>
          <w:shd w:val="clear" w:color="auto" w:fill="FFFFFF"/>
        </w:rPr>
      </w:pPr>
      <w:r>
        <w:rPr>
          <w:shd w:val="clear" w:color="auto" w:fill="FFFFFF"/>
        </w:rPr>
        <w:t>Según los fundamentos de la economía clásica, el trabajo es uno de los tres factores de producción, junto con la tierra y el capital</w:t>
      </w:r>
      <w:r w:rsidR="009F6629">
        <w:rPr>
          <w:shd w:val="clear" w:color="auto" w:fill="FFFFFF"/>
        </w:rPr>
        <w:t xml:space="preserve"> (Smith, [1776], 1994)</w:t>
      </w:r>
      <w:r w:rsidR="007D08A5">
        <w:rPr>
          <w:rStyle w:val="FootnoteReference"/>
          <w:shd w:val="clear" w:color="auto" w:fill="FFFFFF"/>
        </w:rPr>
        <w:footnoteReference w:id="2"/>
      </w:r>
      <w:r>
        <w:rPr>
          <w:shd w:val="clear" w:color="auto" w:fill="FFFFFF"/>
        </w:rPr>
        <w:t>. La retribución del factor trabajo se realiza mediante los salarios. El mercado de trabajo implica a ofertantes (empresario</w:t>
      </w:r>
      <w:r w:rsidR="007D08A5">
        <w:rPr>
          <w:shd w:val="clear" w:color="auto" w:fill="FFFFFF"/>
        </w:rPr>
        <w:t xml:space="preserve">s) y demandantes (trabajadores) </w:t>
      </w:r>
      <w:r>
        <w:rPr>
          <w:shd w:val="clear" w:color="auto" w:fill="FFFFFF"/>
        </w:rPr>
        <w:t xml:space="preserve">y determina el nivel de los salarios. Desde el punto de vista teórico, el mercado de trabajo tiene </w:t>
      </w:r>
      <w:r w:rsidR="009F6629">
        <w:rPr>
          <w:shd w:val="clear" w:color="auto" w:fill="FFFFFF"/>
        </w:rPr>
        <w:t xml:space="preserve">diferentes dimensiones </w:t>
      </w:r>
      <w:r>
        <w:rPr>
          <w:shd w:val="clear" w:color="auto" w:fill="FFFFFF"/>
        </w:rPr>
        <w:t>fundamentales que son necesarias de estudiar para su plena comprensión</w:t>
      </w:r>
      <w:r w:rsidR="00522FCD">
        <w:rPr>
          <w:shd w:val="clear" w:color="auto" w:fill="FFFFFF"/>
        </w:rPr>
        <w:t xml:space="preserve"> y que se abordan desde el punto de vista macroeconómico (</w:t>
      </w:r>
      <w:proofErr w:type="spellStart"/>
      <w:r w:rsidR="00522FCD">
        <w:t>Blanchard</w:t>
      </w:r>
      <w:proofErr w:type="spellEnd"/>
      <w:r w:rsidR="00522FCD">
        <w:t xml:space="preserve">, </w:t>
      </w:r>
      <w:proofErr w:type="spellStart"/>
      <w:r w:rsidR="00522FCD">
        <w:t>Amighini</w:t>
      </w:r>
      <w:proofErr w:type="spellEnd"/>
      <w:r w:rsidR="00522FCD">
        <w:t xml:space="preserve"> &amp; </w:t>
      </w:r>
      <w:proofErr w:type="spellStart"/>
      <w:r w:rsidR="00522FCD">
        <w:t>Giavazzi</w:t>
      </w:r>
      <w:proofErr w:type="spellEnd"/>
      <w:r w:rsidR="00522FCD">
        <w:t xml:space="preserve">, 2012; </w:t>
      </w:r>
      <w:proofErr w:type="spellStart"/>
      <w:r w:rsidR="00522FCD">
        <w:rPr>
          <w:shd w:val="clear" w:color="auto" w:fill="FFFFFF"/>
        </w:rPr>
        <w:t>Mankiw</w:t>
      </w:r>
      <w:proofErr w:type="spellEnd"/>
      <w:r w:rsidR="00522FCD">
        <w:rPr>
          <w:shd w:val="clear" w:color="auto" w:fill="FFFFFF"/>
        </w:rPr>
        <w:t>, 2014)</w:t>
      </w:r>
      <w:r w:rsidR="007D08A5">
        <w:rPr>
          <w:rStyle w:val="FootnoteReference"/>
          <w:shd w:val="clear" w:color="auto" w:fill="FFFFFF"/>
        </w:rPr>
        <w:footnoteReference w:id="3"/>
      </w:r>
      <w:r w:rsidR="00522FCD">
        <w:rPr>
          <w:shd w:val="clear" w:color="auto" w:fill="FFFFFF"/>
        </w:rPr>
        <w:t>.</w:t>
      </w:r>
    </w:p>
    <w:p w:rsidR="00F51A74" w:rsidRDefault="00F51A74" w:rsidP="00F51A74">
      <w:pPr>
        <w:pStyle w:val="a1"/>
        <w:numPr>
          <w:ilvl w:val="0"/>
          <w:numId w:val="41"/>
        </w:numPr>
        <w:rPr>
          <w:shd w:val="clear" w:color="auto" w:fill="FFFFFF"/>
        </w:rPr>
      </w:pPr>
      <w:r>
        <w:rPr>
          <w:shd w:val="clear" w:color="auto" w:fill="FFFFFF"/>
        </w:rPr>
        <w:t xml:space="preserve">El mercado laboral es un espacio de intercambio: se define en relación a una realidad geográfica, a un lugar. En este sentido, la movilidad de los trabajadores y de las empresas </w:t>
      </w:r>
      <w:r w:rsidR="009F6629">
        <w:rPr>
          <w:shd w:val="clear" w:color="auto" w:fill="FFFFFF"/>
        </w:rPr>
        <w:t xml:space="preserve">también </w:t>
      </w:r>
      <w:r>
        <w:rPr>
          <w:shd w:val="clear" w:color="auto" w:fill="FFFFFF"/>
        </w:rPr>
        <w:t>es un factor importante: en las últimas d</w:t>
      </w:r>
      <w:r w:rsidR="009F6629">
        <w:rPr>
          <w:shd w:val="clear" w:color="auto" w:fill="FFFFFF"/>
        </w:rPr>
        <w:t xml:space="preserve">écadas, el mercado de trabajo de las economías globales ha sido influenciado por el </w:t>
      </w:r>
      <w:r w:rsidR="009F6629">
        <w:rPr>
          <w:shd w:val="clear" w:color="auto" w:fill="FFFFFF"/>
        </w:rPr>
        <w:lastRenderedPageBreak/>
        <w:t>fenóme</w:t>
      </w:r>
      <w:r w:rsidR="00C63133">
        <w:rPr>
          <w:shd w:val="clear" w:color="auto" w:fill="FFFFFF"/>
        </w:rPr>
        <w:t>no de las migraciones masivas y</w:t>
      </w:r>
      <w:r w:rsidR="009F6629">
        <w:rPr>
          <w:shd w:val="clear" w:color="auto" w:fill="FFFFFF"/>
        </w:rPr>
        <w:t xml:space="preserve"> por el fenómeno de las deslocalizaciones de empresas (Recio, </w:t>
      </w:r>
      <w:proofErr w:type="spellStart"/>
      <w:r w:rsidR="009F6629">
        <w:rPr>
          <w:shd w:val="clear" w:color="auto" w:fill="FFFFFF"/>
        </w:rPr>
        <w:t>Banyuls</w:t>
      </w:r>
      <w:proofErr w:type="spellEnd"/>
      <w:r w:rsidR="009F6629">
        <w:rPr>
          <w:shd w:val="clear" w:color="auto" w:fill="FFFFFF"/>
        </w:rPr>
        <w:t xml:space="preserve">, Cano &amp; </w:t>
      </w:r>
      <w:proofErr w:type="spellStart"/>
      <w:r w:rsidR="009F6629">
        <w:rPr>
          <w:shd w:val="clear" w:color="auto" w:fill="FFFFFF"/>
        </w:rPr>
        <w:t>Miguélez</w:t>
      </w:r>
      <w:proofErr w:type="spellEnd"/>
      <w:r w:rsidR="009F6629">
        <w:rPr>
          <w:shd w:val="clear" w:color="auto" w:fill="FFFFFF"/>
        </w:rPr>
        <w:t>, 2006)</w:t>
      </w:r>
      <w:r w:rsidR="00E43019">
        <w:rPr>
          <w:rStyle w:val="FootnoteReference"/>
          <w:shd w:val="clear" w:color="auto" w:fill="FFFFFF"/>
        </w:rPr>
        <w:footnoteReference w:id="4"/>
      </w:r>
      <w:r w:rsidR="009F6629">
        <w:rPr>
          <w:shd w:val="clear" w:color="auto" w:fill="FFFFFF"/>
        </w:rPr>
        <w:t xml:space="preserve">. </w:t>
      </w:r>
    </w:p>
    <w:p w:rsidR="005C1611" w:rsidRDefault="005C1611" w:rsidP="00F51A74">
      <w:pPr>
        <w:pStyle w:val="a1"/>
        <w:numPr>
          <w:ilvl w:val="0"/>
          <w:numId w:val="41"/>
        </w:numPr>
        <w:rPr>
          <w:shd w:val="clear" w:color="auto" w:fill="FFFFFF"/>
        </w:rPr>
      </w:pPr>
      <w:r>
        <w:rPr>
          <w:shd w:val="clear" w:color="auto" w:fill="FFFFFF"/>
        </w:rPr>
        <w:t>El mercado del trabajo está estrechamente relacionado con la división del trabajo, es decir con la capacidad de formación y de productividad de los trabajadores. “El mayor progreso de la capacidad productiva del trabajo, y la mayor parte de habilidad, destreza y juicio con que ha sido dirigido o aplicado, parecen haber sido los efectos de la división del trabajo</w:t>
      </w:r>
      <w:r w:rsidR="00C63133">
        <w:rPr>
          <w:shd w:val="clear" w:color="auto" w:fill="FFFFFF"/>
        </w:rPr>
        <w:t>”</w:t>
      </w:r>
      <w:r>
        <w:rPr>
          <w:shd w:val="clear" w:color="auto" w:fill="FFFFFF"/>
        </w:rPr>
        <w:t xml:space="preserve"> (Smith, [1776] 1994: 33)</w:t>
      </w:r>
      <w:r w:rsidR="00C63133">
        <w:rPr>
          <w:rStyle w:val="FootnoteReference"/>
          <w:shd w:val="clear" w:color="auto" w:fill="FFFFFF"/>
        </w:rPr>
        <w:footnoteReference w:id="5"/>
      </w:r>
      <w:r>
        <w:rPr>
          <w:shd w:val="clear" w:color="auto" w:fill="FFFFFF"/>
        </w:rPr>
        <w:t xml:space="preserve">. </w:t>
      </w:r>
    </w:p>
    <w:p w:rsidR="00F51A74" w:rsidRDefault="00F51A74" w:rsidP="00F51A74">
      <w:pPr>
        <w:pStyle w:val="a1"/>
        <w:numPr>
          <w:ilvl w:val="0"/>
          <w:numId w:val="41"/>
        </w:numPr>
        <w:rPr>
          <w:shd w:val="clear" w:color="auto" w:fill="FFFFFF"/>
        </w:rPr>
      </w:pPr>
      <w:r>
        <w:rPr>
          <w:shd w:val="clear" w:color="auto" w:fill="FFFFFF"/>
        </w:rPr>
        <w:t>Como para cualquier otra mercado, e</w:t>
      </w:r>
      <w:r w:rsidR="00C63133">
        <w:rPr>
          <w:shd w:val="clear" w:color="auto" w:fill="FFFFFF"/>
        </w:rPr>
        <w:t xml:space="preserve">l elemento básico es el precio; </w:t>
      </w:r>
      <w:r>
        <w:rPr>
          <w:shd w:val="clear" w:color="auto" w:fill="FFFFFF"/>
        </w:rPr>
        <w:t xml:space="preserve">en este caso </w:t>
      </w:r>
      <w:r w:rsidR="00C63133">
        <w:rPr>
          <w:shd w:val="clear" w:color="auto" w:fill="FFFFFF"/>
        </w:rPr>
        <w:t xml:space="preserve">el precio del trabajo se define como salario. El nivel de </w:t>
      </w:r>
      <w:r>
        <w:rPr>
          <w:shd w:val="clear" w:color="auto" w:fill="FFFFFF"/>
        </w:rPr>
        <w:t>los salarios influyen sobre el nivel de oferta y de demanda. Se fija</w:t>
      </w:r>
      <w:r w:rsidR="00C63133">
        <w:rPr>
          <w:shd w:val="clear" w:color="auto" w:fill="FFFFFF"/>
        </w:rPr>
        <w:t>,</w:t>
      </w:r>
      <w:r>
        <w:rPr>
          <w:shd w:val="clear" w:color="auto" w:fill="FFFFFF"/>
        </w:rPr>
        <w:t xml:space="preserve"> mediante negociación en</w:t>
      </w:r>
      <w:r w:rsidR="00C63133">
        <w:rPr>
          <w:shd w:val="clear" w:color="auto" w:fill="FFFFFF"/>
        </w:rPr>
        <w:t>tre el empleador y el empleado, a menudo mediante negociaciones colectivas.</w:t>
      </w:r>
    </w:p>
    <w:p w:rsidR="00F51A74" w:rsidRDefault="00F51A74" w:rsidP="00F51A74">
      <w:pPr>
        <w:pStyle w:val="a1"/>
        <w:numPr>
          <w:ilvl w:val="0"/>
          <w:numId w:val="41"/>
        </w:numPr>
        <w:rPr>
          <w:shd w:val="clear" w:color="auto" w:fill="FFFFFF"/>
        </w:rPr>
      </w:pPr>
      <w:r>
        <w:rPr>
          <w:shd w:val="clear" w:color="auto" w:fill="FFFFFF"/>
        </w:rPr>
        <w:t>Las características tecnológicas y socioculturales del mercado laboral son elementos también fundamentales para entender los mecanismos de la oferta y de la demanda. La tecnología disponible y el nivel educativo son determinantes para el poder de negociación de los trabajadores.</w:t>
      </w:r>
    </w:p>
    <w:p w:rsidR="00F51A74" w:rsidRPr="00F51A74" w:rsidRDefault="00F51A74" w:rsidP="00F51A74">
      <w:pPr>
        <w:pStyle w:val="a1"/>
        <w:numPr>
          <w:ilvl w:val="0"/>
          <w:numId w:val="41"/>
        </w:numPr>
        <w:rPr>
          <w:shd w:val="clear" w:color="auto" w:fill="FFFFFF"/>
        </w:rPr>
      </w:pPr>
      <w:r>
        <w:rPr>
          <w:shd w:val="clear" w:color="auto" w:fill="FFFFFF"/>
        </w:rPr>
        <w:t>El marco institucional influye directamente sobre la configuración del mercado laboral por el alto n</w:t>
      </w:r>
      <w:r w:rsidR="00F6318E">
        <w:rPr>
          <w:shd w:val="clear" w:color="auto" w:fill="FFFFFF"/>
        </w:rPr>
        <w:t>ivel de intervención del Estado</w:t>
      </w:r>
      <w:r>
        <w:rPr>
          <w:shd w:val="clear" w:color="auto" w:fill="FFFFFF"/>
        </w:rPr>
        <w:t xml:space="preserve"> y de otras instituciones. Por ejemplo, el Estado puede fijar un salario mínimo; </w:t>
      </w:r>
      <w:r w:rsidR="005C3E27">
        <w:rPr>
          <w:shd w:val="clear" w:color="auto" w:fill="FFFFFF"/>
        </w:rPr>
        <w:t>las prestaciones para desempleo afectan a la motivación para aceptar un trabajo y</w:t>
      </w:r>
      <w:r w:rsidR="00F6318E">
        <w:rPr>
          <w:shd w:val="clear" w:color="auto" w:fill="FFFFFF"/>
        </w:rPr>
        <w:t xml:space="preserve"> también incrementan</w:t>
      </w:r>
      <w:r w:rsidR="005C3E27">
        <w:rPr>
          <w:shd w:val="clear" w:color="auto" w:fill="FFFFFF"/>
        </w:rPr>
        <w:t xml:space="preserve"> </w:t>
      </w:r>
      <w:r w:rsidR="00F6318E">
        <w:rPr>
          <w:shd w:val="clear" w:color="auto" w:fill="FFFFFF"/>
        </w:rPr>
        <w:t>e</w:t>
      </w:r>
      <w:r w:rsidR="005C3E27">
        <w:rPr>
          <w:shd w:val="clear" w:color="auto" w:fill="FFFFFF"/>
        </w:rPr>
        <w:t xml:space="preserve">l poder de negociación de los trabajadores; </w:t>
      </w:r>
      <w:r>
        <w:rPr>
          <w:shd w:val="clear" w:color="auto" w:fill="FFFFFF"/>
        </w:rPr>
        <w:t>los sindicatos de trabajadores y las asociaciones patronales pueden determinar convenios colectivos que son vinculantes para</w:t>
      </w:r>
      <w:r w:rsidR="005C3E27">
        <w:rPr>
          <w:shd w:val="clear" w:color="auto" w:fill="FFFFFF"/>
        </w:rPr>
        <w:t xml:space="preserve"> las empresas del sector; etc.</w:t>
      </w:r>
    </w:p>
    <w:p w:rsidR="001537D0" w:rsidRPr="00881AB8" w:rsidRDefault="005C3E27" w:rsidP="005C3E27">
      <w:pPr>
        <w:pStyle w:val="a0"/>
        <w:rPr>
          <w:shd w:val="clear" w:color="auto" w:fill="FFFFFF"/>
        </w:rPr>
      </w:pPr>
      <w:r>
        <w:rPr>
          <w:shd w:val="clear" w:color="auto" w:fill="FFFFFF"/>
        </w:rPr>
        <w:t xml:space="preserve">La configuración del mercado laboral tiene un gran impacto sobre la fijación de los precios al consumo y también sobre la renta de la población y la capacidad de consumo </w:t>
      </w:r>
      <w:r>
        <w:rPr>
          <w:shd w:val="clear" w:color="auto" w:fill="FFFFFF"/>
        </w:rPr>
        <w:lastRenderedPageBreak/>
        <w:t xml:space="preserve">de las familias. </w:t>
      </w:r>
      <w:r w:rsidR="009E272C">
        <w:rPr>
          <w:shd w:val="clear" w:color="auto" w:fill="FFFFFF"/>
        </w:rPr>
        <w:t>A estima global, se estima que alrededor del 80% de las rentas disponible en un país desarrollado proceden de los salarios (</w:t>
      </w:r>
      <w:proofErr w:type="spellStart"/>
      <w:r w:rsidR="009E272C">
        <w:rPr>
          <w:shd w:val="clear" w:color="auto" w:fill="FFFFFF"/>
        </w:rPr>
        <w:t>Stiglitz</w:t>
      </w:r>
      <w:proofErr w:type="spellEnd"/>
      <w:r w:rsidR="009E272C">
        <w:rPr>
          <w:shd w:val="clear" w:color="auto" w:fill="FFFFFF"/>
        </w:rPr>
        <w:t>, 2012)</w:t>
      </w:r>
      <w:r w:rsidR="00F6318E">
        <w:rPr>
          <w:rStyle w:val="FootnoteReference"/>
          <w:shd w:val="clear" w:color="auto" w:fill="FFFFFF"/>
        </w:rPr>
        <w:footnoteReference w:id="6"/>
      </w:r>
      <w:r w:rsidR="009E272C">
        <w:rPr>
          <w:shd w:val="clear" w:color="auto" w:fill="FFFFFF"/>
        </w:rPr>
        <w:t>.</w:t>
      </w:r>
    </w:p>
    <w:p w:rsidR="002F0031" w:rsidRPr="00881AB8" w:rsidRDefault="00EB0611" w:rsidP="002355AD">
      <w:pPr>
        <w:pStyle w:val="Heading2"/>
        <w:rPr>
          <w:rFonts w:cs="Times New Roman"/>
          <w:lang w:val="es-ES_tradnl"/>
        </w:rPr>
      </w:pPr>
      <w:bookmarkStart w:id="10" w:name="_Toc424110936"/>
      <w:bookmarkStart w:id="11" w:name="_Toc424111216"/>
      <w:bookmarkStart w:id="12" w:name="_Toc471215296"/>
      <w:r w:rsidRPr="00881AB8">
        <w:rPr>
          <w:rFonts w:cs="Times New Roman"/>
          <w:lang w:val="es-ES_tradnl"/>
        </w:rPr>
        <w:t>1.2 Los conceptos relacionados</w:t>
      </w:r>
      <w:bookmarkEnd w:id="10"/>
      <w:bookmarkEnd w:id="11"/>
      <w:bookmarkEnd w:id="12"/>
    </w:p>
    <w:p w:rsidR="00310FCB" w:rsidRPr="00881AB8" w:rsidRDefault="005C3E27" w:rsidP="005C3E27">
      <w:pPr>
        <w:pStyle w:val="a1"/>
      </w:pPr>
      <w:r w:rsidRPr="005C3E27">
        <w:t xml:space="preserve">A continuación se explican los conceptos que intervienen en la </w:t>
      </w:r>
      <w:r>
        <w:t>configuración del mercado laboral en las economías modernas.</w:t>
      </w:r>
    </w:p>
    <w:p w:rsidR="00310FCB" w:rsidRPr="00881AB8" w:rsidRDefault="00310FCB" w:rsidP="00F0540F">
      <w:pPr>
        <w:pStyle w:val="Heading3"/>
        <w:rPr>
          <w:rFonts w:cs="Times New Roman"/>
          <w:lang w:val="es-ES_tradnl"/>
        </w:rPr>
      </w:pPr>
      <w:bookmarkStart w:id="13" w:name="_Toc424110937"/>
      <w:bookmarkStart w:id="14" w:name="_Toc424111217"/>
      <w:bookmarkStart w:id="15" w:name="_Toc471215297"/>
      <w:r w:rsidRPr="00881AB8">
        <w:rPr>
          <w:rFonts w:cs="Times New Roman"/>
          <w:lang w:val="es-ES_tradnl"/>
        </w:rPr>
        <w:t xml:space="preserve">1.2.1 Población </w:t>
      </w:r>
      <w:r w:rsidR="005E3C16">
        <w:rPr>
          <w:rFonts w:cs="Times New Roman"/>
          <w:lang w:val="es-ES_tradnl"/>
        </w:rPr>
        <w:t>activa</w:t>
      </w:r>
      <w:bookmarkEnd w:id="13"/>
      <w:bookmarkEnd w:id="14"/>
      <w:bookmarkEnd w:id="15"/>
    </w:p>
    <w:p w:rsidR="005E3C16" w:rsidRDefault="005E3C16" w:rsidP="005E3C16">
      <w:pPr>
        <w:pStyle w:val="a1"/>
      </w:pPr>
      <w:r>
        <w:t xml:space="preserve">Sobre el conjunto de la población de un territorio determinado, se distingue la población en edad activa, que incluye a todas las personas que tienen edad para trabajar (a partir de 16 años), que no han llegado </w:t>
      </w:r>
      <w:r w:rsidR="00285C17">
        <w:t>a l</w:t>
      </w:r>
      <w:r>
        <w:t xml:space="preserve">a edad de jubilación y que son aptas para trabajar (no tienen una enfermedad o discapacidad que les impide desarrollar una actividad profesional). El mercado de trabajo está constituido por la población activa que incluye al conjunto de la población que está trabajando o buscando trabajo, excluyendo a la parte de la población en edad activa que ha decidido no trabajar. </w:t>
      </w:r>
    </w:p>
    <w:p w:rsidR="00581D32" w:rsidRPr="00881AB8" w:rsidRDefault="005E3C16" w:rsidP="00522FCD">
      <w:pPr>
        <w:pStyle w:val="a0"/>
      </w:pPr>
      <w:r>
        <w:t xml:space="preserve">La población activa se reparte entre las personas que efectivamente trabajan y aquellas que buscan trabajo. </w:t>
      </w:r>
    </w:p>
    <w:p w:rsidR="00581D32" w:rsidRPr="00881AB8" w:rsidRDefault="00987776" w:rsidP="00522FCD">
      <w:pPr>
        <w:pStyle w:val="a0"/>
        <w:numPr>
          <w:ilvl w:val="0"/>
          <w:numId w:val="44"/>
        </w:numPr>
      </w:pPr>
      <w:r>
        <w:t xml:space="preserve">Ocupados: </w:t>
      </w:r>
      <w:r>
        <w:rPr>
          <w:rFonts w:hint="eastAsia"/>
        </w:rPr>
        <w:t>son aquellos</w:t>
      </w:r>
      <w:r w:rsidR="00581D32" w:rsidRPr="00881AB8">
        <w:t xml:space="preserve"> individuo</w:t>
      </w:r>
      <w:r>
        <w:rPr>
          <w:rFonts w:hint="eastAsia"/>
        </w:rPr>
        <w:t>s</w:t>
      </w:r>
      <w:r w:rsidR="00581D32" w:rsidRPr="00881AB8">
        <w:t xml:space="preserve"> que tiene</w:t>
      </w:r>
      <w:r>
        <w:rPr>
          <w:rFonts w:hint="eastAsia"/>
        </w:rPr>
        <w:t>n</w:t>
      </w:r>
      <w:r w:rsidR="00581D32" w:rsidRPr="00881AB8">
        <w:t xml:space="preserve"> un em</w:t>
      </w:r>
      <w:r w:rsidR="00ED6E3B" w:rsidRPr="00881AB8">
        <w:t>pleo asalariado o independiente.</w:t>
      </w:r>
    </w:p>
    <w:p w:rsidR="00581D32" w:rsidRPr="00522FCD" w:rsidRDefault="00987776" w:rsidP="00B732D9">
      <w:pPr>
        <w:pStyle w:val="a0"/>
        <w:numPr>
          <w:ilvl w:val="0"/>
          <w:numId w:val="44"/>
        </w:numPr>
      </w:pPr>
      <w:r>
        <w:t xml:space="preserve">Desocupados: </w:t>
      </w:r>
      <w:r>
        <w:rPr>
          <w:rFonts w:hint="eastAsia"/>
        </w:rPr>
        <w:t>son aquellos</w:t>
      </w:r>
      <w:r w:rsidR="00581D32" w:rsidRPr="00881AB8">
        <w:t xml:space="preserve"> individuo</w:t>
      </w:r>
      <w:r>
        <w:rPr>
          <w:rFonts w:hint="eastAsia"/>
        </w:rPr>
        <w:t>s</w:t>
      </w:r>
      <w:r>
        <w:t xml:space="preserve"> que está</w:t>
      </w:r>
      <w:r w:rsidR="005E3C16">
        <w:t>n</w:t>
      </w:r>
      <w:r>
        <w:t xml:space="preserve"> en búsqueda de</w:t>
      </w:r>
      <w:r>
        <w:rPr>
          <w:rFonts w:hint="eastAsia"/>
        </w:rPr>
        <w:t>l</w:t>
      </w:r>
      <w:r w:rsidR="00581D32" w:rsidRPr="00881AB8">
        <w:t xml:space="preserve"> empl</w:t>
      </w:r>
      <w:r>
        <w:t xml:space="preserve">eo </w:t>
      </w:r>
      <w:r>
        <w:rPr>
          <w:rFonts w:hint="eastAsia"/>
        </w:rPr>
        <w:t xml:space="preserve">o </w:t>
      </w:r>
      <w:r>
        <w:t>aún</w:t>
      </w:r>
      <w:r>
        <w:rPr>
          <w:rFonts w:hint="eastAsia"/>
        </w:rPr>
        <w:t xml:space="preserve"> no se han</w:t>
      </w:r>
      <w:r>
        <w:t xml:space="preserve"> encontr</w:t>
      </w:r>
      <w:r>
        <w:rPr>
          <w:rFonts w:hint="eastAsia"/>
        </w:rPr>
        <w:t>ado</w:t>
      </w:r>
      <w:r w:rsidR="00581D32" w:rsidRPr="00881AB8">
        <w:t>, pueden ser aspirantes o cesantes.</w:t>
      </w:r>
    </w:p>
    <w:p w:rsidR="006D6F74" w:rsidRPr="00881AB8" w:rsidRDefault="006D6F74" w:rsidP="002355AD">
      <w:pPr>
        <w:pStyle w:val="Heading3"/>
        <w:rPr>
          <w:rFonts w:cs="Times New Roman"/>
          <w:lang w:val="es-ES_tradnl"/>
        </w:rPr>
      </w:pPr>
      <w:bookmarkStart w:id="16" w:name="_Toc424110938"/>
      <w:bookmarkStart w:id="17" w:name="_Toc424111218"/>
      <w:bookmarkStart w:id="18" w:name="_Toc471215298"/>
      <w:r w:rsidRPr="00881AB8">
        <w:rPr>
          <w:rFonts w:cs="Times New Roman"/>
          <w:lang w:val="es-ES_tradnl"/>
        </w:rPr>
        <w:t>1.2.2</w:t>
      </w:r>
      <w:r w:rsidR="00CE33B2" w:rsidRPr="00881AB8">
        <w:rPr>
          <w:rFonts w:cs="Times New Roman"/>
          <w:lang w:val="es-ES_tradnl"/>
        </w:rPr>
        <w:t xml:space="preserve">. </w:t>
      </w:r>
      <w:bookmarkEnd w:id="16"/>
      <w:bookmarkEnd w:id="17"/>
      <w:r w:rsidR="00FE2489">
        <w:rPr>
          <w:rFonts w:cs="Times New Roman"/>
          <w:lang w:val="es-ES_tradnl"/>
        </w:rPr>
        <w:t>Tasa de desempleo</w:t>
      </w:r>
      <w:bookmarkEnd w:id="18"/>
    </w:p>
    <w:p w:rsidR="00FE2489" w:rsidRDefault="00FE2489" w:rsidP="00FE2489">
      <w:pPr>
        <w:pStyle w:val="a1"/>
      </w:pPr>
      <w:r>
        <w:t xml:space="preserve">La tasa de desempleo es el cociente entre los desempleados y la población activa. Se exprima como un porcentaje del total de la población activa. Se considera que existe una tasa de desempleo natural que se sitúa en el punto de equilibrio del mercado laboral, </w:t>
      </w:r>
      <w:r>
        <w:lastRenderedPageBreak/>
        <w:t>teniendo en cuenta los flujos de trabajadores</w:t>
      </w:r>
      <w:r w:rsidR="007F3AC3">
        <w:t xml:space="preserve"> entre las situaciones</w:t>
      </w:r>
      <w:r>
        <w:t xml:space="preserve"> </w:t>
      </w:r>
      <w:r w:rsidR="007F3AC3">
        <w:t>de</w:t>
      </w:r>
      <w:r>
        <w:t xml:space="preserve"> empleo, </w:t>
      </w:r>
      <w:r w:rsidR="007F3AC3">
        <w:t xml:space="preserve">de </w:t>
      </w:r>
      <w:r>
        <w:t xml:space="preserve">desempleo y </w:t>
      </w:r>
      <w:r w:rsidR="007F3AC3">
        <w:t>de</w:t>
      </w:r>
      <w:r>
        <w:t xml:space="preserve"> inactividad. </w:t>
      </w:r>
      <w:r w:rsidR="00285C17">
        <w:t xml:space="preserve">Por otra parte, existen factores sociodemográficos importantes que tienen influencia sobre la tasa de empleo de los diferentes segmentos de la población. </w:t>
      </w:r>
      <w:r w:rsidR="00E50B8D">
        <w:t>El cálculo de la tasa de empleo media “oculta la existencia de grandes diferencias entre los distintos grupos de trabajadores dentro de un mismo país” (</w:t>
      </w:r>
      <w:proofErr w:type="spellStart"/>
      <w:r w:rsidR="00E50B8D">
        <w:t>Blanchard</w:t>
      </w:r>
      <w:proofErr w:type="spellEnd"/>
      <w:r w:rsidR="00E50B8D">
        <w:t xml:space="preserve">, </w:t>
      </w:r>
      <w:proofErr w:type="spellStart"/>
      <w:r w:rsidR="00E50B8D">
        <w:t>Amighini</w:t>
      </w:r>
      <w:proofErr w:type="spellEnd"/>
      <w:r w:rsidR="00E50B8D">
        <w:t xml:space="preserve"> &amp; </w:t>
      </w:r>
      <w:proofErr w:type="spellStart"/>
      <w:r w:rsidR="00E50B8D">
        <w:t>Giavazzi</w:t>
      </w:r>
      <w:proofErr w:type="spellEnd"/>
      <w:r w:rsidR="00E50B8D">
        <w:t>, 2012: 152)</w:t>
      </w:r>
      <w:r w:rsidR="00B7507F">
        <w:rPr>
          <w:rStyle w:val="FootnoteReference"/>
        </w:rPr>
        <w:footnoteReference w:id="7"/>
      </w:r>
      <w:r w:rsidR="009E272C">
        <w:t>.</w:t>
      </w:r>
    </w:p>
    <w:p w:rsidR="00FE2489" w:rsidRDefault="00FE2489" w:rsidP="00FE2489">
      <w:pPr>
        <w:pStyle w:val="a1"/>
      </w:pPr>
      <w:r>
        <w:t xml:space="preserve">En la Unión Europea, la </w:t>
      </w:r>
      <w:r w:rsidR="00592DF5">
        <w:t>Encuesta de Población Activa ofrece datos trimestrales sobre la situación del mercado laboral y las tasas de desempleo, en los diversos países de la Unión, y teniendo en cuenta la segmentación sociodemográfica de la población. La situación de desempleo en la Unión Europea muestra grandes diferencias territoriales, y también en función de la edad, del género y de otros factores sociodemográficos.</w:t>
      </w:r>
      <w:r w:rsidR="001906A4">
        <w:t xml:space="preserve"> </w:t>
      </w:r>
      <w:r w:rsidR="00B7507F">
        <w:t>En España, el Ministerio de Empleo y Seguridad Social publica con periodicidad trimestral un Informe del Análisis del Mercado Laboral</w:t>
      </w:r>
      <w:r w:rsidR="00AF2FA9">
        <w:t xml:space="preserve"> con datos muy detallados. En China, es un solo organismo que centraliza la realización y publicación de los datos estadísticos en todos los aspectos de la actividad social, económica y demográfica: </w:t>
      </w:r>
      <w:proofErr w:type="spellStart"/>
      <w:r w:rsidR="00AF2FA9">
        <w:t>National</w:t>
      </w:r>
      <w:proofErr w:type="spellEnd"/>
      <w:r w:rsidR="00AF2FA9">
        <w:t xml:space="preserve"> Bureau of </w:t>
      </w:r>
      <w:proofErr w:type="spellStart"/>
      <w:r w:rsidR="00AF2FA9">
        <w:t>Statistics</w:t>
      </w:r>
      <w:proofErr w:type="spellEnd"/>
      <w:r w:rsidR="00A24FFC">
        <w:t xml:space="preserve">, que publica un informe anual, </w:t>
      </w:r>
      <w:proofErr w:type="spellStart"/>
      <w:r w:rsidR="00A24FFC" w:rsidRPr="00A24FFC">
        <w:rPr>
          <w:i/>
        </w:rPr>
        <w:t>Statistical</w:t>
      </w:r>
      <w:proofErr w:type="spellEnd"/>
      <w:r w:rsidR="00A24FFC" w:rsidRPr="00A24FFC">
        <w:rPr>
          <w:i/>
        </w:rPr>
        <w:t xml:space="preserve"> </w:t>
      </w:r>
      <w:proofErr w:type="spellStart"/>
      <w:r w:rsidR="00A24FFC" w:rsidRPr="00A24FFC">
        <w:rPr>
          <w:i/>
        </w:rPr>
        <w:t>Yearbook</w:t>
      </w:r>
      <w:proofErr w:type="spellEnd"/>
      <w:r w:rsidR="00A24FFC" w:rsidRPr="00A24FFC">
        <w:rPr>
          <w:i/>
        </w:rPr>
        <w:t xml:space="preserve"> of China</w:t>
      </w:r>
      <w:r w:rsidR="00AF2FA9">
        <w:t xml:space="preserve">. Como señala </w:t>
      </w:r>
      <w:proofErr w:type="spellStart"/>
      <w:r w:rsidR="00AF2FA9">
        <w:t>Crabbe</w:t>
      </w:r>
      <w:proofErr w:type="spellEnd"/>
      <w:r w:rsidR="00AF2FA9">
        <w:t xml:space="preserve"> (2014)</w:t>
      </w:r>
      <w:r w:rsidR="00A24FFC">
        <w:rPr>
          <w:rStyle w:val="FootnoteReference"/>
        </w:rPr>
        <w:footnoteReference w:id="8"/>
      </w:r>
      <w:r w:rsidR="00AF2FA9">
        <w:t>,</w:t>
      </w:r>
      <w:r w:rsidR="00A24FFC">
        <w:t xml:space="preserve"> existen problemas en la precisión de las estadísticas en China. En lo que se refiere al mercado laboral, la existencia de más de 200 millones de trabajadores migrantes sin </w:t>
      </w:r>
      <w:proofErr w:type="spellStart"/>
      <w:r w:rsidR="00A24FFC" w:rsidRPr="00A24FFC">
        <w:rPr>
          <w:i/>
        </w:rPr>
        <w:t>hukou</w:t>
      </w:r>
      <w:proofErr w:type="spellEnd"/>
      <w:r w:rsidR="00A24FFC">
        <w:t xml:space="preserve"> (ver apartado 2.1.1) dificulta la realización de estadísticas sobre empleo y desempleo en el país. </w:t>
      </w:r>
    </w:p>
    <w:p w:rsidR="00BA5640" w:rsidRDefault="001906A4" w:rsidP="001906A4">
      <w:pPr>
        <w:pStyle w:val="a1"/>
      </w:pPr>
      <w:r>
        <w:t>En cuanto al sub-empleo, esta situación se re</w:t>
      </w:r>
      <w:r w:rsidR="007F3AC3">
        <w:t>laciona</w:t>
      </w:r>
      <w:r>
        <w:t xml:space="preserve"> principalmente con la falta de un empleo que corresponde a las expectativas y cualificaciones del trabajador, o cuando </w:t>
      </w:r>
      <w:r w:rsidR="007F3AC3">
        <w:t>é</w:t>
      </w:r>
      <w:r>
        <w:t xml:space="preserve">ste se encuentra en una situación </w:t>
      </w:r>
      <w:r w:rsidR="007F3AC3">
        <w:t>en la que</w:t>
      </w:r>
      <w:r>
        <w:t xml:space="preserve"> no tiene plena libertad para elegir. “</w:t>
      </w:r>
      <w:r w:rsidRPr="001906A4">
        <w:t xml:space="preserve">El </w:t>
      </w:r>
      <w:r w:rsidRPr="001906A4">
        <w:lastRenderedPageBreak/>
        <w:t>subempleo refleja la subutilización de la capacidad pro</w:t>
      </w:r>
      <w:r>
        <w:t xml:space="preserve">ductiva de la población ocupada”, según </w:t>
      </w:r>
      <w:r w:rsidR="00E50B8D">
        <w:t>la definición de la OIT en su página web</w:t>
      </w:r>
      <w:r w:rsidR="00E50B8D">
        <w:rPr>
          <w:rStyle w:val="FootnoteReference"/>
        </w:rPr>
        <w:footnoteReference w:id="9"/>
      </w:r>
      <w:r w:rsidR="00E50B8D">
        <w:t>.</w:t>
      </w:r>
    </w:p>
    <w:p w:rsidR="000A4017" w:rsidRPr="000A4017" w:rsidRDefault="000A4017" w:rsidP="000A4017">
      <w:pPr>
        <w:spacing w:line="360" w:lineRule="auto"/>
        <w:rPr>
          <w:rFonts w:ascii="Times New Roman" w:hAnsi="Times New Roman" w:cs="Times New Roman"/>
          <w:sz w:val="24"/>
          <w:szCs w:val="24"/>
          <w:shd w:val="clear" w:color="auto" w:fill="FFFFFF"/>
          <w:lang w:val="es-ES"/>
        </w:rPr>
      </w:pPr>
      <w:r w:rsidRPr="00881AB8">
        <w:rPr>
          <w:rFonts w:ascii="Times New Roman" w:hAnsi="Times New Roman" w:cs="Times New Roman"/>
          <w:sz w:val="24"/>
          <w:szCs w:val="24"/>
          <w:shd w:val="clear" w:color="auto" w:fill="FFFFFF"/>
          <w:lang w:val="es-ES"/>
        </w:rPr>
        <w:t xml:space="preserve">La ley de </w:t>
      </w:r>
      <w:proofErr w:type="spellStart"/>
      <w:r w:rsidRPr="00881AB8">
        <w:rPr>
          <w:rFonts w:ascii="Times New Roman" w:hAnsi="Times New Roman" w:cs="Times New Roman"/>
          <w:sz w:val="24"/>
          <w:szCs w:val="24"/>
          <w:shd w:val="clear" w:color="auto" w:fill="FFFFFF"/>
          <w:lang w:val="es-ES"/>
        </w:rPr>
        <w:t>Okun</w:t>
      </w:r>
      <w:proofErr w:type="spellEnd"/>
      <w:r w:rsidRPr="00881AB8">
        <w:rPr>
          <w:rFonts w:ascii="Times New Roman" w:hAnsi="Times New Roman" w:cs="Times New Roman"/>
          <w:sz w:val="24"/>
          <w:szCs w:val="24"/>
          <w:shd w:val="clear" w:color="auto" w:fill="FFFFFF"/>
          <w:lang w:val="es-ES"/>
        </w:rPr>
        <w:t xml:space="preserve"> describe la relación entre el crecimiento económico y la tasa de desempleo. Esta ley establece que </w:t>
      </w:r>
      <w:r>
        <w:rPr>
          <w:rFonts w:ascii="Times New Roman" w:hAnsi="Times New Roman" w:cs="Times New Roman"/>
          <w:sz w:val="24"/>
          <w:szCs w:val="24"/>
          <w:shd w:val="clear" w:color="auto" w:fill="FFFFFF"/>
          <w:lang w:val="es-ES"/>
        </w:rPr>
        <w:t xml:space="preserve">existe </w:t>
      </w:r>
      <w:r w:rsidRPr="00881AB8">
        <w:rPr>
          <w:rFonts w:ascii="Times New Roman" w:hAnsi="Times New Roman" w:cs="Times New Roman"/>
          <w:sz w:val="24"/>
          <w:szCs w:val="24"/>
          <w:shd w:val="clear" w:color="auto" w:fill="FFFFFF"/>
          <w:lang w:val="es-ES"/>
        </w:rPr>
        <w:t xml:space="preserve">una correlación negativa entre la tasa de desempleo y la tasa de crecimiento del PIB. </w:t>
      </w:r>
      <w:r w:rsidR="00A24FFC">
        <w:rPr>
          <w:rFonts w:ascii="Times New Roman" w:hAnsi="Times New Roman" w:cs="Times New Roman"/>
          <w:sz w:val="24"/>
          <w:szCs w:val="24"/>
          <w:shd w:val="clear" w:color="auto" w:fill="FFFFFF"/>
          <w:lang w:val="es-ES"/>
        </w:rPr>
        <w:t>U</w:t>
      </w:r>
      <w:r>
        <w:rPr>
          <w:rFonts w:ascii="Times New Roman" w:hAnsi="Times New Roman" w:cs="Times New Roman"/>
          <w:sz w:val="24"/>
          <w:szCs w:val="24"/>
          <w:shd w:val="clear" w:color="auto" w:fill="FFFFFF"/>
          <w:lang w:val="es-ES"/>
        </w:rPr>
        <w:t>na tasa alta de</w:t>
      </w:r>
      <w:r w:rsidRPr="00881AB8">
        <w:rPr>
          <w:rFonts w:ascii="Times New Roman" w:hAnsi="Times New Roman" w:cs="Times New Roman"/>
          <w:sz w:val="24"/>
          <w:szCs w:val="24"/>
          <w:shd w:val="clear" w:color="auto" w:fill="FFFFFF"/>
          <w:lang w:val="es-ES"/>
        </w:rPr>
        <w:t xml:space="preserve"> crecimiento económico </w:t>
      </w:r>
      <w:r>
        <w:rPr>
          <w:rFonts w:ascii="Times New Roman" w:hAnsi="Times New Roman" w:cs="Times New Roman"/>
          <w:sz w:val="24"/>
          <w:szCs w:val="24"/>
          <w:shd w:val="clear" w:color="auto" w:fill="FFFFFF"/>
          <w:lang w:val="es-ES"/>
        </w:rPr>
        <w:t>está acompañada</w:t>
      </w:r>
      <w:r w:rsidR="00A24FFC">
        <w:rPr>
          <w:rFonts w:ascii="Times New Roman" w:hAnsi="Times New Roman" w:cs="Times New Roman"/>
          <w:sz w:val="24"/>
          <w:szCs w:val="24"/>
          <w:shd w:val="clear" w:color="auto" w:fill="FFFFFF"/>
          <w:lang w:val="es-ES"/>
        </w:rPr>
        <w:t xml:space="preserve"> de un bajo desempleo y, a la inversa, </w:t>
      </w:r>
      <w:r w:rsidRPr="00881AB8">
        <w:rPr>
          <w:rFonts w:ascii="Times New Roman" w:hAnsi="Times New Roman" w:cs="Times New Roman"/>
          <w:sz w:val="24"/>
          <w:szCs w:val="24"/>
          <w:shd w:val="clear" w:color="auto" w:fill="FFFFFF"/>
          <w:lang w:val="es-ES"/>
        </w:rPr>
        <w:t xml:space="preserve">el bajo crecimiento </w:t>
      </w:r>
      <w:r w:rsidR="00A24FFC">
        <w:rPr>
          <w:rFonts w:ascii="Times New Roman" w:hAnsi="Times New Roman" w:cs="Times New Roman"/>
          <w:sz w:val="24"/>
          <w:szCs w:val="24"/>
          <w:shd w:val="clear" w:color="auto" w:fill="FFFFFF"/>
          <w:lang w:val="es-ES"/>
        </w:rPr>
        <w:t xml:space="preserve">está acompañado </w:t>
      </w:r>
      <w:r w:rsidRPr="00881AB8">
        <w:rPr>
          <w:rFonts w:ascii="Times New Roman" w:hAnsi="Times New Roman" w:cs="Times New Roman"/>
          <w:sz w:val="24"/>
          <w:szCs w:val="24"/>
          <w:shd w:val="clear" w:color="auto" w:fill="FFFFFF"/>
          <w:lang w:val="es-ES"/>
        </w:rPr>
        <w:t>con un alto desemple</w:t>
      </w:r>
      <w:r>
        <w:rPr>
          <w:rFonts w:ascii="Times New Roman" w:hAnsi="Times New Roman" w:cs="Times New Roman"/>
          <w:sz w:val="24"/>
          <w:szCs w:val="24"/>
          <w:shd w:val="clear" w:color="auto" w:fill="FFFFFF"/>
          <w:lang w:val="es-ES"/>
        </w:rPr>
        <w:t xml:space="preserve">o. </w:t>
      </w:r>
      <w:r w:rsidRPr="00881AB8">
        <w:rPr>
          <w:rFonts w:ascii="Times New Roman" w:hAnsi="Times New Roman" w:cs="Times New Roman"/>
          <w:sz w:val="24"/>
          <w:szCs w:val="24"/>
          <w:shd w:val="clear" w:color="auto" w:fill="FFFFFF"/>
          <w:lang w:val="es-ES"/>
        </w:rPr>
        <w:t xml:space="preserve">El economista </w:t>
      </w:r>
      <w:proofErr w:type="spellStart"/>
      <w:r w:rsidRPr="00881AB8">
        <w:rPr>
          <w:rFonts w:ascii="Times New Roman" w:hAnsi="Times New Roman" w:cs="Times New Roman"/>
          <w:sz w:val="24"/>
          <w:szCs w:val="24"/>
          <w:shd w:val="clear" w:color="auto" w:fill="FFFFFF"/>
          <w:lang w:val="es-ES"/>
        </w:rPr>
        <w:t>Okun</w:t>
      </w:r>
      <w:proofErr w:type="spellEnd"/>
      <w:r w:rsidRPr="00881AB8">
        <w:rPr>
          <w:rFonts w:ascii="Times New Roman" w:hAnsi="Times New Roman" w:cs="Times New Roman"/>
          <w:sz w:val="24"/>
          <w:szCs w:val="24"/>
          <w:shd w:val="clear" w:color="auto" w:fill="FFFFFF"/>
          <w:lang w:val="es-ES"/>
        </w:rPr>
        <w:t xml:space="preserve"> </w:t>
      </w:r>
      <w:r>
        <w:rPr>
          <w:rFonts w:ascii="Times New Roman" w:hAnsi="Times New Roman" w:cs="Times New Roman"/>
          <w:sz w:val="24"/>
          <w:szCs w:val="24"/>
          <w:shd w:val="clear" w:color="auto" w:fill="FFFFFF"/>
          <w:lang w:val="es-ES"/>
        </w:rPr>
        <w:t>apoyó su modelo teórico en datos empíricos obtenidos en los Estados Unidos en las décadas de los años sesenta y setenta. Esta relación también se ha confirmado en muchos países</w:t>
      </w:r>
      <w:r w:rsidR="00DB4419">
        <w:rPr>
          <w:rFonts w:ascii="Times New Roman" w:hAnsi="Times New Roman" w:cs="Times New Roman"/>
          <w:sz w:val="24"/>
          <w:szCs w:val="24"/>
          <w:shd w:val="clear" w:color="auto" w:fill="FFFFFF"/>
          <w:lang w:val="es-ES"/>
        </w:rPr>
        <w:t xml:space="preserve"> (Belmonte &amp; Polo, 2004)</w:t>
      </w:r>
      <w:r w:rsidR="00A24FFC">
        <w:rPr>
          <w:rStyle w:val="FootnoteReference"/>
          <w:rFonts w:ascii="Times New Roman" w:hAnsi="Times New Roman" w:cs="Times New Roman"/>
          <w:sz w:val="24"/>
          <w:szCs w:val="24"/>
          <w:shd w:val="clear" w:color="auto" w:fill="FFFFFF"/>
          <w:lang w:val="es-ES"/>
        </w:rPr>
        <w:footnoteReference w:id="10"/>
      </w:r>
      <w:r>
        <w:rPr>
          <w:rFonts w:ascii="Times New Roman" w:hAnsi="Times New Roman" w:cs="Times New Roman"/>
          <w:sz w:val="24"/>
          <w:szCs w:val="24"/>
          <w:shd w:val="clear" w:color="auto" w:fill="FFFFFF"/>
          <w:lang w:val="es-ES"/>
        </w:rPr>
        <w:t xml:space="preserve">. </w:t>
      </w:r>
    </w:p>
    <w:p w:rsidR="00BA5640" w:rsidRPr="00881AB8" w:rsidRDefault="00CA3018" w:rsidP="002355AD">
      <w:pPr>
        <w:pStyle w:val="Heading3"/>
        <w:rPr>
          <w:rFonts w:cs="Times New Roman"/>
          <w:lang w:val="es-ES_tradnl"/>
        </w:rPr>
      </w:pPr>
      <w:bookmarkStart w:id="19" w:name="_Toc424110940"/>
      <w:bookmarkStart w:id="20" w:name="_Toc424111220"/>
      <w:bookmarkStart w:id="21" w:name="_Toc471215299"/>
      <w:r w:rsidRPr="00881AB8">
        <w:rPr>
          <w:rFonts w:cs="Times New Roman"/>
          <w:lang w:val="es-ES_tradnl"/>
        </w:rPr>
        <w:t>1.2.</w:t>
      </w:r>
      <w:r w:rsidR="001906A4">
        <w:rPr>
          <w:rFonts w:cs="Times New Roman"/>
          <w:lang w:val="es-ES_tradnl"/>
        </w:rPr>
        <w:t>3</w:t>
      </w:r>
      <w:r w:rsidR="00B42A74">
        <w:rPr>
          <w:rFonts w:eastAsiaTheme="minorEastAsia" w:cs="Times New Roman" w:hint="eastAsia"/>
          <w:lang w:val="es-ES_tradnl"/>
        </w:rPr>
        <w:t>.</w:t>
      </w:r>
      <w:r w:rsidRPr="00881AB8">
        <w:rPr>
          <w:rFonts w:cs="Times New Roman"/>
          <w:lang w:val="es-ES_tradnl"/>
        </w:rPr>
        <w:t xml:space="preserve"> S</w:t>
      </w:r>
      <w:r w:rsidR="00C320FF" w:rsidRPr="00881AB8">
        <w:rPr>
          <w:rFonts w:cs="Times New Roman"/>
          <w:lang w:val="es-ES_tradnl"/>
        </w:rPr>
        <w:t>alarios y remuneracio</w:t>
      </w:r>
      <w:r w:rsidR="002D3976" w:rsidRPr="00881AB8">
        <w:rPr>
          <w:rFonts w:cs="Times New Roman"/>
          <w:lang w:val="es-ES_tradnl"/>
        </w:rPr>
        <w:t>nes de trabajo</w:t>
      </w:r>
      <w:bookmarkEnd w:id="19"/>
      <w:bookmarkEnd w:id="20"/>
      <w:bookmarkEnd w:id="21"/>
    </w:p>
    <w:p w:rsidR="00CA3018" w:rsidRDefault="00C320FF" w:rsidP="007F3AC3">
      <w:pPr>
        <w:pStyle w:val="a1"/>
      </w:pPr>
      <w:r w:rsidRPr="00881AB8">
        <w:t>El salario es</w:t>
      </w:r>
      <w:r w:rsidR="00CA3018" w:rsidRPr="00881AB8">
        <w:t xml:space="preserve"> </w:t>
      </w:r>
      <w:r w:rsidR="00E50B8D">
        <w:t xml:space="preserve">la retribución </w:t>
      </w:r>
      <w:r w:rsidR="00E50B8D" w:rsidRPr="007F3AC3">
        <w:t>del</w:t>
      </w:r>
      <w:r w:rsidR="00E50B8D">
        <w:t xml:space="preserve"> trabajo. Es el resultado de la negociación entre empleador y empleado</w:t>
      </w:r>
      <w:r w:rsidR="00A24FFC">
        <w:t xml:space="preserve"> en el mercado de trabajo</w:t>
      </w:r>
      <w:r w:rsidR="00CA3018" w:rsidRPr="00881AB8">
        <w:t>.</w:t>
      </w:r>
      <w:r w:rsidR="00E50B8D">
        <w:t xml:space="preserve"> En el contexto actual, en algunos países, entre ellos España, los salarios están determinados en gran medida por la existencia de los convenios colectivos que son el resultado de la negociación colectiva sectorial.</w:t>
      </w:r>
      <w:r w:rsidR="0041783B">
        <w:t xml:space="preserve"> En España, la mayoría del mercado laboral, entre el 60% y el 80% de los asalariados, tiene salarios regulados por convenios colectivos (Simón</w:t>
      </w:r>
      <w:r w:rsidR="005C1611">
        <w:t xml:space="preserve"> </w:t>
      </w:r>
      <w:r w:rsidR="0041783B">
        <w:t>Pérez, 2001)</w:t>
      </w:r>
      <w:r w:rsidR="00BC1B47">
        <w:rPr>
          <w:rStyle w:val="FootnoteReference"/>
        </w:rPr>
        <w:footnoteReference w:id="11"/>
      </w:r>
      <w:r w:rsidR="0041783B">
        <w:t xml:space="preserve">. </w:t>
      </w:r>
    </w:p>
    <w:p w:rsidR="00C361F8" w:rsidRPr="00881AB8" w:rsidRDefault="00C361F8" w:rsidP="007F3AC3">
      <w:pPr>
        <w:pStyle w:val="a1"/>
      </w:pPr>
      <w:r w:rsidRPr="00C361F8">
        <w:t xml:space="preserve">Las remuneraciones de trabajo incluyen </w:t>
      </w:r>
      <w:r>
        <w:t xml:space="preserve">a </w:t>
      </w:r>
      <w:r w:rsidRPr="00C361F8">
        <w:t>las remuneraciones monetarias y no monetarias. Las remuneraciones monetarias son salarios nominales,</w:t>
      </w:r>
      <w:r>
        <w:t xml:space="preserve"> mientras las remuneraciones no monetarias incluyen a prestaciones y pagos en especie. Como cualquier otra mercado, el mercado laboral necesita para funcionar de un sistema de moneda universalmente aceptado que facilita los intercambios entre empleadores y </w:t>
      </w:r>
      <w:r>
        <w:lastRenderedPageBreak/>
        <w:t>empleados en base a un salario nominal comparable. En el periodo de colectivización de la economía china, en los años cincuenta y sesenta del siglo XX, la remuneración del trabajo se realizaba principalmente con prestaciones (alojamiento) y bienes de consumo básico (comida).</w:t>
      </w:r>
    </w:p>
    <w:p w:rsidR="0054576B" w:rsidRDefault="0054576B" w:rsidP="0054576B">
      <w:pPr>
        <w:pStyle w:val="a1"/>
      </w:pPr>
      <w:r>
        <w:t xml:space="preserve">Los salarios se relacionan directamente con dos indicadores macroeconómicos fundamentales: </w:t>
      </w:r>
    </w:p>
    <w:p w:rsidR="0054576B" w:rsidRDefault="0054576B" w:rsidP="0054576B">
      <w:pPr>
        <w:pStyle w:val="a1"/>
        <w:numPr>
          <w:ilvl w:val="0"/>
          <w:numId w:val="43"/>
        </w:numPr>
      </w:pPr>
      <w:r>
        <w:t>Los precios de los bienes y servicios. En efecto, los salarios de los empleados son costes de producción que inciden sobre el precio final de los productos y servicios que comercializan las empresas.</w:t>
      </w:r>
    </w:p>
    <w:p w:rsidR="0054576B" w:rsidRDefault="0054576B" w:rsidP="0054576B">
      <w:pPr>
        <w:pStyle w:val="a1"/>
        <w:numPr>
          <w:ilvl w:val="0"/>
          <w:numId w:val="43"/>
        </w:numPr>
      </w:pPr>
      <w:r>
        <w:t>La</w:t>
      </w:r>
      <w:r w:rsidRPr="0054576B">
        <w:t xml:space="preserve"> r</w:t>
      </w:r>
      <w:r>
        <w:t>enta de las familias y el consumo. Una parte significativa de la renta disponible de las familias proviene de los salarios y estos tienen una influencia sobre el nivel de consumo.</w:t>
      </w:r>
    </w:p>
    <w:p w:rsidR="0054576B" w:rsidRDefault="0054576B" w:rsidP="0054576B">
      <w:pPr>
        <w:pStyle w:val="a1"/>
      </w:pPr>
      <w:r>
        <w:t>La relación entre sa</w:t>
      </w:r>
      <w:r w:rsidR="00C361F8">
        <w:t xml:space="preserve">larios, inflación y consumo ha estado en el centro de </w:t>
      </w:r>
      <w:r>
        <w:t xml:space="preserve">muchos estudios económicos. Uno de los más importantes es la curva de Phillips. </w:t>
      </w:r>
      <w:r w:rsidR="00C361F8">
        <w:t>Según este modelo, las situaciones</w:t>
      </w:r>
      <w:r>
        <w:t xml:space="preserve"> que tienden hacia el pleno empleo (o sea</w:t>
      </w:r>
      <w:r w:rsidR="00C361F8">
        <w:t>,</w:t>
      </w:r>
      <w:r>
        <w:t xml:space="preserve"> hacia la tasa de desempleo natural) conduce</w:t>
      </w:r>
      <w:r w:rsidR="00D14E93">
        <w:t>n</w:t>
      </w:r>
      <w:r>
        <w:t xml:space="preserve"> a un aumento de los salarios, pues</w:t>
      </w:r>
      <w:r w:rsidR="00D14E93">
        <w:t xml:space="preserve">to que los trabajadores tienen </w:t>
      </w:r>
      <w:r>
        <w:t>mayor poder de negociación. El aumento de los salarios, co</w:t>
      </w:r>
      <w:r w:rsidR="00C361F8">
        <w:t>nduce al aumento de los precios</w:t>
      </w:r>
      <w:r>
        <w:t xml:space="preserve"> y</w:t>
      </w:r>
      <w:r w:rsidR="00C361F8">
        <w:t>,</w:t>
      </w:r>
      <w:r>
        <w:t xml:space="preserve"> por consiguiente</w:t>
      </w:r>
      <w:r w:rsidR="00C361F8">
        <w:t>, al aumento</w:t>
      </w:r>
      <w:r>
        <w:t xml:space="preserve"> de la inflación. Es la espiral de precios y salarios, características de l</w:t>
      </w:r>
      <w:r w:rsidR="00926F2A">
        <w:t>a curva de Phillips que establece una relaci</w:t>
      </w:r>
      <w:r w:rsidR="007F3AC3">
        <w:t>ón negativa entre el desempleo</w:t>
      </w:r>
      <w:r w:rsidR="00926F2A">
        <w:t xml:space="preserve"> y la inflación</w:t>
      </w:r>
      <w:r w:rsidR="007F3AC3">
        <w:t xml:space="preserve"> (</w:t>
      </w:r>
      <w:proofErr w:type="spellStart"/>
      <w:r w:rsidR="007F3AC3">
        <w:t>Galí</w:t>
      </w:r>
      <w:proofErr w:type="spellEnd"/>
      <w:r w:rsidR="007F3AC3">
        <w:t xml:space="preserve"> &amp; </w:t>
      </w:r>
      <w:proofErr w:type="spellStart"/>
      <w:r w:rsidR="007F3AC3">
        <w:t>Gertler</w:t>
      </w:r>
      <w:proofErr w:type="spellEnd"/>
      <w:r w:rsidR="007F3AC3">
        <w:t>, 1999)</w:t>
      </w:r>
      <w:r w:rsidR="00D14E93">
        <w:rPr>
          <w:rStyle w:val="FootnoteReference"/>
        </w:rPr>
        <w:footnoteReference w:id="12"/>
      </w:r>
      <w:r w:rsidR="00926F2A">
        <w:t>. Siguiendo este modelo, los Gobiernos</w:t>
      </w:r>
      <w:r w:rsidR="00D14E93">
        <w:t>,</w:t>
      </w:r>
      <w:r w:rsidR="00926F2A">
        <w:t xml:space="preserve"> mediante sus medidas destinadas a intervenir en el mercado del trabajo</w:t>
      </w:r>
      <w:r w:rsidR="00D14E93">
        <w:t>,</w:t>
      </w:r>
      <w:r w:rsidR="00926F2A">
        <w:t xml:space="preserve"> pueden promover la creación de empleo a costa de una mayor inflación, o disminuir la inflación a costa de sufrir una mayor tasa de desempleo. </w:t>
      </w:r>
    </w:p>
    <w:p w:rsidR="00926F2A" w:rsidRDefault="00926F2A" w:rsidP="0054576B">
      <w:pPr>
        <w:pStyle w:val="a1"/>
      </w:pPr>
      <w:r>
        <w:lastRenderedPageBreak/>
        <w:t xml:space="preserve">Dentro del enfoque keynesiano, se busca un equilibrio razonable entre creación de empleo, inflación y estímulo del consumo. Por este motivo, </w:t>
      </w:r>
      <w:r w:rsidR="007F3AC3">
        <w:t xml:space="preserve">para las economías desarrolladas, </w:t>
      </w:r>
      <w:r>
        <w:t>se suel</w:t>
      </w:r>
      <w:r w:rsidR="007F3AC3">
        <w:t>e</w:t>
      </w:r>
      <w:r>
        <w:t xml:space="preserve"> considerar una tasa de inflación óptima de entre el 1</w:t>
      </w:r>
      <w:r w:rsidR="00B12802">
        <w:t xml:space="preserve"> </w:t>
      </w:r>
      <w:r>
        <w:t>y el 2%, de manera a permitir la creación de empleo y a fomentar el consumo</w:t>
      </w:r>
      <w:r w:rsidR="0041783B">
        <w:t xml:space="preserve"> (</w:t>
      </w:r>
      <w:proofErr w:type="spellStart"/>
      <w:r w:rsidR="0041783B">
        <w:t>Coibion</w:t>
      </w:r>
      <w:proofErr w:type="spellEnd"/>
      <w:r w:rsidR="0041783B">
        <w:t xml:space="preserve">, </w:t>
      </w:r>
      <w:proofErr w:type="spellStart"/>
      <w:r w:rsidR="0041783B">
        <w:t>Gorodnichenko</w:t>
      </w:r>
      <w:proofErr w:type="spellEnd"/>
      <w:r w:rsidR="0041783B">
        <w:t xml:space="preserve"> </w:t>
      </w:r>
      <w:r w:rsidR="0041783B" w:rsidRPr="0041783B">
        <w:t xml:space="preserve">&amp; </w:t>
      </w:r>
      <w:proofErr w:type="spellStart"/>
      <w:r w:rsidR="0041783B" w:rsidRPr="0041783B">
        <w:t>Wieland</w:t>
      </w:r>
      <w:proofErr w:type="spellEnd"/>
      <w:r w:rsidR="0041783B" w:rsidRPr="0041783B">
        <w:t xml:space="preserve">, </w:t>
      </w:r>
      <w:r w:rsidR="0041783B">
        <w:t>2012)</w:t>
      </w:r>
      <w:r w:rsidR="00D14E93">
        <w:rPr>
          <w:rStyle w:val="FootnoteReference"/>
        </w:rPr>
        <w:footnoteReference w:id="13"/>
      </w:r>
      <w:r>
        <w:t xml:space="preserve">. Las políticas de </w:t>
      </w:r>
      <w:proofErr w:type="spellStart"/>
      <w:r w:rsidRPr="0041783B">
        <w:rPr>
          <w:i/>
        </w:rPr>
        <w:t>Quantitative</w:t>
      </w:r>
      <w:proofErr w:type="spellEnd"/>
      <w:r w:rsidRPr="0041783B">
        <w:rPr>
          <w:i/>
        </w:rPr>
        <w:t xml:space="preserve"> </w:t>
      </w:r>
      <w:proofErr w:type="spellStart"/>
      <w:r w:rsidRPr="0041783B">
        <w:rPr>
          <w:i/>
        </w:rPr>
        <w:t>Easing</w:t>
      </w:r>
      <w:proofErr w:type="spellEnd"/>
      <w:r>
        <w:t xml:space="preserve"> </w:t>
      </w:r>
      <w:r w:rsidR="0041783B">
        <w:t>promocionadas por el Banco Ce</w:t>
      </w:r>
      <w:r>
        <w:t>ntral Europea a partir de 2015 han tenido como objetivo, entre otros, situar la inflación de las economías europeas a un nivel óptimo de entre 1 y 2% frente al riesgo de deflación.</w:t>
      </w:r>
      <w:r w:rsidR="00B12802">
        <w:t xml:space="preserve"> </w:t>
      </w:r>
    </w:p>
    <w:p w:rsidR="00104F7F" w:rsidRDefault="00104F7F" w:rsidP="009711AC">
      <w:pPr>
        <w:pStyle w:val="a0"/>
      </w:pPr>
      <w:r>
        <w:t xml:space="preserve">La desigualdad en las rentas es un factor que se estudia mediante el Coeficiente </w:t>
      </w:r>
      <w:proofErr w:type="spellStart"/>
      <w:r>
        <w:t>Gini</w:t>
      </w:r>
      <w:proofErr w:type="spellEnd"/>
      <w:r>
        <w:t xml:space="preserve">, una escala de 0 a 1, en la que 0 representa la igualdad perfecta (toda la población tiene la misma renta) y 1 representa la desigualdad perfecta (una sola persona acumula toda la renta del país). El coeficiente </w:t>
      </w:r>
      <w:proofErr w:type="spellStart"/>
      <w:r>
        <w:t>Gini</w:t>
      </w:r>
      <w:proofErr w:type="spellEnd"/>
      <w:r>
        <w:t xml:space="preserve"> de China en los últimos años oscila entre </w:t>
      </w:r>
      <w:r w:rsidRPr="00C71B0A">
        <w:t>0.47</w:t>
      </w:r>
      <w:r w:rsidR="009711AC">
        <w:t xml:space="preserve"> y </w:t>
      </w:r>
      <w:r w:rsidRPr="00C71B0A">
        <w:t>0.52</w:t>
      </w:r>
      <w:r>
        <w:t xml:space="preserve"> (</w:t>
      </w:r>
      <w:proofErr w:type="spellStart"/>
      <w:r>
        <w:t>Yue</w:t>
      </w:r>
      <w:proofErr w:type="spellEnd"/>
      <w:r>
        <w:t xml:space="preserve">, Li &amp; </w:t>
      </w:r>
      <w:proofErr w:type="spellStart"/>
      <w:r>
        <w:t>Gao</w:t>
      </w:r>
      <w:proofErr w:type="spellEnd"/>
      <w:r>
        <w:t>, 2013)</w:t>
      </w:r>
      <w:r w:rsidR="0064103D">
        <w:rPr>
          <w:rStyle w:val="FootnoteReference"/>
        </w:rPr>
        <w:footnoteReference w:id="14"/>
      </w:r>
      <w:r>
        <w:t xml:space="preserve">, que muestra un nivel de desigualdad salarial mucho más alto que en España </w:t>
      </w:r>
      <w:r w:rsidR="009711AC">
        <w:t>oscila entre 0.31 y</w:t>
      </w:r>
      <w:r>
        <w:t xml:space="preserve"> 0</w:t>
      </w:r>
      <w:r w:rsidR="009711AC">
        <w:t>.</w:t>
      </w:r>
      <w:r>
        <w:t>3</w:t>
      </w:r>
      <w:r w:rsidR="009711AC">
        <w:t>4</w:t>
      </w:r>
      <w:r>
        <w:t xml:space="preserve"> (</w:t>
      </w:r>
      <w:proofErr w:type="spellStart"/>
      <w:r w:rsidR="009711AC">
        <w:t>Larraz</w:t>
      </w:r>
      <w:proofErr w:type="spellEnd"/>
      <w:r w:rsidR="009711AC">
        <w:t xml:space="preserve"> &amp; Herrera, 2016</w:t>
      </w:r>
      <w:r>
        <w:t>)</w:t>
      </w:r>
      <w:r w:rsidR="002D672F">
        <w:rPr>
          <w:rStyle w:val="FootnoteReference"/>
        </w:rPr>
        <w:footnoteReference w:id="15"/>
      </w:r>
      <w:r>
        <w:t xml:space="preserve">. </w:t>
      </w:r>
    </w:p>
    <w:p w:rsidR="00926F2A" w:rsidRPr="00926F2A" w:rsidRDefault="00B12802" w:rsidP="00926F2A">
      <w:pPr>
        <w:pStyle w:val="Heading3"/>
      </w:pPr>
      <w:bookmarkStart w:id="22" w:name="_Toc471215300"/>
      <w:r>
        <w:t xml:space="preserve">1.2.4. </w:t>
      </w:r>
      <w:r w:rsidR="00926F2A" w:rsidRPr="00926F2A">
        <w:t>Políticas institucionales</w:t>
      </w:r>
      <w:bookmarkEnd w:id="22"/>
    </w:p>
    <w:p w:rsidR="00B12802" w:rsidRDefault="00926F2A" w:rsidP="00926F2A">
      <w:pPr>
        <w:pStyle w:val="a1"/>
      </w:pPr>
      <w:r>
        <w:t>Como se ha comentado ya, los podere</w:t>
      </w:r>
      <w:r w:rsidR="002D672F">
        <w:t>s públicos y las instituciones suelen tener</w:t>
      </w:r>
      <w:r>
        <w:t xml:space="preserve"> una fuerte intervención en el mercado laboral, mediante </w:t>
      </w:r>
      <w:r w:rsidR="0041783B">
        <w:t>medidas</w:t>
      </w:r>
      <w:r>
        <w:t xml:space="preserve"> encaminadas a fomentar el pleno empleo y </w:t>
      </w:r>
      <w:r w:rsidRPr="00926F2A">
        <w:t>también</w:t>
      </w:r>
      <w:r>
        <w:t xml:space="preserve"> a eliminar el subempleo</w:t>
      </w:r>
      <w:r w:rsidR="0041783B">
        <w:t xml:space="preserve">. </w:t>
      </w:r>
      <w:r>
        <w:t>Uno de estos mecanismos institucionales es la firma de convenios que fijan salarios para determinadas</w:t>
      </w:r>
      <w:r w:rsidR="0041783B">
        <w:t xml:space="preserve"> actividades, como se ha visto antes. </w:t>
      </w:r>
      <w:r w:rsidR="00B12802">
        <w:t>Además, las instituciones</w:t>
      </w:r>
      <w:r w:rsidR="002D672F">
        <w:t xml:space="preserve"> se preocupan por los problemas sociales y</w:t>
      </w:r>
      <w:r w:rsidR="00B12802">
        <w:t xml:space="preserve"> están atentas a los fenómenos discriminatorios que pued</w:t>
      </w:r>
      <w:r w:rsidR="002D672F">
        <w:t>en surgir en el mercado laboral. O</w:t>
      </w:r>
      <w:r w:rsidR="00B12802">
        <w:t xml:space="preserve">rientan sus medidas a conseguir un orden social más armonioso e igualitario. </w:t>
      </w:r>
    </w:p>
    <w:p w:rsidR="00B12802" w:rsidRDefault="00B12802" w:rsidP="00926F2A">
      <w:pPr>
        <w:pStyle w:val="a1"/>
      </w:pPr>
      <w:r>
        <w:lastRenderedPageBreak/>
        <w:t>A continuación se describen brevemente las principales medidas de intervención en el mercado laboral:</w:t>
      </w:r>
    </w:p>
    <w:p w:rsidR="00A36CC5" w:rsidRDefault="00A36CC5" w:rsidP="00B12802">
      <w:pPr>
        <w:pStyle w:val="a1"/>
        <w:numPr>
          <w:ilvl w:val="0"/>
          <w:numId w:val="46"/>
        </w:numPr>
      </w:pPr>
      <w:r>
        <w:t xml:space="preserve">Prestaciones para desempleados. Las prestaciones para desempleados tienen una función social importante, pero también fomentan un nivel más alto de desempleo. Se llama “tasa de sustitución” </w:t>
      </w:r>
      <w:r w:rsidR="00313BA9">
        <w:t>el cociente entre las prestaciones por desempleo y el salario después de impuestos (</w:t>
      </w:r>
      <w:proofErr w:type="spellStart"/>
      <w:r w:rsidR="00313BA9" w:rsidRPr="00313BA9">
        <w:t>Blanchard</w:t>
      </w:r>
      <w:proofErr w:type="spellEnd"/>
      <w:r w:rsidR="00313BA9" w:rsidRPr="00313BA9">
        <w:t xml:space="preserve">, </w:t>
      </w:r>
      <w:proofErr w:type="spellStart"/>
      <w:r w:rsidR="00313BA9" w:rsidRPr="00313BA9">
        <w:t>Amighini</w:t>
      </w:r>
      <w:proofErr w:type="spellEnd"/>
      <w:r w:rsidR="00313BA9" w:rsidRPr="00313BA9">
        <w:t xml:space="preserve"> &amp; </w:t>
      </w:r>
      <w:proofErr w:type="spellStart"/>
      <w:r w:rsidR="00313BA9" w:rsidRPr="00313BA9">
        <w:t>Giavazzi</w:t>
      </w:r>
      <w:proofErr w:type="spellEnd"/>
      <w:r w:rsidR="00313BA9" w:rsidRPr="00313BA9">
        <w:t>, 2012</w:t>
      </w:r>
      <w:r w:rsidR="00313BA9">
        <w:t>: 217)</w:t>
      </w:r>
      <w:r w:rsidR="002D672F">
        <w:rPr>
          <w:rStyle w:val="FootnoteReference"/>
        </w:rPr>
        <w:footnoteReference w:id="16"/>
      </w:r>
      <w:r w:rsidR="00313BA9">
        <w:t xml:space="preserve">. Los países europeos tienen una tasa de sustitución alta que es un factor de desempleo. </w:t>
      </w:r>
    </w:p>
    <w:p w:rsidR="002D672F" w:rsidRDefault="00313BA9" w:rsidP="00B12802">
      <w:pPr>
        <w:pStyle w:val="a1"/>
        <w:numPr>
          <w:ilvl w:val="0"/>
          <w:numId w:val="46"/>
        </w:numPr>
      </w:pPr>
      <w:r>
        <w:t>Protección del empleo. La legislación establece normas que protegen el empleo y e</w:t>
      </w:r>
      <w:r w:rsidR="002D672F">
        <w:t xml:space="preserve">ncarecen el coste del despido. </w:t>
      </w:r>
    </w:p>
    <w:p w:rsidR="00313BA9" w:rsidRDefault="00313BA9" w:rsidP="00B12802">
      <w:pPr>
        <w:pStyle w:val="a1"/>
        <w:numPr>
          <w:ilvl w:val="0"/>
          <w:numId w:val="46"/>
        </w:numPr>
      </w:pPr>
      <w:r>
        <w:t xml:space="preserve">Salario mínimo. La legislación puede establecer un salario mínimo como retribución del trabajo. </w:t>
      </w:r>
      <w:r w:rsidR="002D672F">
        <w:t>Este factor ha sido estudiado en relación con su impacto en el nivel de desempleo en varios países (</w:t>
      </w:r>
      <w:proofErr w:type="spellStart"/>
      <w:r w:rsidR="002D672F">
        <w:t>Huang</w:t>
      </w:r>
      <w:proofErr w:type="spellEnd"/>
      <w:r w:rsidR="002D672F">
        <w:t xml:space="preserve">, </w:t>
      </w:r>
      <w:proofErr w:type="spellStart"/>
      <w:r w:rsidR="002D672F">
        <w:t>Loungani</w:t>
      </w:r>
      <w:proofErr w:type="spellEnd"/>
      <w:r w:rsidR="002D672F">
        <w:t xml:space="preserve"> &amp; Wang, 2014)</w:t>
      </w:r>
      <w:r w:rsidR="002D672F">
        <w:rPr>
          <w:rStyle w:val="FootnoteReference"/>
        </w:rPr>
        <w:footnoteReference w:id="17"/>
      </w:r>
      <w:r w:rsidR="002D672F">
        <w:t>.</w:t>
      </w:r>
    </w:p>
    <w:p w:rsidR="0054576B" w:rsidRDefault="00313BA9" w:rsidP="00B12802">
      <w:pPr>
        <w:pStyle w:val="a1"/>
        <w:numPr>
          <w:ilvl w:val="0"/>
          <w:numId w:val="46"/>
        </w:numPr>
      </w:pPr>
      <w:r>
        <w:t xml:space="preserve">Incentivos fiscales a la contratación. Las instituciones estatales y regionales pueden fijar condiciones ventajosas para la contratación de nuevos empleados, especialmente aquellos que tienen un perfil de alto riesgo de desempleo </w:t>
      </w:r>
      <w:r w:rsidR="009668B6">
        <w:t xml:space="preserve">en el contexto sociodemográfico del mercado laboral </w:t>
      </w:r>
      <w:r>
        <w:t>(jóvenes, mujeres, parados de largo duración).</w:t>
      </w:r>
    </w:p>
    <w:p w:rsidR="00B12802" w:rsidRPr="0054576B" w:rsidRDefault="009668B6" w:rsidP="00B12802">
      <w:pPr>
        <w:pStyle w:val="a1"/>
      </w:pPr>
      <w:r>
        <w:t>Finalmente, conviene señalar que e</w:t>
      </w:r>
      <w:r w:rsidR="00B12802">
        <w:t>l marco institucional que regula el mercado laboral varía considerablemente de un país a otro, incluso de</w:t>
      </w:r>
      <w:r>
        <w:t>ntro de la propia Unión Europea: el proceso de negociación colectiva, la política de salarios mínimos, las prestaciones por desempleo, la legislación sobre contratos laborales y despidos, etc.</w:t>
      </w:r>
    </w:p>
    <w:p w:rsidR="003E31F3" w:rsidRPr="00061BB4" w:rsidRDefault="00974A38" w:rsidP="00881AB8">
      <w:pPr>
        <w:pStyle w:val="Heading1"/>
        <w:rPr>
          <w:rFonts w:cs="Times New Roman"/>
          <w:sz w:val="36"/>
          <w:lang w:val="es-ES_tradnl"/>
        </w:rPr>
      </w:pPr>
      <w:bookmarkStart w:id="23" w:name="_Toc424110943"/>
      <w:bookmarkStart w:id="24" w:name="_Toc424111223"/>
      <w:bookmarkStart w:id="25" w:name="_Toc471215301"/>
      <w:r w:rsidRPr="00061BB4">
        <w:rPr>
          <w:rFonts w:cs="Times New Roman"/>
          <w:sz w:val="36"/>
          <w:lang w:val="es-ES_tradnl"/>
        </w:rPr>
        <w:lastRenderedPageBreak/>
        <w:t xml:space="preserve">Parte 2. El mercado de trabajo en </w:t>
      </w:r>
      <w:bookmarkEnd w:id="23"/>
      <w:bookmarkEnd w:id="24"/>
      <w:r>
        <w:rPr>
          <w:rFonts w:cs="Times New Roman"/>
          <w:sz w:val="36"/>
          <w:lang w:val="es-ES_tradnl"/>
        </w:rPr>
        <w:t>C</w:t>
      </w:r>
      <w:r w:rsidRPr="00061BB4">
        <w:rPr>
          <w:rFonts w:cs="Times New Roman"/>
          <w:sz w:val="36"/>
          <w:lang w:val="es-ES_tradnl"/>
        </w:rPr>
        <w:t>hina</w:t>
      </w:r>
      <w:bookmarkEnd w:id="25"/>
    </w:p>
    <w:p w:rsidR="005D75A6" w:rsidRPr="00CA0295" w:rsidRDefault="00841D4C" w:rsidP="00CA0295">
      <w:pPr>
        <w:pStyle w:val="Heading2"/>
        <w:rPr>
          <w:rFonts w:cs="Times New Roman"/>
          <w:lang w:val="es-ES_tradnl"/>
        </w:rPr>
      </w:pPr>
      <w:bookmarkStart w:id="26" w:name="_Toc424110944"/>
      <w:bookmarkStart w:id="27" w:name="_Toc424111224"/>
      <w:bookmarkStart w:id="28" w:name="_Toc471215302"/>
      <w:r w:rsidRPr="00881AB8">
        <w:rPr>
          <w:rFonts w:cs="Times New Roman"/>
          <w:lang w:val="es-ES_tradnl"/>
        </w:rPr>
        <w:t>2.1</w:t>
      </w:r>
      <w:r w:rsidR="007A5E02">
        <w:rPr>
          <w:rFonts w:cs="Times New Roman" w:hint="eastAsia"/>
          <w:lang w:val="es-ES_tradnl"/>
        </w:rPr>
        <w:t>.</w:t>
      </w:r>
      <w:r w:rsidRPr="00881AB8">
        <w:rPr>
          <w:rFonts w:cs="Times New Roman"/>
          <w:lang w:val="es-ES_tradnl"/>
        </w:rPr>
        <w:t xml:space="preserve"> </w:t>
      </w:r>
      <w:r w:rsidR="00150514" w:rsidRPr="00881AB8">
        <w:rPr>
          <w:rFonts w:cs="Times New Roman"/>
          <w:lang w:val="es-ES_tradnl"/>
        </w:rPr>
        <w:t xml:space="preserve">El entorno de mercado laboral </w:t>
      </w:r>
      <w:r w:rsidR="00B42A74">
        <w:rPr>
          <w:rFonts w:cs="Times New Roman"/>
          <w:lang w:val="es-ES_tradnl"/>
        </w:rPr>
        <w:t xml:space="preserve">en </w:t>
      </w:r>
      <w:r w:rsidR="00B42A74">
        <w:rPr>
          <w:rFonts w:cs="Times New Roman" w:hint="eastAsia"/>
          <w:lang w:val="es-ES_tradnl"/>
        </w:rPr>
        <w:t>C</w:t>
      </w:r>
      <w:r w:rsidRPr="00881AB8">
        <w:rPr>
          <w:rFonts w:cs="Times New Roman"/>
          <w:lang w:val="es-ES_tradnl"/>
        </w:rPr>
        <w:t>hina</w:t>
      </w:r>
      <w:bookmarkEnd w:id="26"/>
      <w:bookmarkEnd w:id="27"/>
      <w:bookmarkEnd w:id="28"/>
    </w:p>
    <w:p w:rsidR="00B956F5" w:rsidRPr="00881AB8" w:rsidRDefault="00841D4C" w:rsidP="000E3E33">
      <w:pPr>
        <w:pStyle w:val="a1"/>
      </w:pPr>
      <w:r w:rsidRPr="00881AB8">
        <w:t xml:space="preserve">Para </w:t>
      </w:r>
      <w:r w:rsidR="00CA0295">
        <w:t xml:space="preserve">realizar </w:t>
      </w:r>
      <w:r w:rsidR="00150514" w:rsidRPr="00881AB8">
        <w:t xml:space="preserve">el </w:t>
      </w:r>
      <w:r w:rsidRPr="00881AB8">
        <w:t xml:space="preserve">análisis </w:t>
      </w:r>
      <w:r w:rsidR="00150514" w:rsidRPr="00881AB8">
        <w:t>del mercado laboral de un</w:t>
      </w:r>
      <w:r w:rsidRPr="00881AB8">
        <w:t xml:space="preserve"> país</w:t>
      </w:r>
      <w:r w:rsidR="00272BB2" w:rsidRPr="00881AB8">
        <w:t xml:space="preserve">, </w:t>
      </w:r>
      <w:r w:rsidR="00CA0295">
        <w:t xml:space="preserve">en primer lugar es necesario </w:t>
      </w:r>
      <w:r w:rsidR="00272BB2" w:rsidRPr="00881AB8">
        <w:t xml:space="preserve"> conocer </w:t>
      </w:r>
      <w:r w:rsidR="00CA0295">
        <w:t>las principales características del entorno económico y sociocultural</w:t>
      </w:r>
      <w:r w:rsidR="00272BB2" w:rsidRPr="00881AB8">
        <w:t>.</w:t>
      </w:r>
      <w:r w:rsidR="005D75A6" w:rsidRPr="00881AB8">
        <w:t xml:space="preserve"> </w:t>
      </w:r>
      <w:r w:rsidR="00150514" w:rsidRPr="00881AB8">
        <w:t xml:space="preserve">La </w:t>
      </w:r>
      <w:r w:rsidRPr="00881AB8">
        <w:t>República Popular China (RPC)</w:t>
      </w:r>
      <w:r w:rsidR="00CA0295">
        <w:t xml:space="preserve"> fue fundada en el año 1949 por Mao </w:t>
      </w:r>
      <w:proofErr w:type="spellStart"/>
      <w:r w:rsidR="00CA0295">
        <w:t>Zedong</w:t>
      </w:r>
      <w:proofErr w:type="spellEnd"/>
      <w:r w:rsidR="00CA0295">
        <w:t xml:space="preserve"> sobre el modelo de la economía marxista planificada. Desde los años ochenta del siglo XX, se emprendieron medidas de modernización y liberalización de la economía que llevaron a un rápido desarrollo</w:t>
      </w:r>
      <w:r w:rsidR="00B12802">
        <w:t xml:space="preserve"> y a un modelo económico mixto</w:t>
      </w:r>
      <w:r w:rsidR="005D75A6" w:rsidRPr="00881AB8">
        <w:t xml:space="preserve">. </w:t>
      </w:r>
      <w:r w:rsidR="00CA0295">
        <w:t>Después de más de tres décadas, de crecimiento económico sostenido sobre la población más numerosa del mundo, China se ha colocada en el año 2011 en el segundo puesto de la economía global, en valor de PIB. Sin embargo, este desarrollo rápido se ha realizado con grandes brechas sociales y territoriales</w:t>
      </w:r>
      <w:r w:rsidR="00150514" w:rsidRPr="00881AB8">
        <w:t>. Por tanto</w:t>
      </w:r>
      <w:r w:rsidR="00CA0295">
        <w:t>,</w:t>
      </w:r>
      <w:r w:rsidR="005D75A6" w:rsidRPr="00881AB8">
        <w:t xml:space="preserve"> el mercado laboral de china es muy complicado</w:t>
      </w:r>
      <w:r w:rsidR="00150514" w:rsidRPr="00881AB8">
        <w:t xml:space="preserve"> de estudiar</w:t>
      </w:r>
      <w:r w:rsidR="00CA0295">
        <w:t xml:space="preserve"> debido a las características sociales y geográficas que dividen el país</w:t>
      </w:r>
      <w:r w:rsidR="00150514" w:rsidRPr="00881AB8">
        <w:t>.</w:t>
      </w:r>
      <w:r w:rsidR="00CA0295">
        <w:t xml:space="preserve"> Además, como señala </w:t>
      </w:r>
      <w:proofErr w:type="spellStart"/>
      <w:r w:rsidR="00CA0295">
        <w:t>Crabbe</w:t>
      </w:r>
      <w:proofErr w:type="spellEnd"/>
      <w:r w:rsidR="00CA0295">
        <w:t xml:space="preserve"> (2013)</w:t>
      </w:r>
      <w:r w:rsidR="00A423B0">
        <w:rPr>
          <w:rStyle w:val="FootnoteReference"/>
        </w:rPr>
        <w:footnoteReference w:id="18"/>
      </w:r>
      <w:r w:rsidR="00CA0295">
        <w:t>, las estadísticas disponibles en China presentan a veces problemas de rigor metodológico.</w:t>
      </w:r>
    </w:p>
    <w:p w:rsidR="00B425F2" w:rsidRDefault="005D75A6" w:rsidP="00881AB8">
      <w:pPr>
        <w:pStyle w:val="Heading3"/>
        <w:rPr>
          <w:rFonts w:cs="Times New Roman"/>
          <w:lang w:val="es-ES_tradnl"/>
        </w:rPr>
      </w:pPr>
      <w:bookmarkStart w:id="29" w:name="_Toc424110945"/>
      <w:bookmarkStart w:id="30" w:name="_Toc424111225"/>
      <w:bookmarkStart w:id="31" w:name="_Toc471215303"/>
      <w:r w:rsidRPr="00881AB8">
        <w:rPr>
          <w:rFonts w:cs="Times New Roman"/>
          <w:lang w:val="es-ES_tradnl"/>
        </w:rPr>
        <w:t>2.1.1 Población</w:t>
      </w:r>
      <w:bookmarkEnd w:id="29"/>
      <w:bookmarkEnd w:id="30"/>
      <w:r w:rsidR="00F10646">
        <w:rPr>
          <w:rFonts w:cs="Times New Roman"/>
          <w:lang w:val="es-ES_tradnl"/>
        </w:rPr>
        <w:t xml:space="preserve"> total y población flotante</w:t>
      </w:r>
      <w:bookmarkEnd w:id="31"/>
    </w:p>
    <w:p w:rsidR="00CA0295" w:rsidRDefault="00CA0295" w:rsidP="000E3E33">
      <w:pPr>
        <w:pStyle w:val="a1"/>
      </w:pPr>
      <w:r>
        <w:t xml:space="preserve">China es el país más poblado del mundo. El tamaño de la población se relaciona directamente con el tamaño del mercado laboral, razón por la cual este dato es muy relevante. </w:t>
      </w:r>
      <w:r w:rsidR="00FD0897">
        <w:t xml:space="preserve">La Figura 1 muestra la evolución de la población china a </w:t>
      </w:r>
      <w:r w:rsidR="00385D34">
        <w:t>lo largo</w:t>
      </w:r>
      <w:r w:rsidR="00FD0897">
        <w:t xml:space="preserve"> de la última década. </w:t>
      </w:r>
    </w:p>
    <w:tbl>
      <w:tblPr>
        <w:tblStyle w:val="TableGrid"/>
        <w:tblW w:w="0" w:type="auto"/>
        <w:tblLayout w:type="fixed"/>
        <w:tblLook w:val="04A0" w:firstRow="1" w:lastRow="0" w:firstColumn="1" w:lastColumn="0" w:noHBand="0" w:noVBand="1"/>
      </w:tblPr>
      <w:tblGrid>
        <w:gridCol w:w="1384"/>
        <w:gridCol w:w="722"/>
        <w:gridCol w:w="723"/>
        <w:gridCol w:w="723"/>
        <w:gridCol w:w="723"/>
        <w:gridCol w:w="723"/>
        <w:gridCol w:w="723"/>
        <w:gridCol w:w="723"/>
        <w:gridCol w:w="723"/>
        <w:gridCol w:w="723"/>
        <w:gridCol w:w="723"/>
      </w:tblGrid>
      <w:tr w:rsidR="00FF5364" w:rsidRPr="00FF5364" w:rsidTr="008B2AAF">
        <w:tc>
          <w:tcPr>
            <w:tcW w:w="1384" w:type="dxa"/>
            <w:vAlign w:val="center"/>
          </w:tcPr>
          <w:p w:rsidR="00FF5364" w:rsidRPr="00AD736B" w:rsidRDefault="00FF5364" w:rsidP="00FF5364">
            <w:pPr>
              <w:pStyle w:val="a1"/>
              <w:spacing w:after="0" w:line="240" w:lineRule="auto"/>
              <w:jc w:val="left"/>
              <w:rPr>
                <w:b/>
                <w:sz w:val="20"/>
              </w:rPr>
            </w:pPr>
            <w:r w:rsidRPr="00AD736B">
              <w:rPr>
                <w:b/>
                <w:sz w:val="20"/>
              </w:rPr>
              <w:t>Año</w:t>
            </w:r>
          </w:p>
        </w:tc>
        <w:tc>
          <w:tcPr>
            <w:tcW w:w="722" w:type="dxa"/>
            <w:vAlign w:val="center"/>
          </w:tcPr>
          <w:p w:rsidR="00FF5364" w:rsidRPr="00AD736B" w:rsidRDefault="00FF5364" w:rsidP="00FF5364">
            <w:pPr>
              <w:pStyle w:val="a1"/>
              <w:spacing w:after="0" w:line="240" w:lineRule="auto"/>
              <w:jc w:val="left"/>
              <w:rPr>
                <w:b/>
                <w:sz w:val="20"/>
              </w:rPr>
            </w:pPr>
            <w:r w:rsidRPr="00AD736B">
              <w:rPr>
                <w:b/>
                <w:sz w:val="20"/>
              </w:rPr>
              <w:t>2005</w:t>
            </w:r>
          </w:p>
        </w:tc>
        <w:tc>
          <w:tcPr>
            <w:tcW w:w="723" w:type="dxa"/>
            <w:vAlign w:val="center"/>
          </w:tcPr>
          <w:p w:rsidR="00FF5364" w:rsidRPr="00AD736B" w:rsidRDefault="00FF5364" w:rsidP="00FF5364">
            <w:pPr>
              <w:pStyle w:val="a1"/>
              <w:spacing w:after="0" w:line="240" w:lineRule="auto"/>
              <w:jc w:val="left"/>
              <w:rPr>
                <w:b/>
                <w:sz w:val="20"/>
              </w:rPr>
            </w:pPr>
            <w:r w:rsidRPr="00AD736B">
              <w:rPr>
                <w:b/>
                <w:sz w:val="20"/>
              </w:rPr>
              <w:t>2006</w:t>
            </w:r>
          </w:p>
        </w:tc>
        <w:tc>
          <w:tcPr>
            <w:tcW w:w="723" w:type="dxa"/>
            <w:vAlign w:val="center"/>
          </w:tcPr>
          <w:p w:rsidR="00FF5364" w:rsidRPr="00AD736B" w:rsidRDefault="00FF5364" w:rsidP="00FF5364">
            <w:pPr>
              <w:pStyle w:val="a1"/>
              <w:spacing w:after="0" w:line="240" w:lineRule="auto"/>
              <w:jc w:val="left"/>
              <w:rPr>
                <w:b/>
                <w:sz w:val="20"/>
              </w:rPr>
            </w:pPr>
            <w:r w:rsidRPr="00AD736B">
              <w:rPr>
                <w:b/>
                <w:sz w:val="20"/>
              </w:rPr>
              <w:t>2007</w:t>
            </w:r>
          </w:p>
        </w:tc>
        <w:tc>
          <w:tcPr>
            <w:tcW w:w="723" w:type="dxa"/>
            <w:vAlign w:val="center"/>
          </w:tcPr>
          <w:p w:rsidR="00FF5364" w:rsidRPr="00AD736B" w:rsidRDefault="00FF5364" w:rsidP="00FF5364">
            <w:pPr>
              <w:pStyle w:val="a1"/>
              <w:spacing w:after="0" w:line="240" w:lineRule="auto"/>
              <w:jc w:val="left"/>
              <w:rPr>
                <w:b/>
                <w:sz w:val="20"/>
              </w:rPr>
            </w:pPr>
            <w:r w:rsidRPr="00AD736B">
              <w:rPr>
                <w:b/>
                <w:sz w:val="20"/>
              </w:rPr>
              <w:t>2008</w:t>
            </w:r>
          </w:p>
        </w:tc>
        <w:tc>
          <w:tcPr>
            <w:tcW w:w="723" w:type="dxa"/>
            <w:vAlign w:val="center"/>
          </w:tcPr>
          <w:p w:rsidR="00FF5364" w:rsidRPr="00AD736B" w:rsidRDefault="00FF5364" w:rsidP="00FF5364">
            <w:pPr>
              <w:pStyle w:val="a1"/>
              <w:spacing w:after="0" w:line="240" w:lineRule="auto"/>
              <w:jc w:val="left"/>
              <w:rPr>
                <w:b/>
                <w:sz w:val="20"/>
              </w:rPr>
            </w:pPr>
            <w:r w:rsidRPr="00AD736B">
              <w:rPr>
                <w:b/>
                <w:sz w:val="20"/>
              </w:rPr>
              <w:t>2009</w:t>
            </w:r>
          </w:p>
        </w:tc>
        <w:tc>
          <w:tcPr>
            <w:tcW w:w="723" w:type="dxa"/>
            <w:vAlign w:val="center"/>
          </w:tcPr>
          <w:p w:rsidR="00FF5364" w:rsidRPr="00AD736B" w:rsidRDefault="00FF5364" w:rsidP="00FF5364">
            <w:pPr>
              <w:pStyle w:val="a1"/>
              <w:spacing w:after="0" w:line="240" w:lineRule="auto"/>
              <w:jc w:val="left"/>
              <w:rPr>
                <w:b/>
                <w:sz w:val="20"/>
              </w:rPr>
            </w:pPr>
            <w:r w:rsidRPr="00AD736B">
              <w:rPr>
                <w:b/>
                <w:sz w:val="20"/>
              </w:rPr>
              <w:t>2010</w:t>
            </w:r>
          </w:p>
        </w:tc>
        <w:tc>
          <w:tcPr>
            <w:tcW w:w="723" w:type="dxa"/>
            <w:vAlign w:val="center"/>
          </w:tcPr>
          <w:p w:rsidR="00FF5364" w:rsidRPr="00AD736B" w:rsidRDefault="00FF5364" w:rsidP="00FF5364">
            <w:pPr>
              <w:pStyle w:val="a1"/>
              <w:spacing w:after="0" w:line="240" w:lineRule="auto"/>
              <w:jc w:val="left"/>
              <w:rPr>
                <w:b/>
                <w:sz w:val="20"/>
              </w:rPr>
            </w:pPr>
            <w:r w:rsidRPr="00AD736B">
              <w:rPr>
                <w:b/>
                <w:sz w:val="20"/>
              </w:rPr>
              <w:t>2011</w:t>
            </w:r>
          </w:p>
        </w:tc>
        <w:tc>
          <w:tcPr>
            <w:tcW w:w="723" w:type="dxa"/>
            <w:vAlign w:val="center"/>
          </w:tcPr>
          <w:p w:rsidR="00FF5364" w:rsidRPr="00AD736B" w:rsidRDefault="00FF5364" w:rsidP="00FF5364">
            <w:pPr>
              <w:pStyle w:val="a1"/>
              <w:spacing w:after="0" w:line="240" w:lineRule="auto"/>
              <w:jc w:val="left"/>
              <w:rPr>
                <w:b/>
                <w:sz w:val="20"/>
              </w:rPr>
            </w:pPr>
            <w:r w:rsidRPr="00AD736B">
              <w:rPr>
                <w:b/>
                <w:sz w:val="20"/>
              </w:rPr>
              <w:t>2012</w:t>
            </w:r>
          </w:p>
        </w:tc>
        <w:tc>
          <w:tcPr>
            <w:tcW w:w="723" w:type="dxa"/>
            <w:vAlign w:val="center"/>
          </w:tcPr>
          <w:p w:rsidR="00FF5364" w:rsidRPr="00AD736B" w:rsidRDefault="00FF5364" w:rsidP="00FF5364">
            <w:pPr>
              <w:pStyle w:val="a1"/>
              <w:spacing w:after="0" w:line="240" w:lineRule="auto"/>
              <w:jc w:val="left"/>
              <w:rPr>
                <w:b/>
                <w:sz w:val="20"/>
              </w:rPr>
            </w:pPr>
            <w:r w:rsidRPr="00AD736B">
              <w:rPr>
                <w:b/>
                <w:sz w:val="20"/>
              </w:rPr>
              <w:t>2013</w:t>
            </w:r>
          </w:p>
        </w:tc>
        <w:tc>
          <w:tcPr>
            <w:tcW w:w="723" w:type="dxa"/>
          </w:tcPr>
          <w:p w:rsidR="00FF5364" w:rsidRPr="00AD736B" w:rsidRDefault="00FF5364" w:rsidP="00FF5364">
            <w:pPr>
              <w:pStyle w:val="a1"/>
              <w:spacing w:after="0" w:line="240" w:lineRule="auto"/>
              <w:jc w:val="left"/>
              <w:rPr>
                <w:b/>
                <w:sz w:val="20"/>
              </w:rPr>
            </w:pPr>
            <w:r w:rsidRPr="00AD736B">
              <w:rPr>
                <w:b/>
                <w:sz w:val="20"/>
              </w:rPr>
              <w:t>2014</w:t>
            </w:r>
          </w:p>
        </w:tc>
      </w:tr>
      <w:tr w:rsidR="00FF5364" w:rsidRPr="00FF5364" w:rsidTr="008B2AAF">
        <w:tc>
          <w:tcPr>
            <w:tcW w:w="1384" w:type="dxa"/>
            <w:vAlign w:val="center"/>
          </w:tcPr>
          <w:p w:rsidR="00FF5364" w:rsidRPr="00AD736B" w:rsidRDefault="00FF5364" w:rsidP="00FF5364">
            <w:pPr>
              <w:pStyle w:val="a1"/>
              <w:spacing w:after="0" w:line="240" w:lineRule="auto"/>
              <w:jc w:val="left"/>
              <w:rPr>
                <w:sz w:val="20"/>
              </w:rPr>
            </w:pPr>
            <w:r w:rsidRPr="00AD736B">
              <w:rPr>
                <w:sz w:val="20"/>
              </w:rPr>
              <w:t xml:space="preserve">Población total </w:t>
            </w:r>
            <w:r w:rsidR="00AD736B">
              <w:rPr>
                <w:sz w:val="20"/>
              </w:rPr>
              <w:t xml:space="preserve"> </w:t>
            </w:r>
            <w:r w:rsidRPr="00AD736B">
              <w:rPr>
                <w:sz w:val="20"/>
              </w:rPr>
              <w:t>(miles de personas)</w:t>
            </w:r>
          </w:p>
        </w:tc>
        <w:tc>
          <w:tcPr>
            <w:tcW w:w="722" w:type="dxa"/>
            <w:vAlign w:val="center"/>
          </w:tcPr>
          <w:p w:rsidR="00FF5364" w:rsidRPr="00AD736B" w:rsidRDefault="00FF5364" w:rsidP="00FF5364">
            <w:pPr>
              <w:pStyle w:val="a1"/>
              <w:spacing w:after="0" w:line="240" w:lineRule="auto"/>
              <w:jc w:val="left"/>
              <w:rPr>
                <w:sz w:val="20"/>
              </w:rPr>
            </w:pPr>
            <w:r w:rsidRPr="00AD736B">
              <w:rPr>
                <w:sz w:val="20"/>
              </w:rPr>
              <w:t>1.307.560</w:t>
            </w:r>
          </w:p>
        </w:tc>
        <w:tc>
          <w:tcPr>
            <w:tcW w:w="723" w:type="dxa"/>
            <w:vAlign w:val="center"/>
          </w:tcPr>
          <w:p w:rsidR="00FF5364" w:rsidRPr="00AD736B" w:rsidRDefault="00FF5364" w:rsidP="00FF5364">
            <w:pPr>
              <w:pStyle w:val="a1"/>
              <w:spacing w:after="0" w:line="240" w:lineRule="auto"/>
              <w:jc w:val="left"/>
              <w:rPr>
                <w:sz w:val="20"/>
              </w:rPr>
            </w:pPr>
            <w:r w:rsidRPr="00AD736B">
              <w:rPr>
                <w:sz w:val="20"/>
              </w:rPr>
              <w:t>1.314.480</w:t>
            </w:r>
          </w:p>
        </w:tc>
        <w:tc>
          <w:tcPr>
            <w:tcW w:w="723" w:type="dxa"/>
            <w:vAlign w:val="center"/>
          </w:tcPr>
          <w:p w:rsidR="00FF5364" w:rsidRPr="00AD736B" w:rsidRDefault="00FF5364" w:rsidP="00FF5364">
            <w:pPr>
              <w:pStyle w:val="a1"/>
              <w:spacing w:after="0" w:line="240" w:lineRule="auto"/>
              <w:jc w:val="left"/>
              <w:rPr>
                <w:sz w:val="20"/>
              </w:rPr>
            </w:pPr>
            <w:r w:rsidRPr="00AD736B">
              <w:rPr>
                <w:sz w:val="20"/>
              </w:rPr>
              <w:t>1.321.290</w:t>
            </w:r>
          </w:p>
        </w:tc>
        <w:tc>
          <w:tcPr>
            <w:tcW w:w="723" w:type="dxa"/>
            <w:vAlign w:val="center"/>
          </w:tcPr>
          <w:p w:rsidR="00FF5364" w:rsidRPr="00AD736B" w:rsidRDefault="00FF5364" w:rsidP="00FF5364">
            <w:pPr>
              <w:pStyle w:val="a1"/>
              <w:spacing w:after="0" w:line="240" w:lineRule="auto"/>
              <w:jc w:val="left"/>
              <w:rPr>
                <w:sz w:val="20"/>
              </w:rPr>
            </w:pPr>
            <w:r w:rsidRPr="00AD736B">
              <w:rPr>
                <w:sz w:val="20"/>
              </w:rPr>
              <w:t>1.328.020</w:t>
            </w:r>
          </w:p>
        </w:tc>
        <w:tc>
          <w:tcPr>
            <w:tcW w:w="723" w:type="dxa"/>
            <w:vAlign w:val="center"/>
          </w:tcPr>
          <w:p w:rsidR="00FF5364" w:rsidRPr="00AD736B" w:rsidRDefault="00FF5364" w:rsidP="00FF5364">
            <w:pPr>
              <w:pStyle w:val="a1"/>
              <w:spacing w:after="0" w:line="240" w:lineRule="auto"/>
              <w:jc w:val="left"/>
              <w:rPr>
                <w:sz w:val="20"/>
              </w:rPr>
            </w:pPr>
            <w:r w:rsidRPr="00AD736B">
              <w:rPr>
                <w:sz w:val="20"/>
              </w:rPr>
              <w:t>1.334.500</w:t>
            </w:r>
          </w:p>
        </w:tc>
        <w:tc>
          <w:tcPr>
            <w:tcW w:w="723" w:type="dxa"/>
            <w:vAlign w:val="center"/>
          </w:tcPr>
          <w:p w:rsidR="00FF5364" w:rsidRPr="00AD736B" w:rsidRDefault="00FF5364" w:rsidP="00FF5364">
            <w:pPr>
              <w:pStyle w:val="a1"/>
              <w:spacing w:after="0" w:line="240" w:lineRule="auto"/>
              <w:jc w:val="left"/>
              <w:rPr>
                <w:sz w:val="20"/>
              </w:rPr>
            </w:pPr>
            <w:r w:rsidRPr="00AD736B">
              <w:rPr>
                <w:sz w:val="20"/>
              </w:rPr>
              <w:t>1.340.910</w:t>
            </w:r>
          </w:p>
        </w:tc>
        <w:tc>
          <w:tcPr>
            <w:tcW w:w="723" w:type="dxa"/>
            <w:vAlign w:val="center"/>
          </w:tcPr>
          <w:p w:rsidR="00FF5364" w:rsidRPr="00AD736B" w:rsidRDefault="00FF5364" w:rsidP="00FF5364">
            <w:pPr>
              <w:pStyle w:val="a1"/>
              <w:spacing w:after="0" w:line="240" w:lineRule="auto"/>
              <w:jc w:val="left"/>
              <w:rPr>
                <w:sz w:val="20"/>
              </w:rPr>
            </w:pPr>
            <w:r w:rsidRPr="00AD736B">
              <w:rPr>
                <w:sz w:val="20"/>
              </w:rPr>
              <w:t>1.347.350</w:t>
            </w:r>
          </w:p>
        </w:tc>
        <w:tc>
          <w:tcPr>
            <w:tcW w:w="723" w:type="dxa"/>
            <w:vAlign w:val="center"/>
          </w:tcPr>
          <w:p w:rsidR="00FF5364" w:rsidRPr="00AD736B" w:rsidRDefault="00FF5364" w:rsidP="00FF5364">
            <w:pPr>
              <w:pStyle w:val="a1"/>
              <w:spacing w:after="0" w:line="240" w:lineRule="auto"/>
              <w:jc w:val="left"/>
              <w:rPr>
                <w:sz w:val="20"/>
              </w:rPr>
            </w:pPr>
            <w:r w:rsidRPr="00AD736B">
              <w:rPr>
                <w:sz w:val="20"/>
              </w:rPr>
              <w:t>1.354.040</w:t>
            </w:r>
          </w:p>
        </w:tc>
        <w:tc>
          <w:tcPr>
            <w:tcW w:w="723" w:type="dxa"/>
            <w:vAlign w:val="center"/>
          </w:tcPr>
          <w:p w:rsidR="00FF5364" w:rsidRPr="00AD736B" w:rsidRDefault="00FF5364" w:rsidP="00FF5364">
            <w:pPr>
              <w:pStyle w:val="a1"/>
              <w:spacing w:after="0" w:line="240" w:lineRule="auto"/>
              <w:jc w:val="left"/>
              <w:rPr>
                <w:sz w:val="20"/>
              </w:rPr>
            </w:pPr>
            <w:r w:rsidRPr="00AD736B">
              <w:rPr>
                <w:sz w:val="20"/>
              </w:rPr>
              <w:t>1.360.720</w:t>
            </w:r>
          </w:p>
        </w:tc>
        <w:tc>
          <w:tcPr>
            <w:tcW w:w="723" w:type="dxa"/>
            <w:vAlign w:val="center"/>
          </w:tcPr>
          <w:p w:rsidR="00FF5364" w:rsidRPr="00AD736B" w:rsidRDefault="00FF5364" w:rsidP="00FF5364">
            <w:pPr>
              <w:pStyle w:val="a1"/>
              <w:spacing w:after="0" w:line="240" w:lineRule="auto"/>
              <w:jc w:val="left"/>
              <w:rPr>
                <w:sz w:val="20"/>
              </w:rPr>
            </w:pPr>
            <w:r w:rsidRPr="00AD736B">
              <w:rPr>
                <w:sz w:val="20"/>
              </w:rPr>
              <w:t>1.367.820</w:t>
            </w:r>
          </w:p>
        </w:tc>
      </w:tr>
    </w:tbl>
    <w:p w:rsidR="00FF5364" w:rsidRDefault="00FF5364" w:rsidP="000E3E33">
      <w:pPr>
        <w:pStyle w:val="a1"/>
      </w:pPr>
    </w:p>
    <w:p w:rsidR="00FD0897" w:rsidRPr="00FD0897" w:rsidRDefault="00FD0897" w:rsidP="00FD0897">
      <w:pPr>
        <w:pStyle w:val="a3"/>
      </w:pPr>
      <w:r w:rsidRPr="00FD0897">
        <w:lastRenderedPageBreak/>
        <w:t>Figura 1: Población total en China 2005-2014 (mil</w:t>
      </w:r>
      <w:r w:rsidR="003521F0">
        <w:t>es de personas</w:t>
      </w:r>
      <w:r w:rsidRPr="00FD0897">
        <w:t>)</w:t>
      </w:r>
    </w:p>
    <w:p w:rsidR="00B425F2" w:rsidRPr="00881AB8" w:rsidRDefault="00221F87" w:rsidP="005D1942">
      <w:pPr>
        <w:pStyle w:val="a5"/>
      </w:pPr>
      <w:r w:rsidRPr="00881AB8">
        <w:rPr>
          <w:noProof/>
          <w:lang w:val="es-ES" w:eastAsia="es-ES"/>
        </w:rPr>
        <w:drawing>
          <wp:inline distT="0" distB="0" distL="0" distR="0" wp14:anchorId="27C8F564" wp14:editId="637AD478">
            <wp:extent cx="5334000" cy="2905125"/>
            <wp:effectExtent l="0" t="0" r="19050" b="9525"/>
            <wp:docPr id="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F5621" w:rsidRPr="00881AB8" w:rsidRDefault="009122C1" w:rsidP="000E3E33">
      <w:pPr>
        <w:pStyle w:val="a6"/>
      </w:pPr>
      <w:r w:rsidRPr="005D1942">
        <w:t>Fuente:</w:t>
      </w:r>
      <w:r w:rsidR="00FD0897" w:rsidRPr="005D1942">
        <w:t xml:space="preserve"> Elaboración propia a partir de los datos </w:t>
      </w:r>
      <w:r w:rsidR="003521F0">
        <w:t xml:space="preserve">de </w:t>
      </w:r>
      <w:proofErr w:type="spellStart"/>
      <w:r w:rsidR="003521F0" w:rsidRPr="003521F0">
        <w:t>National</w:t>
      </w:r>
      <w:proofErr w:type="spellEnd"/>
      <w:r w:rsidR="003521F0" w:rsidRPr="003521F0">
        <w:t xml:space="preserve"> Burea</w:t>
      </w:r>
      <w:r w:rsidR="003521F0">
        <w:t xml:space="preserve">u of </w:t>
      </w:r>
      <w:proofErr w:type="spellStart"/>
      <w:r w:rsidR="003521F0">
        <w:t>Statistics</w:t>
      </w:r>
      <w:proofErr w:type="spellEnd"/>
      <w:r w:rsidR="003521F0">
        <w:t xml:space="preserve"> of China (2015).</w:t>
      </w:r>
    </w:p>
    <w:p w:rsidR="00B425F2" w:rsidRPr="00881AB8" w:rsidRDefault="00CD0722" w:rsidP="00E9441B">
      <w:pPr>
        <w:pStyle w:val="a0"/>
      </w:pPr>
      <w:r w:rsidRPr="00881AB8">
        <w:t>La población total de China</w:t>
      </w:r>
      <w:r w:rsidR="00465C23" w:rsidRPr="00881AB8">
        <w:t xml:space="preserve"> </w:t>
      </w:r>
      <w:r w:rsidR="000E3E33">
        <w:t xml:space="preserve">pasó de 1.307 millones de personas en el año 2005 </w:t>
      </w:r>
      <w:r w:rsidR="00221F87" w:rsidRPr="00881AB8">
        <w:t>a 1</w:t>
      </w:r>
      <w:r w:rsidR="00465C23" w:rsidRPr="00881AB8">
        <w:t>.</w:t>
      </w:r>
      <w:r w:rsidR="00221F87" w:rsidRPr="00881AB8">
        <w:t>354</w:t>
      </w:r>
      <w:r w:rsidR="000E3E33">
        <w:t xml:space="preserve"> millones en el año 2014</w:t>
      </w:r>
      <w:r w:rsidR="00275EE5">
        <w:t xml:space="preserve"> según el censo oficial</w:t>
      </w:r>
      <w:r w:rsidR="000E3E33">
        <w:t xml:space="preserve">. En el espacio de un año, entre </w:t>
      </w:r>
      <w:r w:rsidR="00221F87" w:rsidRPr="00881AB8">
        <w:t xml:space="preserve">2013 </w:t>
      </w:r>
      <w:r w:rsidR="000E3E33">
        <w:t>y</w:t>
      </w:r>
      <w:r w:rsidR="00465C23" w:rsidRPr="00881AB8">
        <w:t xml:space="preserve"> </w:t>
      </w:r>
      <w:r w:rsidR="00221F87" w:rsidRPr="00881AB8">
        <w:t>2014</w:t>
      </w:r>
      <w:r w:rsidR="000E3E33">
        <w:t>, la población total se</w:t>
      </w:r>
      <w:r w:rsidR="00465C23" w:rsidRPr="00881AB8">
        <w:t xml:space="preserve"> incrementó </w:t>
      </w:r>
      <w:r w:rsidR="000E3E33">
        <w:t>en 7,1 millones de personas</w:t>
      </w:r>
      <w:r w:rsidR="00465C23" w:rsidRPr="00881AB8">
        <w:t>.</w:t>
      </w:r>
      <w:r w:rsidR="006F6A89" w:rsidRPr="00881AB8">
        <w:t xml:space="preserve"> </w:t>
      </w:r>
      <w:r w:rsidR="000E3E33">
        <w:t xml:space="preserve">La fuerza demográfica del país es un factor fundamental que configura el mercado laboral. </w:t>
      </w:r>
      <w:r w:rsidR="001444F4">
        <w:t>Conviene señalar que este crecimiento de la población china no está provocado por el aumento de los nacimientos sino por el aumento de la esperanza de vida, gracias a las mejoras de las condiciones económicas y sanitarias. De hech</w:t>
      </w:r>
      <w:r w:rsidR="00275EE5">
        <w:t xml:space="preserve">o, la tasa media de fecundidad se sitúa </w:t>
      </w:r>
      <w:r w:rsidR="001444F4">
        <w:t xml:space="preserve">en 1,4 hijos por mujer, muy por debajo del mínimo 2,1 para asegurar el reemplazo generacional. Esto significa que la población china está en un proceso de </w:t>
      </w:r>
      <w:r w:rsidR="001444F4" w:rsidRPr="00E9441B">
        <w:t>envejecimiento</w:t>
      </w:r>
      <w:r w:rsidR="001444F4">
        <w:t xml:space="preserve"> rápido, con el aumento de la proporción de personas jubiladas que han salido del mercado laboral.</w:t>
      </w:r>
      <w:r w:rsidR="00275EE5">
        <w:t xml:space="preserve"> Por otra parte, como señala </w:t>
      </w:r>
      <w:proofErr w:type="spellStart"/>
      <w:r w:rsidR="00275EE5">
        <w:t>Crabbe</w:t>
      </w:r>
      <w:proofErr w:type="spellEnd"/>
      <w:r w:rsidR="00275EE5">
        <w:t xml:space="preserve"> (2014)</w:t>
      </w:r>
      <w:r w:rsidR="00275EE5">
        <w:rPr>
          <w:rStyle w:val="FootnoteReference"/>
        </w:rPr>
        <w:footnoteReference w:id="19"/>
      </w:r>
      <w:r w:rsidR="00275EE5">
        <w:t xml:space="preserve">, existe una parte de la población china no registrada y que no entra en los censos oficiales, debido a la política del hijo único. Para evitar las sanciones por infringir esta ley, muchas familias, especialmente rurales, no declaran el nacimiento de </w:t>
      </w:r>
      <w:r w:rsidR="00844775">
        <w:t>su prole después del primer parto</w:t>
      </w:r>
      <w:r w:rsidR="00275EE5">
        <w:t>.</w:t>
      </w:r>
    </w:p>
    <w:p w:rsidR="003F18E9" w:rsidRPr="00CA0295" w:rsidRDefault="00844775" w:rsidP="00E9441B">
      <w:pPr>
        <w:pStyle w:val="a1"/>
        <w:rPr>
          <w:shd w:val="clear" w:color="auto" w:fill="FFFFFF"/>
        </w:rPr>
      </w:pPr>
      <w:r>
        <w:rPr>
          <w:shd w:val="clear" w:color="auto" w:fill="FFFFFF"/>
        </w:rPr>
        <w:lastRenderedPageBreak/>
        <w:t>En la actualidad,</w:t>
      </w:r>
      <w:r w:rsidR="00465C23" w:rsidRPr="00881AB8">
        <w:rPr>
          <w:shd w:val="clear" w:color="auto" w:fill="FFFFFF"/>
        </w:rPr>
        <w:t xml:space="preserve"> el incremento </w:t>
      </w:r>
      <w:r>
        <w:rPr>
          <w:shd w:val="clear" w:color="auto" w:fill="FFFFFF"/>
        </w:rPr>
        <w:t xml:space="preserve">anual </w:t>
      </w:r>
      <w:r w:rsidR="00465C23" w:rsidRPr="00881AB8">
        <w:rPr>
          <w:shd w:val="clear" w:color="auto" w:fill="FFFFFF"/>
        </w:rPr>
        <w:t xml:space="preserve">de la población del mundo es </w:t>
      </w:r>
      <w:r w:rsidR="00227FE7">
        <w:rPr>
          <w:rFonts w:hint="eastAsia"/>
          <w:shd w:val="clear" w:color="auto" w:fill="FFFFFF"/>
        </w:rPr>
        <w:t xml:space="preserve">de </w:t>
      </w:r>
      <w:r w:rsidR="00465C23" w:rsidRPr="00881AB8">
        <w:rPr>
          <w:shd w:val="clear" w:color="auto" w:fill="FFFFFF"/>
        </w:rPr>
        <w:t>93</w:t>
      </w:r>
      <w:r w:rsidR="007345E0" w:rsidRPr="00881AB8">
        <w:rPr>
          <w:shd w:val="clear" w:color="auto" w:fill="FFFFFF"/>
        </w:rPr>
        <w:t xml:space="preserve"> millones (un incremento del 1,7%). Lo que más vale la pena señalar es </w:t>
      </w:r>
      <w:r w:rsidR="000E3E33">
        <w:rPr>
          <w:shd w:val="clear" w:color="auto" w:fill="FFFFFF"/>
        </w:rPr>
        <w:t>que</w:t>
      </w:r>
      <w:r w:rsidR="007345E0" w:rsidRPr="00881AB8">
        <w:rPr>
          <w:shd w:val="clear" w:color="auto" w:fill="FFFFFF"/>
        </w:rPr>
        <w:t xml:space="preserve"> el porcentaje del incremento de la población de los países desarrollados no alcanza </w:t>
      </w:r>
      <w:r w:rsidR="000E3E33">
        <w:rPr>
          <w:shd w:val="clear" w:color="auto" w:fill="FFFFFF"/>
        </w:rPr>
        <w:t>el</w:t>
      </w:r>
      <w:r w:rsidR="007345E0" w:rsidRPr="00881AB8">
        <w:rPr>
          <w:shd w:val="clear" w:color="auto" w:fill="FFFFFF"/>
        </w:rPr>
        <w:t xml:space="preserve"> 0,5%</w:t>
      </w:r>
      <w:r w:rsidR="000E3E33">
        <w:rPr>
          <w:shd w:val="clear" w:color="auto" w:fill="FFFFFF"/>
        </w:rPr>
        <w:t xml:space="preserve">, incluso en algunos países como España es negativo, lo que, en este caso, conduce a una reducción de la población. En cambio, </w:t>
      </w:r>
      <w:r w:rsidR="007345E0" w:rsidRPr="00881AB8">
        <w:rPr>
          <w:shd w:val="clear" w:color="auto" w:fill="FFFFFF"/>
        </w:rPr>
        <w:t xml:space="preserve">en los países en desarrollo su incremento es </w:t>
      </w:r>
      <w:r w:rsidR="000E3E33">
        <w:rPr>
          <w:shd w:val="clear" w:color="auto" w:fill="FFFFFF"/>
        </w:rPr>
        <w:t xml:space="preserve">mucho más alto, del orden </w:t>
      </w:r>
      <w:r w:rsidR="007345E0" w:rsidRPr="00881AB8">
        <w:rPr>
          <w:shd w:val="clear" w:color="auto" w:fill="FFFFFF"/>
        </w:rPr>
        <w:t xml:space="preserve">2,1%. </w:t>
      </w:r>
      <w:r w:rsidR="000E3E33">
        <w:rPr>
          <w:shd w:val="clear" w:color="auto" w:fill="FFFFFF"/>
        </w:rPr>
        <w:t>El incrementó de l</w:t>
      </w:r>
      <w:r>
        <w:rPr>
          <w:shd w:val="clear" w:color="auto" w:fill="FFFFFF"/>
        </w:rPr>
        <w:t>a población en China lleva a un</w:t>
      </w:r>
      <w:r w:rsidR="000E3E33">
        <w:rPr>
          <w:shd w:val="clear" w:color="auto" w:fill="FFFFFF"/>
        </w:rPr>
        <w:t xml:space="preserve"> mercado del trabajo con una fuerte demanda, demanda que se satisface gracias al crecimiento sostenido del país. </w:t>
      </w:r>
    </w:p>
    <w:p w:rsidR="00D13FF2" w:rsidRPr="00CF3E79" w:rsidRDefault="000E3E33" w:rsidP="00CF3E79">
      <w:pPr>
        <w:pStyle w:val="a0"/>
        <w:rPr>
          <w:shd w:val="clear" w:color="auto" w:fill="FFFFFF"/>
        </w:rPr>
      </w:pPr>
      <w:r>
        <w:rPr>
          <w:shd w:val="clear" w:color="auto" w:fill="FFFFFF"/>
        </w:rPr>
        <w:t>Por otra parte, conviene señalar que China no es un país homogéneo en términos de desarrollo</w:t>
      </w:r>
      <w:r w:rsidR="00B40ADE">
        <w:rPr>
          <w:shd w:val="clear" w:color="auto" w:fill="FFFFFF"/>
        </w:rPr>
        <w:t xml:space="preserve"> social y económico y presenta diferencias geográficas muy importantes. Una gran proporción de la población se concentra en la zona Este del país, caracterizada por grandes núcleos urbanos con un intenso desarrollo económico. </w:t>
      </w:r>
      <w:r w:rsidR="003F18E9" w:rsidRPr="00881AB8">
        <w:rPr>
          <w:shd w:val="clear" w:color="auto" w:fill="FFFFFF"/>
        </w:rPr>
        <w:t xml:space="preserve"> </w:t>
      </w:r>
      <w:r w:rsidR="00B40ADE">
        <w:rPr>
          <w:shd w:val="clear" w:color="auto" w:fill="FFFFFF"/>
        </w:rPr>
        <w:t>En cambio, la zona Oeste se caracteriza por extensas zonas poco habitadas y que arrastran un retraso en el desarrollo económico. Como señala Fan (2008)</w:t>
      </w:r>
      <w:r w:rsidR="00844775">
        <w:rPr>
          <w:rStyle w:val="FootnoteReference"/>
          <w:shd w:val="clear" w:color="auto" w:fill="FFFFFF"/>
        </w:rPr>
        <w:footnoteReference w:id="20"/>
      </w:r>
      <w:r w:rsidR="00B40ADE">
        <w:rPr>
          <w:shd w:val="clear" w:color="auto" w:fill="FFFFFF"/>
        </w:rPr>
        <w:t xml:space="preserve"> este desequilibrio se ha agravado por lo </w:t>
      </w:r>
      <w:r w:rsidR="00380211">
        <w:rPr>
          <w:shd w:val="clear" w:color="auto" w:fill="FFFFFF"/>
        </w:rPr>
        <w:t>que es</w:t>
      </w:r>
      <w:r w:rsidR="00B40ADE">
        <w:rPr>
          <w:shd w:val="clear" w:color="auto" w:fill="FFFFFF"/>
        </w:rPr>
        <w:t xml:space="preserve"> la mayor migración de todos los tiempos: 250 millones de campesinos, muchos ellos procedentes d</w:t>
      </w:r>
      <w:r w:rsidR="00380211">
        <w:rPr>
          <w:shd w:val="clear" w:color="auto" w:fill="FFFFFF"/>
        </w:rPr>
        <w:t>e</w:t>
      </w:r>
      <w:r w:rsidR="00B40ADE">
        <w:rPr>
          <w:shd w:val="clear" w:color="auto" w:fill="FFFFFF"/>
        </w:rPr>
        <w:t xml:space="preserve"> las zonas Oeste del país, han migrado hacia las grandes urbes de la zona Este, aportando una abundante mano de obra barata, sin cobertura social por falta </w:t>
      </w:r>
      <w:r w:rsidR="00CD2197">
        <w:rPr>
          <w:shd w:val="clear" w:color="auto" w:fill="FFFFFF"/>
        </w:rPr>
        <w:t>de papeles de residencia (</w:t>
      </w:r>
      <w:proofErr w:type="spellStart"/>
      <w:r w:rsidR="00CD2197" w:rsidRPr="00CD2197">
        <w:rPr>
          <w:i/>
          <w:shd w:val="clear" w:color="auto" w:fill="FFFFFF"/>
        </w:rPr>
        <w:t>hukou</w:t>
      </w:r>
      <w:proofErr w:type="spellEnd"/>
      <w:r w:rsidR="00CD2197">
        <w:rPr>
          <w:shd w:val="clear" w:color="auto" w:fill="FFFFFF"/>
        </w:rPr>
        <w:t>)</w:t>
      </w:r>
      <w:r w:rsidR="00B40ADE">
        <w:rPr>
          <w:shd w:val="clear" w:color="auto" w:fill="FFFFFF"/>
        </w:rPr>
        <w:t xml:space="preserve">, y dispuesta a trabajar por salarios bajos. Este factor social ha permitido a las empresas chinas reducir los costes salariales y mantenerse muy competitivos en mercado internacional desde hace más de dos décadas. </w:t>
      </w:r>
      <w:r w:rsidR="004331BB">
        <w:rPr>
          <w:shd w:val="clear" w:color="auto" w:fill="FFFFFF"/>
        </w:rPr>
        <w:t>Además, como señala Chan (2013)</w:t>
      </w:r>
      <w:r w:rsidR="00380211">
        <w:rPr>
          <w:rStyle w:val="FootnoteReference"/>
          <w:shd w:val="clear" w:color="auto" w:fill="FFFFFF"/>
        </w:rPr>
        <w:footnoteReference w:id="21"/>
      </w:r>
      <w:r w:rsidR="004331BB">
        <w:rPr>
          <w:shd w:val="clear" w:color="auto" w:fill="FFFFFF"/>
        </w:rPr>
        <w:t xml:space="preserve">, la existencia de una población flotante estimada en 250 millones </w:t>
      </w:r>
      <w:r w:rsidR="00380211">
        <w:rPr>
          <w:shd w:val="clear" w:color="auto" w:fill="FFFFFF"/>
        </w:rPr>
        <w:t xml:space="preserve">de </w:t>
      </w:r>
      <w:r w:rsidR="004331BB">
        <w:rPr>
          <w:shd w:val="clear" w:color="auto" w:fill="FFFFFF"/>
        </w:rPr>
        <w:t>personas sin registrar constituye un fac</w:t>
      </w:r>
      <w:r w:rsidR="00800C84">
        <w:rPr>
          <w:shd w:val="clear" w:color="auto" w:fill="FFFFFF"/>
        </w:rPr>
        <w:t>tor que dificulta y en ocasiones falsea</w:t>
      </w:r>
      <w:r w:rsidR="004331BB">
        <w:rPr>
          <w:shd w:val="clear" w:color="auto" w:fill="FFFFFF"/>
        </w:rPr>
        <w:t xml:space="preserve"> las estadísticas </w:t>
      </w:r>
      <w:r w:rsidR="00800C84">
        <w:rPr>
          <w:shd w:val="clear" w:color="auto" w:fill="FFFFFF"/>
        </w:rPr>
        <w:t>sobre el mercado laboral chino.</w:t>
      </w:r>
    </w:p>
    <w:p w:rsidR="00CF3E79" w:rsidRDefault="00D13FF2" w:rsidP="00CA0295">
      <w:pPr>
        <w:pStyle w:val="a0"/>
        <w:rPr>
          <w:shd w:val="clear" w:color="auto" w:fill="FFFFFF"/>
        </w:rPr>
      </w:pPr>
      <w:r w:rsidRPr="00881AB8">
        <w:rPr>
          <w:shd w:val="clear" w:color="auto" w:fill="FFFFFF"/>
        </w:rPr>
        <w:t xml:space="preserve">La población no </w:t>
      </w:r>
      <w:r w:rsidR="00CF3E79">
        <w:rPr>
          <w:shd w:val="clear" w:color="auto" w:fill="FFFFFF"/>
        </w:rPr>
        <w:t>sólo</w:t>
      </w:r>
      <w:r w:rsidRPr="00881AB8">
        <w:rPr>
          <w:shd w:val="clear" w:color="auto" w:fill="FFFFFF"/>
        </w:rPr>
        <w:t xml:space="preserve"> </w:t>
      </w:r>
      <w:r w:rsidR="00CF3E79">
        <w:rPr>
          <w:shd w:val="clear" w:color="auto" w:fill="FFFFFF"/>
        </w:rPr>
        <w:t>aporta fuerza productiva</w:t>
      </w:r>
      <w:r w:rsidRPr="00881AB8">
        <w:rPr>
          <w:shd w:val="clear" w:color="auto" w:fill="FFFFFF"/>
        </w:rPr>
        <w:t xml:space="preserve">, sino también </w:t>
      </w:r>
      <w:r w:rsidR="00CF3E79">
        <w:rPr>
          <w:shd w:val="clear" w:color="auto" w:fill="FFFFFF"/>
        </w:rPr>
        <w:t>determina el nivel de consumo</w:t>
      </w:r>
      <w:r w:rsidRPr="00881AB8">
        <w:rPr>
          <w:shd w:val="clear" w:color="auto" w:fill="FFFFFF"/>
        </w:rPr>
        <w:t>.</w:t>
      </w:r>
      <w:r w:rsidR="00CF3E79">
        <w:rPr>
          <w:shd w:val="clear" w:color="auto" w:fill="FFFFFF"/>
        </w:rPr>
        <w:t xml:space="preserve"> El desarrollo económico experimentado por China a</w:t>
      </w:r>
      <w:r w:rsidRPr="00881AB8">
        <w:rPr>
          <w:shd w:val="clear" w:color="auto" w:fill="FFFFFF"/>
        </w:rPr>
        <w:t xml:space="preserve"> </w:t>
      </w:r>
      <w:r w:rsidR="00CF3E79">
        <w:rPr>
          <w:shd w:val="clear" w:color="auto" w:fill="FFFFFF"/>
        </w:rPr>
        <w:t xml:space="preserve">lo largo de las últimas </w:t>
      </w:r>
      <w:r w:rsidR="00CF3E79">
        <w:rPr>
          <w:shd w:val="clear" w:color="auto" w:fill="FFFFFF"/>
        </w:rPr>
        <w:lastRenderedPageBreak/>
        <w:t>décadas ha permitido el aumento de la renta de las familias, y por consiguiente el aumento del consumo interno. Actualmente, China se caracteriza por tener una creciente clase media urbana que adopta hábitos de consumo intensivos. Seg</w:t>
      </w:r>
      <w:r w:rsidR="001444F4">
        <w:rPr>
          <w:shd w:val="clear" w:color="auto" w:fill="FFFFFF"/>
        </w:rPr>
        <w:t xml:space="preserve">ún datos de Li, Li, </w:t>
      </w:r>
      <w:proofErr w:type="spellStart"/>
      <w:r w:rsidR="001444F4">
        <w:rPr>
          <w:shd w:val="clear" w:color="auto" w:fill="FFFFFF"/>
        </w:rPr>
        <w:t>Wu</w:t>
      </w:r>
      <w:proofErr w:type="spellEnd"/>
      <w:r w:rsidR="001444F4">
        <w:rPr>
          <w:shd w:val="clear" w:color="auto" w:fill="FFFFFF"/>
        </w:rPr>
        <w:t xml:space="preserve"> &amp; </w:t>
      </w:r>
      <w:proofErr w:type="spellStart"/>
      <w:r w:rsidR="001444F4">
        <w:rPr>
          <w:shd w:val="clear" w:color="auto" w:fill="FFFFFF"/>
        </w:rPr>
        <w:t>Xiong</w:t>
      </w:r>
      <w:proofErr w:type="spellEnd"/>
      <w:r w:rsidR="001444F4">
        <w:rPr>
          <w:shd w:val="clear" w:color="auto" w:fill="FFFFFF"/>
        </w:rPr>
        <w:t xml:space="preserve"> </w:t>
      </w:r>
      <w:r w:rsidR="00CF3E79">
        <w:rPr>
          <w:shd w:val="clear" w:color="auto" w:fill="FFFFFF"/>
        </w:rPr>
        <w:t>(2012)</w:t>
      </w:r>
      <w:r w:rsidR="008F6509">
        <w:rPr>
          <w:rStyle w:val="FootnoteReference"/>
          <w:shd w:val="clear" w:color="auto" w:fill="FFFFFF"/>
        </w:rPr>
        <w:footnoteReference w:id="22"/>
      </w:r>
      <w:r w:rsidR="00CF3E79">
        <w:rPr>
          <w:shd w:val="clear" w:color="auto" w:fill="FFFFFF"/>
        </w:rPr>
        <w:t xml:space="preserve">, entre los años 1998 y 2010, los salarios en China han aumentado un promedio de 13,8%, lo que es superior a la tasa de crecimiento económico del país y también a la tasa de aumento de la productividad. En general, se puede decir que el mercado laboral chino está caracterizado por una importante brecha social: por una parte, </w:t>
      </w:r>
      <w:r w:rsidR="008F6509">
        <w:rPr>
          <w:shd w:val="clear" w:color="auto" w:fill="FFFFFF"/>
        </w:rPr>
        <w:t>un segmento</w:t>
      </w:r>
      <w:r w:rsidR="00CF3E79">
        <w:rPr>
          <w:shd w:val="clear" w:color="auto" w:fill="FFFFFF"/>
        </w:rPr>
        <w:t xml:space="preserve"> de la población ha entrado en la clase media y tiene un mayor poder de negociación de sus salarios, aprovechando el entorno favorable del crecimiento económico; por otra parte, la población migrante socialmente marginalizada sigue ocupando puesto mal remunerados. En todo caso, incluso para este último grupo de población flotante, la tendencia en los últimos años ha sido de aumento salarial. </w:t>
      </w:r>
    </w:p>
    <w:p w:rsidR="00CA0295" w:rsidRDefault="00CA0295" w:rsidP="00CA0295">
      <w:pPr>
        <w:pStyle w:val="a0"/>
        <w:rPr>
          <w:shd w:val="clear" w:color="auto" w:fill="FFFFFF"/>
        </w:rPr>
      </w:pPr>
      <w:r>
        <w:rPr>
          <w:shd w:val="clear" w:color="auto" w:fill="FFFFFF"/>
        </w:rPr>
        <w:t>Varias características de la población china, con gran influencia en el mercado laboral, viene</w:t>
      </w:r>
      <w:r w:rsidR="001444F4">
        <w:rPr>
          <w:shd w:val="clear" w:color="auto" w:fill="FFFFFF"/>
        </w:rPr>
        <w:t>n</w:t>
      </w:r>
      <w:r>
        <w:rPr>
          <w:shd w:val="clear" w:color="auto" w:fill="FFFFFF"/>
        </w:rPr>
        <w:t xml:space="preserve"> determinada</w:t>
      </w:r>
      <w:r w:rsidR="001444F4">
        <w:rPr>
          <w:shd w:val="clear" w:color="auto" w:fill="FFFFFF"/>
        </w:rPr>
        <w:t>s</w:t>
      </w:r>
      <w:r>
        <w:rPr>
          <w:shd w:val="clear" w:color="auto" w:fill="FFFFFF"/>
        </w:rPr>
        <w:t xml:space="preserve"> por dos medidas legales importantes</w:t>
      </w:r>
      <w:r w:rsidR="00800C84">
        <w:rPr>
          <w:shd w:val="clear" w:color="auto" w:fill="FFFFFF"/>
        </w:rPr>
        <w:t>:</w:t>
      </w:r>
    </w:p>
    <w:p w:rsidR="00CA0295" w:rsidRDefault="00CA0295" w:rsidP="005D1942">
      <w:pPr>
        <w:pStyle w:val="a0"/>
        <w:numPr>
          <w:ilvl w:val="0"/>
          <w:numId w:val="45"/>
        </w:numPr>
        <w:rPr>
          <w:shd w:val="clear" w:color="auto" w:fill="FFFFFF"/>
        </w:rPr>
      </w:pPr>
      <w:r>
        <w:rPr>
          <w:shd w:val="clear" w:color="auto" w:fill="FFFFFF"/>
        </w:rPr>
        <w:t>La política del hijo único, implantada desde el año 19</w:t>
      </w:r>
      <w:r w:rsidR="001444F4">
        <w:rPr>
          <w:shd w:val="clear" w:color="auto" w:fill="FFFFFF"/>
        </w:rPr>
        <w:t>80</w:t>
      </w:r>
      <w:r>
        <w:rPr>
          <w:shd w:val="clear" w:color="auto" w:fill="FFFFFF"/>
        </w:rPr>
        <w:t xml:space="preserve">. </w:t>
      </w:r>
      <w:r w:rsidR="00BA5F56">
        <w:rPr>
          <w:shd w:val="clear" w:color="auto" w:fill="FFFFFF"/>
        </w:rPr>
        <w:t>Al menos de entrar en ciertas excepciones (minorías étnicas, matrimonios con extranjeros, etc.), las parejas chinas solo están autorizadas a tener un niño. Esta med</w:t>
      </w:r>
      <w:r w:rsidR="001444F4">
        <w:rPr>
          <w:shd w:val="clear" w:color="auto" w:fill="FFFFFF"/>
        </w:rPr>
        <w:t>ida</w:t>
      </w:r>
      <w:r w:rsidR="00BA5F56">
        <w:rPr>
          <w:shd w:val="clear" w:color="auto" w:fill="FFFFFF"/>
        </w:rPr>
        <w:t xml:space="preserve"> legal encaminada a limitar la progresión demográfica, ha tenido un efecto importante debido a la tradicional preferencia de los hijos varones en las culturas confucianas: el aumento de las tasas de abortos de fetos femeninos. A consecuencia, la proporción entre mujeres y hombre</w:t>
      </w:r>
      <w:r w:rsidR="005D1942">
        <w:rPr>
          <w:shd w:val="clear" w:color="auto" w:fill="FFFFFF"/>
        </w:rPr>
        <w:t>s es muy desequilibrada, con 118</w:t>
      </w:r>
      <w:r w:rsidR="00BA5F56">
        <w:rPr>
          <w:shd w:val="clear" w:color="auto" w:fill="FFFFFF"/>
        </w:rPr>
        <w:t xml:space="preserve"> hombres por 100 mujeres</w:t>
      </w:r>
      <w:r w:rsidR="005D1942">
        <w:rPr>
          <w:shd w:val="clear" w:color="auto" w:fill="FFFFFF"/>
        </w:rPr>
        <w:t xml:space="preserve"> (Tucker &amp; Van Hook, 2013)</w:t>
      </w:r>
      <w:r w:rsidR="008F6509">
        <w:rPr>
          <w:rStyle w:val="FootnoteReference"/>
          <w:shd w:val="clear" w:color="auto" w:fill="FFFFFF"/>
        </w:rPr>
        <w:footnoteReference w:id="23"/>
      </w:r>
      <w:r w:rsidR="00BA5F56">
        <w:rPr>
          <w:shd w:val="clear" w:color="auto" w:fill="FFFFFF"/>
        </w:rPr>
        <w:t>. En segundo lugar, existe un número indeterminado de personas no declaradas, especialmente en el campo, que sus padres no han registrado al nacer para evitar</w:t>
      </w:r>
      <w:r w:rsidR="00701557">
        <w:rPr>
          <w:shd w:val="clear" w:color="auto" w:fill="FFFFFF"/>
        </w:rPr>
        <w:t xml:space="preserve"> las penalidades </w:t>
      </w:r>
      <w:r w:rsidR="008F6509">
        <w:rPr>
          <w:shd w:val="clear" w:color="auto" w:fill="FFFFFF"/>
        </w:rPr>
        <w:lastRenderedPageBreak/>
        <w:t>resultantes de</w:t>
      </w:r>
      <w:r w:rsidR="00701557">
        <w:rPr>
          <w:shd w:val="clear" w:color="auto" w:fill="FFFFFF"/>
        </w:rPr>
        <w:t xml:space="preserve"> infringir la ley del hijo único. Esta población invisible es una bolsa de personas dispuestas a aceptar subempleos mal remunerados, por simple cuestión de superv</w:t>
      </w:r>
      <w:r w:rsidR="009E2484">
        <w:rPr>
          <w:shd w:val="clear" w:color="auto" w:fill="FFFFFF"/>
        </w:rPr>
        <w:t>iv</w:t>
      </w:r>
      <w:r w:rsidR="00701557">
        <w:rPr>
          <w:shd w:val="clear" w:color="auto" w:fill="FFFFFF"/>
        </w:rPr>
        <w:t>encia.</w:t>
      </w:r>
      <w:r w:rsidR="001444F4">
        <w:rPr>
          <w:shd w:val="clear" w:color="auto" w:fill="FFFFFF"/>
        </w:rPr>
        <w:t xml:space="preserve"> </w:t>
      </w:r>
    </w:p>
    <w:p w:rsidR="00F10646" w:rsidRDefault="00701557" w:rsidP="009E2484">
      <w:pPr>
        <w:pStyle w:val="a0"/>
        <w:numPr>
          <w:ilvl w:val="0"/>
          <w:numId w:val="45"/>
        </w:numPr>
        <w:rPr>
          <w:shd w:val="clear" w:color="auto" w:fill="FFFFFF"/>
        </w:rPr>
      </w:pPr>
      <w:r>
        <w:rPr>
          <w:shd w:val="clear" w:color="auto" w:fill="FFFFFF"/>
        </w:rPr>
        <w:t xml:space="preserve">La ley de registro regional, llamada </w:t>
      </w:r>
      <w:proofErr w:type="spellStart"/>
      <w:r w:rsidRPr="00701557">
        <w:rPr>
          <w:i/>
          <w:shd w:val="clear" w:color="auto" w:fill="FFFFFF"/>
        </w:rPr>
        <w:t>hukou</w:t>
      </w:r>
      <w:proofErr w:type="spellEnd"/>
      <w:r>
        <w:rPr>
          <w:shd w:val="clear" w:color="auto" w:fill="FFFFFF"/>
        </w:rPr>
        <w:t xml:space="preserve">. El </w:t>
      </w:r>
      <w:proofErr w:type="spellStart"/>
      <w:r w:rsidRPr="00701557">
        <w:rPr>
          <w:i/>
          <w:shd w:val="clear" w:color="auto" w:fill="FFFFFF"/>
        </w:rPr>
        <w:t>hukou</w:t>
      </w:r>
      <w:proofErr w:type="spellEnd"/>
      <w:r>
        <w:rPr>
          <w:shd w:val="clear" w:color="auto" w:fill="FFFFFF"/>
        </w:rPr>
        <w:t xml:space="preserve"> es un papel de residencia ligado a la provincia (o ciudad, en el caso de las grandes urbes) de nacimiento. Todas las prestaciones del Estado, tales como la educación, la sanidad, la jubilación (entre otras) están ligadas al </w:t>
      </w:r>
      <w:proofErr w:type="spellStart"/>
      <w:r w:rsidRPr="00701557">
        <w:rPr>
          <w:i/>
          <w:shd w:val="clear" w:color="auto" w:fill="FFFFFF"/>
        </w:rPr>
        <w:t>hukou</w:t>
      </w:r>
      <w:proofErr w:type="spellEnd"/>
      <w:r>
        <w:rPr>
          <w:shd w:val="clear" w:color="auto" w:fill="FFFFFF"/>
        </w:rPr>
        <w:t>. Al cambiar de l</w:t>
      </w:r>
      <w:r w:rsidR="001D244F">
        <w:rPr>
          <w:shd w:val="clear" w:color="auto" w:fill="FFFFFF"/>
        </w:rPr>
        <w:t>u</w:t>
      </w:r>
      <w:r>
        <w:rPr>
          <w:shd w:val="clear" w:color="auto" w:fill="FFFFFF"/>
        </w:rPr>
        <w:t xml:space="preserve">gar de residencia, la mayoría de los ciudadanos pierden los beneficios del </w:t>
      </w:r>
      <w:proofErr w:type="spellStart"/>
      <w:r w:rsidRPr="00701557">
        <w:rPr>
          <w:i/>
          <w:shd w:val="clear" w:color="auto" w:fill="FFFFFF"/>
        </w:rPr>
        <w:t>hukou</w:t>
      </w:r>
      <w:proofErr w:type="spellEnd"/>
      <w:r>
        <w:rPr>
          <w:shd w:val="clear" w:color="auto" w:fill="FFFFFF"/>
        </w:rPr>
        <w:t xml:space="preserve"> y se transforman en migrantes ilegales, sin acceso a ninguna prestación del Estado o servicio administrativo. </w:t>
      </w:r>
      <w:r w:rsidR="009E2484">
        <w:rPr>
          <w:shd w:val="clear" w:color="auto" w:fill="FFFFFF"/>
        </w:rPr>
        <w:t>Este sistema ha sido implantado a partir del año 19</w:t>
      </w:r>
      <w:r w:rsidR="0059719F">
        <w:rPr>
          <w:shd w:val="clear" w:color="auto" w:fill="FFFFFF"/>
        </w:rPr>
        <w:t>5</w:t>
      </w:r>
      <w:r w:rsidR="009E2484">
        <w:rPr>
          <w:shd w:val="clear" w:color="auto" w:fill="FFFFFF"/>
        </w:rPr>
        <w:t xml:space="preserve">8 para evitar un éxodo rural masivo. En la práctica, </w:t>
      </w:r>
      <w:r w:rsidR="0059719F">
        <w:rPr>
          <w:shd w:val="clear" w:color="auto" w:fill="FFFFFF"/>
        </w:rPr>
        <w:t xml:space="preserve">se estima que </w:t>
      </w:r>
      <w:r w:rsidR="009E2484">
        <w:rPr>
          <w:shd w:val="clear" w:color="auto" w:fill="FFFFFF"/>
        </w:rPr>
        <w:t xml:space="preserve">desde los años ochenta más de 250 millones de campesinos han emigrado a las grandes ciudades de la costa, sin tener posibilidad de cambiar y legalizar el </w:t>
      </w:r>
      <w:proofErr w:type="spellStart"/>
      <w:r w:rsidR="009E2484" w:rsidRPr="003521F0">
        <w:rPr>
          <w:i/>
          <w:shd w:val="clear" w:color="auto" w:fill="FFFFFF"/>
        </w:rPr>
        <w:t>hukou</w:t>
      </w:r>
      <w:proofErr w:type="spellEnd"/>
      <w:r w:rsidR="009E2484">
        <w:rPr>
          <w:shd w:val="clear" w:color="auto" w:fill="FFFFFF"/>
        </w:rPr>
        <w:t xml:space="preserve">. Se espera que en la próxima década, otros 200 millones de campesinos sigan el mismo camino. El conjunto de la población sin </w:t>
      </w:r>
      <w:proofErr w:type="spellStart"/>
      <w:r w:rsidR="009E2484" w:rsidRPr="003521F0">
        <w:rPr>
          <w:i/>
          <w:shd w:val="clear" w:color="auto" w:fill="FFFFFF"/>
        </w:rPr>
        <w:t>hukou</w:t>
      </w:r>
      <w:proofErr w:type="spellEnd"/>
      <w:r w:rsidR="009E2484">
        <w:rPr>
          <w:shd w:val="clear" w:color="auto" w:fill="FFFFFF"/>
        </w:rPr>
        <w:t xml:space="preserve"> se llama “población flotante”. La población flotante es una gran bolsa de </w:t>
      </w:r>
      <w:r w:rsidR="00FD0897">
        <w:rPr>
          <w:shd w:val="clear" w:color="auto" w:fill="FFFFFF"/>
        </w:rPr>
        <w:t>pe</w:t>
      </w:r>
      <w:r w:rsidR="009E2484">
        <w:rPr>
          <w:shd w:val="clear" w:color="auto" w:fill="FFFFFF"/>
        </w:rPr>
        <w:t xml:space="preserve">rsonas dispuestas a trabajar a cualquier precio con tal de sobrevivir y de tener una oportunidad de ascender socialmente en el contexto del crecimiento económico de las grandes ciudades. </w:t>
      </w:r>
    </w:p>
    <w:p w:rsidR="00E40089" w:rsidRDefault="00E40089" w:rsidP="00F10646">
      <w:pPr>
        <w:pStyle w:val="a0"/>
        <w:rPr>
          <w:shd w:val="clear" w:color="auto" w:fill="FFFFFF"/>
        </w:rPr>
      </w:pPr>
      <w:r>
        <w:rPr>
          <w:shd w:val="clear" w:color="auto" w:fill="FFFFFF"/>
        </w:rPr>
        <w:t>A continuación, l</w:t>
      </w:r>
      <w:r w:rsidR="00FD0897">
        <w:rPr>
          <w:shd w:val="clear" w:color="auto" w:fill="FFFFFF"/>
        </w:rPr>
        <w:t>a Fi</w:t>
      </w:r>
      <w:r w:rsidR="00F10646">
        <w:rPr>
          <w:shd w:val="clear" w:color="auto" w:fill="FFFFFF"/>
        </w:rPr>
        <w:t>gura 2 muestra la evolución de la población flotante de China desde el año 2000.</w:t>
      </w:r>
    </w:p>
    <w:tbl>
      <w:tblPr>
        <w:tblStyle w:val="TableGrid"/>
        <w:tblW w:w="8613" w:type="dxa"/>
        <w:tblLayout w:type="fixed"/>
        <w:tblLook w:val="04A0" w:firstRow="1" w:lastRow="0" w:firstColumn="1" w:lastColumn="0" w:noHBand="0" w:noVBand="1"/>
      </w:tblPr>
      <w:tblGrid>
        <w:gridCol w:w="2802"/>
        <w:gridCol w:w="1162"/>
        <w:gridCol w:w="1162"/>
        <w:gridCol w:w="1162"/>
        <w:gridCol w:w="1162"/>
        <w:gridCol w:w="1163"/>
      </w:tblGrid>
      <w:tr w:rsidR="00FF5364" w:rsidRPr="008B2AAF" w:rsidTr="008B2AAF">
        <w:tc>
          <w:tcPr>
            <w:tcW w:w="2802" w:type="dxa"/>
            <w:vAlign w:val="center"/>
          </w:tcPr>
          <w:p w:rsidR="00FF5364" w:rsidRPr="008B2AAF" w:rsidRDefault="00FF5364" w:rsidP="008B2AAF">
            <w:pPr>
              <w:pStyle w:val="a1"/>
              <w:spacing w:after="0" w:line="240" w:lineRule="auto"/>
              <w:jc w:val="left"/>
              <w:rPr>
                <w:b/>
                <w:sz w:val="22"/>
              </w:rPr>
            </w:pPr>
            <w:r w:rsidRPr="008B2AAF">
              <w:rPr>
                <w:b/>
                <w:sz w:val="22"/>
              </w:rPr>
              <w:t>Año</w:t>
            </w:r>
          </w:p>
        </w:tc>
        <w:tc>
          <w:tcPr>
            <w:tcW w:w="1162" w:type="dxa"/>
            <w:vAlign w:val="center"/>
          </w:tcPr>
          <w:p w:rsidR="00FF5364" w:rsidRPr="008B2AAF" w:rsidRDefault="00FF5364" w:rsidP="008B2AAF">
            <w:pPr>
              <w:pStyle w:val="a1"/>
              <w:spacing w:after="0" w:line="240" w:lineRule="auto"/>
              <w:jc w:val="left"/>
              <w:rPr>
                <w:b/>
                <w:sz w:val="22"/>
              </w:rPr>
            </w:pPr>
            <w:r w:rsidRPr="008B2AAF">
              <w:rPr>
                <w:b/>
                <w:sz w:val="22"/>
              </w:rPr>
              <w:t>2000</w:t>
            </w:r>
          </w:p>
        </w:tc>
        <w:tc>
          <w:tcPr>
            <w:tcW w:w="1162" w:type="dxa"/>
            <w:vAlign w:val="center"/>
          </w:tcPr>
          <w:p w:rsidR="00FF5364" w:rsidRPr="008B2AAF" w:rsidRDefault="00FF5364" w:rsidP="00FF5364">
            <w:pPr>
              <w:pStyle w:val="a1"/>
              <w:spacing w:after="0" w:line="240" w:lineRule="auto"/>
              <w:jc w:val="left"/>
              <w:rPr>
                <w:b/>
                <w:sz w:val="22"/>
              </w:rPr>
            </w:pPr>
            <w:r w:rsidRPr="008B2AAF">
              <w:rPr>
                <w:b/>
                <w:sz w:val="22"/>
              </w:rPr>
              <w:t>2005</w:t>
            </w:r>
          </w:p>
        </w:tc>
        <w:tc>
          <w:tcPr>
            <w:tcW w:w="1162" w:type="dxa"/>
            <w:vAlign w:val="center"/>
          </w:tcPr>
          <w:p w:rsidR="00FF5364" w:rsidRPr="008B2AAF" w:rsidRDefault="00FF5364" w:rsidP="00FF5364">
            <w:pPr>
              <w:pStyle w:val="a1"/>
              <w:spacing w:after="0" w:line="240" w:lineRule="auto"/>
              <w:jc w:val="left"/>
              <w:rPr>
                <w:b/>
                <w:sz w:val="22"/>
              </w:rPr>
            </w:pPr>
            <w:r w:rsidRPr="008B2AAF">
              <w:rPr>
                <w:b/>
                <w:sz w:val="22"/>
              </w:rPr>
              <w:t>2010</w:t>
            </w:r>
          </w:p>
        </w:tc>
        <w:tc>
          <w:tcPr>
            <w:tcW w:w="1162" w:type="dxa"/>
            <w:vAlign w:val="center"/>
          </w:tcPr>
          <w:p w:rsidR="00FF5364" w:rsidRPr="008B2AAF" w:rsidRDefault="00FF5364" w:rsidP="00FF5364">
            <w:pPr>
              <w:pStyle w:val="a1"/>
              <w:spacing w:after="0" w:line="240" w:lineRule="auto"/>
              <w:jc w:val="left"/>
              <w:rPr>
                <w:b/>
                <w:sz w:val="22"/>
              </w:rPr>
            </w:pPr>
            <w:r w:rsidRPr="008B2AAF">
              <w:rPr>
                <w:b/>
                <w:sz w:val="22"/>
              </w:rPr>
              <w:t>2012</w:t>
            </w:r>
          </w:p>
        </w:tc>
        <w:tc>
          <w:tcPr>
            <w:tcW w:w="1163" w:type="dxa"/>
            <w:vAlign w:val="center"/>
          </w:tcPr>
          <w:p w:rsidR="00FF5364" w:rsidRPr="008B2AAF" w:rsidRDefault="00FF5364" w:rsidP="00FF5364">
            <w:pPr>
              <w:pStyle w:val="a1"/>
              <w:spacing w:after="0" w:line="240" w:lineRule="auto"/>
              <w:jc w:val="left"/>
              <w:rPr>
                <w:b/>
                <w:sz w:val="22"/>
              </w:rPr>
            </w:pPr>
            <w:r w:rsidRPr="008B2AAF">
              <w:rPr>
                <w:b/>
                <w:sz w:val="22"/>
              </w:rPr>
              <w:t>2014</w:t>
            </w:r>
          </w:p>
        </w:tc>
      </w:tr>
      <w:tr w:rsidR="00FF5364" w:rsidRPr="008B2AAF" w:rsidTr="008B2AAF">
        <w:tc>
          <w:tcPr>
            <w:tcW w:w="2802" w:type="dxa"/>
            <w:vAlign w:val="center"/>
          </w:tcPr>
          <w:p w:rsidR="00FF5364" w:rsidRPr="008B2AAF" w:rsidRDefault="00FF5364" w:rsidP="00FF5364">
            <w:pPr>
              <w:pStyle w:val="a1"/>
              <w:spacing w:after="0" w:line="240" w:lineRule="auto"/>
              <w:jc w:val="left"/>
              <w:rPr>
                <w:sz w:val="22"/>
              </w:rPr>
            </w:pPr>
            <w:r w:rsidRPr="008B2AAF">
              <w:rPr>
                <w:sz w:val="22"/>
              </w:rPr>
              <w:t>Población flotante (millones de personas estimadas)</w:t>
            </w:r>
          </w:p>
        </w:tc>
        <w:tc>
          <w:tcPr>
            <w:tcW w:w="1162" w:type="dxa"/>
            <w:vAlign w:val="center"/>
          </w:tcPr>
          <w:p w:rsidR="00FF5364" w:rsidRPr="008B2AAF" w:rsidRDefault="00FF5364" w:rsidP="008B2AAF">
            <w:pPr>
              <w:pStyle w:val="a1"/>
              <w:spacing w:after="0" w:line="240" w:lineRule="auto"/>
              <w:jc w:val="left"/>
              <w:rPr>
                <w:sz w:val="22"/>
              </w:rPr>
            </w:pPr>
            <w:r w:rsidRPr="008B2AAF">
              <w:rPr>
                <w:sz w:val="22"/>
              </w:rPr>
              <w:t>121</w:t>
            </w:r>
          </w:p>
        </w:tc>
        <w:tc>
          <w:tcPr>
            <w:tcW w:w="1162" w:type="dxa"/>
            <w:vAlign w:val="center"/>
          </w:tcPr>
          <w:p w:rsidR="00FF5364" w:rsidRPr="008B2AAF" w:rsidRDefault="00FF5364" w:rsidP="008B2AAF">
            <w:pPr>
              <w:pStyle w:val="a1"/>
              <w:spacing w:after="0" w:line="240" w:lineRule="auto"/>
              <w:jc w:val="left"/>
              <w:rPr>
                <w:sz w:val="22"/>
              </w:rPr>
            </w:pPr>
            <w:r w:rsidRPr="008B2AAF">
              <w:rPr>
                <w:sz w:val="22"/>
              </w:rPr>
              <w:t>147</w:t>
            </w:r>
          </w:p>
        </w:tc>
        <w:tc>
          <w:tcPr>
            <w:tcW w:w="1162" w:type="dxa"/>
            <w:vAlign w:val="center"/>
          </w:tcPr>
          <w:p w:rsidR="00FF5364" w:rsidRPr="008B2AAF" w:rsidRDefault="00FF5364" w:rsidP="008B2AAF">
            <w:pPr>
              <w:pStyle w:val="a1"/>
              <w:spacing w:after="0" w:line="240" w:lineRule="auto"/>
              <w:jc w:val="left"/>
              <w:rPr>
                <w:sz w:val="22"/>
              </w:rPr>
            </w:pPr>
            <w:r w:rsidRPr="008B2AAF">
              <w:rPr>
                <w:sz w:val="22"/>
              </w:rPr>
              <w:t>221</w:t>
            </w:r>
          </w:p>
        </w:tc>
        <w:tc>
          <w:tcPr>
            <w:tcW w:w="1162" w:type="dxa"/>
            <w:vAlign w:val="center"/>
          </w:tcPr>
          <w:p w:rsidR="00FF5364" w:rsidRPr="008B2AAF" w:rsidRDefault="00FF5364" w:rsidP="008B2AAF">
            <w:pPr>
              <w:pStyle w:val="a1"/>
              <w:spacing w:after="0" w:line="240" w:lineRule="auto"/>
              <w:jc w:val="left"/>
              <w:rPr>
                <w:sz w:val="22"/>
              </w:rPr>
            </w:pPr>
            <w:r w:rsidRPr="008B2AAF">
              <w:rPr>
                <w:sz w:val="22"/>
              </w:rPr>
              <w:t>236</w:t>
            </w:r>
          </w:p>
        </w:tc>
        <w:tc>
          <w:tcPr>
            <w:tcW w:w="1163" w:type="dxa"/>
            <w:vAlign w:val="center"/>
          </w:tcPr>
          <w:p w:rsidR="00FF5364" w:rsidRPr="008B2AAF" w:rsidRDefault="00FF5364" w:rsidP="008B2AAF">
            <w:pPr>
              <w:pStyle w:val="a1"/>
              <w:spacing w:after="0" w:line="240" w:lineRule="auto"/>
              <w:jc w:val="left"/>
              <w:rPr>
                <w:sz w:val="22"/>
              </w:rPr>
            </w:pPr>
            <w:r w:rsidRPr="008B2AAF">
              <w:rPr>
                <w:sz w:val="22"/>
              </w:rPr>
              <w:t>245</w:t>
            </w:r>
          </w:p>
        </w:tc>
      </w:tr>
    </w:tbl>
    <w:p w:rsidR="00FF5364" w:rsidRDefault="00FF5364" w:rsidP="00F10646">
      <w:pPr>
        <w:pStyle w:val="a0"/>
        <w:rPr>
          <w:shd w:val="clear" w:color="auto" w:fill="FFFFFF"/>
        </w:rPr>
      </w:pPr>
    </w:p>
    <w:p w:rsidR="009E2484" w:rsidRDefault="00E40089" w:rsidP="00E40089">
      <w:pPr>
        <w:pStyle w:val="a3"/>
        <w:rPr>
          <w:shd w:val="clear" w:color="auto" w:fill="FFFFFF"/>
        </w:rPr>
      </w:pPr>
      <w:r>
        <w:rPr>
          <w:shd w:val="clear" w:color="auto" w:fill="FFFFFF"/>
        </w:rPr>
        <w:lastRenderedPageBreak/>
        <w:t>Figura 2: Población flotante de China (millones de personas)</w:t>
      </w:r>
      <w:r w:rsidR="00F10646">
        <w:rPr>
          <w:shd w:val="clear" w:color="auto" w:fill="FFFFFF"/>
        </w:rPr>
        <w:t xml:space="preserve"> </w:t>
      </w:r>
    </w:p>
    <w:p w:rsidR="00F10646" w:rsidRDefault="00F10646" w:rsidP="00E40089">
      <w:pPr>
        <w:pStyle w:val="a5"/>
        <w:rPr>
          <w:shd w:val="clear" w:color="auto" w:fill="FFFFFF"/>
        </w:rPr>
      </w:pPr>
      <w:r w:rsidRPr="00E178EF">
        <w:rPr>
          <w:noProof/>
          <w:lang w:val="es-ES" w:eastAsia="es-ES"/>
        </w:rPr>
        <w:drawing>
          <wp:inline distT="0" distB="0" distL="0" distR="0" wp14:anchorId="7D474705" wp14:editId="327C8C38">
            <wp:extent cx="5276193" cy="2438400"/>
            <wp:effectExtent l="0" t="0" r="20320" b="19050"/>
            <wp:docPr id="1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40089" w:rsidRPr="00E40089" w:rsidRDefault="00E40089" w:rsidP="00E40089">
      <w:pPr>
        <w:pStyle w:val="a6"/>
      </w:pPr>
      <w:r w:rsidRPr="005D1942">
        <w:t xml:space="preserve">Fuente: Elaboración propia a partir de los datos </w:t>
      </w:r>
      <w:r>
        <w:t xml:space="preserve">de </w:t>
      </w:r>
      <w:proofErr w:type="spellStart"/>
      <w:r w:rsidRPr="003521F0">
        <w:t>National</w:t>
      </w:r>
      <w:proofErr w:type="spellEnd"/>
      <w:r w:rsidRPr="003521F0">
        <w:t xml:space="preserve"> Burea</w:t>
      </w:r>
      <w:r>
        <w:t xml:space="preserve">u of </w:t>
      </w:r>
      <w:proofErr w:type="spellStart"/>
      <w:r>
        <w:t>Statistics</w:t>
      </w:r>
      <w:proofErr w:type="spellEnd"/>
      <w:r>
        <w:t xml:space="preserve"> of China (2015).</w:t>
      </w:r>
    </w:p>
    <w:p w:rsidR="00143686" w:rsidRPr="00E40089" w:rsidRDefault="00FD0897" w:rsidP="00E40089">
      <w:pPr>
        <w:pStyle w:val="a0"/>
        <w:rPr>
          <w:shd w:val="clear" w:color="auto" w:fill="FFFFFF"/>
        </w:rPr>
      </w:pPr>
      <w:r>
        <w:rPr>
          <w:shd w:val="clear" w:color="auto" w:fill="FFFFFF"/>
        </w:rPr>
        <w:t xml:space="preserve">A lo largo de los últimos años, los gobiernos regionales han relajado las restricciones relacionadas con el sistema </w:t>
      </w:r>
      <w:proofErr w:type="spellStart"/>
      <w:r w:rsidRPr="00E40089">
        <w:rPr>
          <w:i/>
          <w:shd w:val="clear" w:color="auto" w:fill="FFFFFF"/>
        </w:rPr>
        <w:t>hukou</w:t>
      </w:r>
      <w:proofErr w:type="spellEnd"/>
      <w:r>
        <w:rPr>
          <w:shd w:val="clear" w:color="auto" w:fill="FFFFFF"/>
        </w:rPr>
        <w:t>, aun así tan sólo una pequeña minoría de migrantes rurales pueden beneficiarse de la cobertura sanitaria o de la educación de sus hijos por problema de sus papeles de residencia (Müller, 2016)</w:t>
      </w:r>
      <w:r w:rsidR="001D244F">
        <w:rPr>
          <w:rStyle w:val="FootnoteReference"/>
          <w:shd w:val="clear" w:color="auto" w:fill="FFFFFF"/>
        </w:rPr>
        <w:footnoteReference w:id="24"/>
      </w:r>
      <w:r>
        <w:rPr>
          <w:shd w:val="clear" w:color="auto" w:fill="FFFFFF"/>
        </w:rPr>
        <w:t xml:space="preserve">. </w:t>
      </w:r>
      <w:r w:rsidR="001D244F">
        <w:rPr>
          <w:shd w:val="clear" w:color="auto" w:fill="FFFFFF"/>
        </w:rPr>
        <w:t xml:space="preserve">Asimismo </w:t>
      </w:r>
      <w:proofErr w:type="spellStart"/>
      <w:r w:rsidR="001D244F">
        <w:rPr>
          <w:shd w:val="clear" w:color="auto" w:fill="FFFFFF"/>
        </w:rPr>
        <w:t>Crabbe</w:t>
      </w:r>
      <w:proofErr w:type="spellEnd"/>
      <w:r w:rsidR="001D244F">
        <w:rPr>
          <w:shd w:val="clear" w:color="auto" w:fill="FFFFFF"/>
        </w:rPr>
        <w:t xml:space="preserve"> (2014)</w:t>
      </w:r>
      <w:r w:rsidR="001D244F">
        <w:rPr>
          <w:rStyle w:val="FootnoteReference"/>
          <w:shd w:val="clear" w:color="auto" w:fill="FFFFFF"/>
        </w:rPr>
        <w:footnoteReference w:id="25"/>
      </w:r>
      <w:r w:rsidR="001D244F">
        <w:rPr>
          <w:shd w:val="clear" w:color="auto" w:fill="FFFFFF"/>
        </w:rPr>
        <w:t xml:space="preserve"> estima que aproximadamente el 13% de los trabajadores migrantes tienen acceso a la posibilidad de prestaciones de desempleo.</w:t>
      </w:r>
    </w:p>
    <w:p w:rsidR="00313450" w:rsidRPr="00FA2155" w:rsidRDefault="00A222A0" w:rsidP="00FA2155">
      <w:pPr>
        <w:pStyle w:val="Heading3"/>
        <w:rPr>
          <w:rFonts w:eastAsiaTheme="minorEastAsia" w:cs="Times New Roman"/>
          <w:shd w:val="clear" w:color="auto" w:fill="FFFFFF"/>
        </w:rPr>
      </w:pPr>
      <w:bookmarkStart w:id="32" w:name="_Toc424110946"/>
      <w:bookmarkStart w:id="33" w:name="_Toc424111226"/>
      <w:bookmarkStart w:id="34" w:name="_Toc471215304"/>
      <w:r w:rsidRPr="00881AB8">
        <w:rPr>
          <w:rFonts w:cs="Times New Roman"/>
          <w:shd w:val="clear" w:color="auto" w:fill="FFFFFF"/>
        </w:rPr>
        <w:t>2.1.2 Geográ</w:t>
      </w:r>
      <w:r w:rsidR="00143686" w:rsidRPr="00881AB8">
        <w:rPr>
          <w:rFonts w:cs="Times New Roman"/>
          <w:shd w:val="clear" w:color="auto" w:fill="FFFFFF"/>
        </w:rPr>
        <w:t>fico</w:t>
      </w:r>
      <w:r w:rsidR="00804CB7" w:rsidRPr="00881AB8">
        <w:rPr>
          <w:rFonts w:cs="Times New Roman"/>
          <w:shd w:val="clear" w:color="auto" w:fill="FFFFFF"/>
        </w:rPr>
        <w:t xml:space="preserve"> y economía</w:t>
      </w:r>
      <w:bookmarkEnd w:id="32"/>
      <w:bookmarkEnd w:id="33"/>
      <w:bookmarkEnd w:id="34"/>
    </w:p>
    <w:p w:rsidR="00313450" w:rsidRPr="00E9441B" w:rsidRDefault="001D244F" w:rsidP="00E9441B">
      <w:pPr>
        <w:pStyle w:val="a0"/>
        <w:rPr>
          <w:shd w:val="clear" w:color="auto" w:fill="FFFFFF"/>
        </w:rPr>
      </w:pPr>
      <w:r>
        <w:rPr>
          <w:shd w:val="clear" w:color="auto" w:fill="FFFFFF"/>
        </w:rPr>
        <w:t>China es un territorio inmenso de</w:t>
      </w:r>
      <w:r w:rsidR="003C5BBF" w:rsidRPr="00881AB8">
        <w:rPr>
          <w:shd w:val="clear" w:color="auto" w:fill="FFFFFF"/>
        </w:rPr>
        <w:t xml:space="preserve"> 9.596.960 kilómetro</w:t>
      </w:r>
      <w:r w:rsidR="00061BB4">
        <w:rPr>
          <w:rFonts w:hint="eastAsia"/>
          <w:shd w:val="clear" w:color="auto" w:fill="FFFFFF"/>
        </w:rPr>
        <w:t>s</w:t>
      </w:r>
      <w:r>
        <w:rPr>
          <w:shd w:val="clear" w:color="auto" w:fill="FFFFFF"/>
        </w:rPr>
        <w:t xml:space="preserve"> cuadrado. T</w:t>
      </w:r>
      <w:r w:rsidR="003C5BBF" w:rsidRPr="00881AB8">
        <w:rPr>
          <w:shd w:val="clear" w:color="auto" w:fill="FFFFFF"/>
        </w:rPr>
        <w:t>iene 23 provincias (inclu</w:t>
      </w:r>
      <w:r w:rsidR="00A222A0" w:rsidRPr="00881AB8">
        <w:rPr>
          <w:shd w:val="clear" w:color="auto" w:fill="FFFFFF"/>
        </w:rPr>
        <w:t xml:space="preserve">yendo Taiwán), cuatro municipalidades, cinco regiones autónomas y dos regiones administrativas especiales. </w:t>
      </w:r>
      <w:r w:rsidR="00865E38" w:rsidRPr="00881AB8">
        <w:rPr>
          <w:shd w:val="clear" w:color="auto" w:fill="FFFFFF"/>
        </w:rPr>
        <w:t>Debido a las diferencias en la geografía y los recursos</w:t>
      </w:r>
      <w:r w:rsidR="00022B62" w:rsidRPr="00881AB8">
        <w:rPr>
          <w:shd w:val="clear" w:color="auto" w:fill="FFFFFF"/>
        </w:rPr>
        <w:t>, los niveles económicos de</w:t>
      </w:r>
      <w:r>
        <w:rPr>
          <w:shd w:val="clear" w:color="auto" w:fill="FFFFFF"/>
        </w:rPr>
        <w:t xml:space="preserve"> las</w:t>
      </w:r>
      <w:r w:rsidR="00022B62" w:rsidRPr="00881AB8">
        <w:rPr>
          <w:shd w:val="clear" w:color="auto" w:fill="FFFFFF"/>
        </w:rPr>
        <w:t xml:space="preserve"> diferentes provincias </w:t>
      </w:r>
      <w:r w:rsidR="00E9441B">
        <w:rPr>
          <w:shd w:val="clear" w:color="auto" w:fill="FFFFFF"/>
        </w:rPr>
        <w:t>son muy dispares, y así sus mercados laborales</w:t>
      </w:r>
      <w:r w:rsidR="00313450" w:rsidRPr="00881AB8">
        <w:rPr>
          <w:shd w:val="clear" w:color="auto" w:fill="FFFFFF"/>
        </w:rPr>
        <w:t xml:space="preserve">. </w:t>
      </w:r>
    </w:p>
    <w:p w:rsidR="00B956F5" w:rsidRDefault="00313450" w:rsidP="00E9441B">
      <w:pPr>
        <w:pStyle w:val="a0"/>
        <w:rPr>
          <w:shd w:val="clear" w:color="auto" w:fill="FFFFFF"/>
        </w:rPr>
      </w:pPr>
      <w:r w:rsidRPr="00881AB8">
        <w:rPr>
          <w:shd w:val="clear" w:color="auto" w:fill="FFFFFF"/>
        </w:rPr>
        <w:lastRenderedPageBreak/>
        <w:t>El crecimiento económico es la condición básica para el crecimiento del empleo</w:t>
      </w:r>
      <w:r w:rsidR="004C004F" w:rsidRPr="00881AB8">
        <w:rPr>
          <w:shd w:val="clear" w:color="auto" w:fill="FFFFFF"/>
        </w:rPr>
        <w:t xml:space="preserve">, </w:t>
      </w:r>
      <w:r w:rsidR="00E9441B">
        <w:rPr>
          <w:shd w:val="clear" w:color="auto" w:fill="FFFFFF"/>
        </w:rPr>
        <w:t>que permite la creación de nuevos puestos de trabajo</w:t>
      </w:r>
      <w:r w:rsidR="004C004F" w:rsidRPr="00881AB8">
        <w:rPr>
          <w:shd w:val="clear" w:color="auto" w:fill="FFFFFF"/>
        </w:rPr>
        <w:t>.</w:t>
      </w:r>
      <w:r w:rsidR="006F369A" w:rsidRPr="00881AB8">
        <w:rPr>
          <w:shd w:val="clear" w:color="auto" w:fill="FFFFFF"/>
        </w:rPr>
        <w:t xml:space="preserve"> </w:t>
      </w:r>
      <w:r w:rsidR="00EE0FDA">
        <w:rPr>
          <w:shd w:val="clear" w:color="auto" w:fill="FFFFFF"/>
        </w:rPr>
        <w:t>Las zonas costeras, situadas al Este del país, han tenido un</w:t>
      </w:r>
      <w:r w:rsidR="006F369A" w:rsidRPr="00881AB8">
        <w:rPr>
          <w:shd w:val="clear" w:color="auto" w:fill="FFFFFF"/>
        </w:rPr>
        <w:t xml:space="preserve"> rápido desarrollo económico</w:t>
      </w:r>
      <w:r w:rsidR="00EE0FDA">
        <w:rPr>
          <w:shd w:val="clear" w:color="auto" w:fill="FFFFFF"/>
        </w:rPr>
        <w:t>, mientras</w:t>
      </w:r>
      <w:r w:rsidR="00BE3265" w:rsidRPr="00881AB8">
        <w:rPr>
          <w:shd w:val="clear" w:color="auto" w:fill="FFFFFF"/>
        </w:rPr>
        <w:t xml:space="preserve"> la zona Central </w:t>
      </w:r>
      <w:r w:rsidR="00E40089">
        <w:rPr>
          <w:shd w:val="clear" w:color="auto" w:fill="FFFFFF"/>
        </w:rPr>
        <w:t xml:space="preserve">y la zona Oeste </w:t>
      </w:r>
      <w:r w:rsidR="00EE0FDA">
        <w:rPr>
          <w:shd w:val="clear" w:color="auto" w:fill="FFFFFF"/>
        </w:rPr>
        <w:t>del país se ha</w:t>
      </w:r>
      <w:r w:rsidR="00E40089">
        <w:rPr>
          <w:shd w:val="clear" w:color="auto" w:fill="FFFFFF"/>
        </w:rPr>
        <w:t>n</w:t>
      </w:r>
      <w:r w:rsidR="00EE0FDA">
        <w:rPr>
          <w:shd w:val="clear" w:color="auto" w:fill="FFFFFF"/>
        </w:rPr>
        <w:t xml:space="preserve"> quedado relativamente estancada</w:t>
      </w:r>
      <w:r w:rsidR="00E40089">
        <w:rPr>
          <w:shd w:val="clear" w:color="auto" w:fill="FFFFFF"/>
        </w:rPr>
        <w:t>s</w:t>
      </w:r>
      <w:r w:rsidR="00EE0FDA">
        <w:rPr>
          <w:shd w:val="clear" w:color="auto" w:fill="FFFFFF"/>
        </w:rPr>
        <w:t xml:space="preserve"> y atrasada</w:t>
      </w:r>
      <w:r w:rsidR="00E40089">
        <w:rPr>
          <w:shd w:val="clear" w:color="auto" w:fill="FFFFFF"/>
        </w:rPr>
        <w:t>s</w:t>
      </w:r>
      <w:r w:rsidR="00BE3265" w:rsidRPr="00881AB8">
        <w:rPr>
          <w:shd w:val="clear" w:color="auto" w:fill="FFFFFF"/>
        </w:rPr>
        <w:t>.</w:t>
      </w:r>
      <w:r w:rsidR="003727D8" w:rsidRPr="00881AB8">
        <w:rPr>
          <w:shd w:val="clear" w:color="auto" w:fill="FFFFFF"/>
        </w:rPr>
        <w:t xml:space="preserve"> </w:t>
      </w:r>
      <w:r w:rsidR="00EE0FDA">
        <w:rPr>
          <w:shd w:val="clear" w:color="auto" w:fill="FFFFFF"/>
        </w:rPr>
        <w:t xml:space="preserve">A lo largo de las últimas décadas, las </w:t>
      </w:r>
      <w:r w:rsidR="003727D8" w:rsidRPr="00881AB8">
        <w:rPr>
          <w:shd w:val="clear" w:color="auto" w:fill="FFFFFF"/>
        </w:rPr>
        <w:t>diferencia</w:t>
      </w:r>
      <w:r w:rsidR="00EE0FDA">
        <w:rPr>
          <w:shd w:val="clear" w:color="auto" w:fill="FFFFFF"/>
        </w:rPr>
        <w:t>s</w:t>
      </w:r>
      <w:r w:rsidR="003727D8" w:rsidRPr="00881AB8">
        <w:rPr>
          <w:shd w:val="clear" w:color="auto" w:fill="FFFFFF"/>
        </w:rPr>
        <w:t xml:space="preserve"> económic</w:t>
      </w:r>
      <w:r w:rsidR="00A770DF" w:rsidRPr="00881AB8">
        <w:rPr>
          <w:shd w:val="clear" w:color="auto" w:fill="FFFFFF"/>
        </w:rPr>
        <w:t>a</w:t>
      </w:r>
      <w:r w:rsidR="00EE0FDA">
        <w:rPr>
          <w:shd w:val="clear" w:color="auto" w:fill="FFFFFF"/>
        </w:rPr>
        <w:t>s</w:t>
      </w:r>
      <w:r w:rsidR="00A770DF" w:rsidRPr="00881AB8">
        <w:rPr>
          <w:shd w:val="clear" w:color="auto" w:fill="FFFFFF"/>
        </w:rPr>
        <w:t xml:space="preserve"> regional</w:t>
      </w:r>
      <w:r w:rsidR="00EE0FDA">
        <w:rPr>
          <w:shd w:val="clear" w:color="auto" w:fill="FFFFFF"/>
        </w:rPr>
        <w:t>es</w:t>
      </w:r>
      <w:r w:rsidR="00A770DF" w:rsidRPr="00881AB8">
        <w:rPr>
          <w:shd w:val="clear" w:color="auto" w:fill="FFFFFF"/>
        </w:rPr>
        <w:t xml:space="preserve"> se ha </w:t>
      </w:r>
      <w:r w:rsidR="00EE0FDA">
        <w:rPr>
          <w:shd w:val="clear" w:color="auto" w:fill="FFFFFF"/>
        </w:rPr>
        <w:t>han agravado</w:t>
      </w:r>
      <w:r w:rsidR="00E40089">
        <w:rPr>
          <w:shd w:val="clear" w:color="auto" w:fill="FFFFFF"/>
        </w:rPr>
        <w:t xml:space="preserve"> considerablemente</w:t>
      </w:r>
      <w:r w:rsidR="003727D8" w:rsidRPr="00881AB8">
        <w:rPr>
          <w:shd w:val="clear" w:color="auto" w:fill="FFFFFF"/>
        </w:rPr>
        <w:t>.</w:t>
      </w:r>
    </w:p>
    <w:p w:rsidR="00B956F5" w:rsidRDefault="00E40089" w:rsidP="00E40089">
      <w:pPr>
        <w:pStyle w:val="a1"/>
        <w:rPr>
          <w:shd w:val="clear" w:color="auto" w:fill="FFFFFF"/>
        </w:rPr>
      </w:pPr>
      <w:r>
        <w:rPr>
          <w:shd w:val="clear" w:color="auto" w:fill="FFFFFF"/>
        </w:rPr>
        <w:t>La Figura 3 muestra la división geográfica de China en tres zonas principales: Oeste, Central y Este.</w:t>
      </w:r>
    </w:p>
    <w:p w:rsidR="00B956F5" w:rsidRPr="00D70BCC" w:rsidRDefault="00E40089" w:rsidP="00D70BCC">
      <w:pPr>
        <w:pStyle w:val="a3"/>
        <w:rPr>
          <w:shd w:val="clear" w:color="auto" w:fill="FFFFFF"/>
        </w:rPr>
      </w:pPr>
      <w:r>
        <w:rPr>
          <w:shd w:val="clear" w:color="auto" w:fill="FFFFFF"/>
        </w:rPr>
        <w:t>Figura 3: Mapa de China</w:t>
      </w:r>
    </w:p>
    <w:p w:rsidR="004D36CF" w:rsidRPr="00881AB8" w:rsidRDefault="00FD62B8" w:rsidP="00B732D9">
      <w:pPr>
        <w:spacing w:line="360" w:lineRule="auto"/>
        <w:rPr>
          <w:rFonts w:ascii="Times New Roman" w:hAnsi="Times New Roman" w:cs="Times New Roman"/>
          <w:color w:val="252525"/>
          <w:sz w:val="24"/>
          <w:szCs w:val="24"/>
          <w:shd w:val="clear" w:color="auto" w:fill="FFFFFF"/>
          <w:lang w:val="es-ES"/>
        </w:rPr>
      </w:pPr>
      <w:r>
        <w:rPr>
          <w:rFonts w:ascii="Times New Roman" w:hAnsi="Times New Roman" w:cs="Times New Roman"/>
          <w:noProof/>
          <w:color w:val="252525"/>
          <w:sz w:val="24"/>
          <w:szCs w:val="24"/>
          <w:lang w:val="es-ES" w:eastAsia="es-ES"/>
        </w:rPr>
        <mc:AlternateContent>
          <mc:Choice Requires="wps">
            <w:drawing>
              <wp:anchor distT="0" distB="0" distL="114300" distR="114300" simplePos="0" relativeHeight="251655168" behindDoc="0" locked="0" layoutInCell="1" allowOverlap="1" wp14:anchorId="45148C63" wp14:editId="405A8F53">
                <wp:simplePos x="0" y="0"/>
                <wp:positionH relativeFrom="column">
                  <wp:posOffset>2140585</wp:posOffset>
                </wp:positionH>
                <wp:positionV relativeFrom="paragraph">
                  <wp:posOffset>8255</wp:posOffset>
                </wp:positionV>
                <wp:extent cx="31750" cy="2703195"/>
                <wp:effectExtent l="6985" t="8255" r="8890" b="12700"/>
                <wp:wrapNone/>
                <wp:docPr id="9" name="AutoShape 10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750" cy="27031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027" o:spid="_x0000_s1026" type="#_x0000_t32" style="position:absolute;margin-left:168.55pt;margin-top:.65pt;width:2.5pt;height:212.8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"/>
            </w:pict>
          </mc:Fallback>
        </mc:AlternateContent>
      </w:r>
      <w:r>
        <w:rPr>
          <w:rFonts w:ascii="Times New Roman" w:hAnsi="Times New Roman" w:cs="Times New Roman"/>
          <w:noProof/>
          <w:color w:val="252525"/>
          <w:sz w:val="24"/>
          <w:szCs w:val="24"/>
          <w:lang w:val="es-ES" w:eastAsia="es-ES"/>
        </w:rPr>
        <mc:AlternateContent>
          <mc:Choice Requires="wps">
            <w:drawing>
              <wp:anchor distT="0" distB="0" distL="114300" distR="114300" simplePos="0" relativeHeight="251657216" behindDoc="0" locked="0" layoutInCell="1" allowOverlap="1" wp14:anchorId="6D39496D" wp14:editId="49C2D87A">
                <wp:simplePos x="0" y="0"/>
                <wp:positionH relativeFrom="column">
                  <wp:posOffset>3182620</wp:posOffset>
                </wp:positionH>
                <wp:positionV relativeFrom="paragraph">
                  <wp:posOffset>8255</wp:posOffset>
                </wp:positionV>
                <wp:extent cx="635" cy="2703195"/>
                <wp:effectExtent l="10795" t="8255" r="7620" b="12700"/>
                <wp:wrapNone/>
                <wp:docPr id="8" name="AutoShape 10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031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28" o:spid="_x0000_s1026" type="#_x0000_t32" style="position:absolute;margin-left:250.6pt;margin-top:.65pt;width:.05pt;height:212.8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"/>
            </w:pict>
          </mc:Fallback>
        </mc:AlternateContent>
      </w:r>
      <w:r w:rsidR="00B732D9" w:rsidRPr="00881AB8">
        <w:rPr>
          <w:rFonts w:ascii="Times New Roman" w:hAnsi="Times New Roman" w:cs="Times New Roman"/>
          <w:noProof/>
          <w:color w:val="252525"/>
          <w:sz w:val="24"/>
          <w:szCs w:val="24"/>
          <w:lang w:val="es-ES" w:eastAsia="es-ES"/>
        </w:rPr>
        <w:drawing>
          <wp:anchor distT="0" distB="0" distL="114300" distR="114300" simplePos="0" relativeHeight="251653120" behindDoc="0" locked="0" layoutInCell="1" allowOverlap="1" wp14:anchorId="52F7A027" wp14:editId="00C7DE39">
            <wp:simplePos x="0" y="0"/>
            <wp:positionH relativeFrom="column">
              <wp:posOffset>760509</wp:posOffset>
            </wp:positionH>
            <wp:positionV relativeFrom="paragraph">
              <wp:posOffset>15902</wp:posOffset>
            </wp:positionV>
            <wp:extent cx="3487475" cy="2703444"/>
            <wp:effectExtent l="19050" t="0" r="0" b="0"/>
            <wp:wrapNone/>
            <wp:docPr id="7" name="图片 2" descr="http://www.davincibrasil.com.br/Images/Mapa_China_politic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davincibrasil.com.br/Images/Mapa_China_politico2.jpg"/>
                    <pic:cNvPicPr>
                      <a:picLocks noChangeAspect="1" noChangeArrowheads="1"/>
                    </pic:cNvPicPr>
                  </pic:nvPicPr>
                  <pic:blipFill>
                    <a:blip r:embed="rId11" cstate="print"/>
                    <a:srcRect/>
                    <a:stretch>
                      <a:fillRect/>
                    </a:stretch>
                  </pic:blipFill>
                  <pic:spPr bwMode="auto">
                    <a:xfrm>
                      <a:off x="0" y="0"/>
                      <a:ext cx="3487475" cy="2703444"/>
                    </a:xfrm>
                    <a:prstGeom prst="rect">
                      <a:avLst/>
                    </a:prstGeom>
                    <a:noFill/>
                    <a:ln w="9525">
                      <a:noFill/>
                      <a:miter lim="800000"/>
                      <a:headEnd/>
                      <a:tailEnd/>
                    </a:ln>
                  </pic:spPr>
                </pic:pic>
              </a:graphicData>
            </a:graphic>
          </wp:anchor>
        </w:drawing>
      </w:r>
    </w:p>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p>
    <w:p w:rsidR="004D36CF" w:rsidRPr="00881AB8" w:rsidRDefault="00FD62B8" w:rsidP="00B732D9">
      <w:pPr>
        <w:spacing w:line="360" w:lineRule="auto"/>
        <w:rPr>
          <w:rFonts w:ascii="Times New Roman" w:hAnsi="Times New Roman" w:cs="Times New Roman"/>
          <w:color w:val="252525"/>
          <w:sz w:val="24"/>
          <w:szCs w:val="24"/>
          <w:shd w:val="clear" w:color="auto" w:fill="FFFFFF"/>
          <w:lang w:val="es-ES"/>
        </w:rPr>
      </w:pPr>
      <w:r>
        <w:rPr>
          <w:rFonts w:ascii="Times New Roman" w:hAnsi="Times New Roman" w:cs="Times New Roman"/>
          <w:noProof/>
          <w:color w:val="252525"/>
          <w:sz w:val="24"/>
          <w:szCs w:val="24"/>
          <w:lang w:val="es-ES" w:eastAsia="es-ES"/>
        </w:rPr>
        <mc:AlternateContent>
          <mc:Choice Requires="wps">
            <w:drawing>
              <wp:anchor distT="0" distB="0" distL="114300" distR="114300" simplePos="0" relativeHeight="251661312" behindDoc="0" locked="0" layoutInCell="1" allowOverlap="1" wp14:anchorId="0EA4F352" wp14:editId="6917569F">
                <wp:simplePos x="0" y="0"/>
                <wp:positionH relativeFrom="column">
                  <wp:posOffset>-352425</wp:posOffset>
                </wp:positionH>
                <wp:positionV relativeFrom="paragraph">
                  <wp:posOffset>237490</wp:posOffset>
                </wp:positionV>
                <wp:extent cx="914400" cy="297180"/>
                <wp:effectExtent l="9525" t="8890" r="257175" b="198755"/>
                <wp:wrapNone/>
                <wp:docPr id="5" name="AutoShape 10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4400" cy="297180"/>
                        </a:xfrm>
                        <a:prstGeom prst="borderCallout2">
                          <a:avLst>
                            <a:gd name="adj1" fmla="val 38463"/>
                            <a:gd name="adj2" fmla="val 108333"/>
                            <a:gd name="adj3" fmla="val 38463"/>
                            <a:gd name="adj4" fmla="val 117778"/>
                            <a:gd name="adj5" fmla="val 164315"/>
                            <a:gd name="adj6" fmla="val 127431"/>
                          </a:avLst>
                        </a:prstGeom>
                        <a:solidFill>
                          <a:srgbClr val="FFFFFF"/>
                        </a:solidFill>
                        <a:ln w="9525">
                          <a:solidFill>
                            <a:srgbClr val="000000"/>
                          </a:solidFill>
                          <a:miter lim="800000"/>
                          <a:headEnd/>
                          <a:tailEnd/>
                        </a:ln>
                      </wps:spPr>
                      <wps:txbx>
                        <w:txbxContent>
                          <w:p w:rsidR="0008433A" w:rsidRPr="00B732D9" w:rsidRDefault="0008433A">
                            <w:pPr>
                              <w:rPr>
                                <w:lang w:val="es-ES_tradnl"/>
                              </w:rPr>
                            </w:pPr>
                            <w:r>
                              <w:rPr>
                                <w:lang w:val="es-ES_tradnl"/>
                              </w:rPr>
                              <w:t>Zona Oeste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AutoShape 1031" o:spid="_x0000_s1026" type="#_x0000_t48" style="position:absolute;left:0;text-align:left;margin-left:-27.75pt;margin-top:18.7pt;width:1in;height:2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" adj="27525,35492,25440,8308,23400,8308">
                <v:textbox>
                  <w:txbxContent>
                    <w:p w:rsidR="002B6578" w:rsidRPr="00B732D9" w:rsidRDefault="002B6578">
                      <w:pPr>
                        <w:rPr>
                          <w:lang w:val="es-ES_tradnl"/>
                        </w:rPr>
                      </w:pPr>
                      <w:r>
                        <w:rPr>
                          <w:lang w:val="es-ES_tradnl"/>
                        </w:rPr>
                        <w:t>Zona Oeste</w:t>
                      </w:r>
                    </w:p>
                  </w:txbxContent>
                </v:textbox>
                <o:callout v:ext="edit" minusx="t" minusy="t"/>
              </v:shape>
            </w:pict>
          </mc:Fallback>
        </mc:AlternateContent>
      </w:r>
      <w:r>
        <w:rPr>
          <w:rFonts w:ascii="Times New Roman" w:hAnsi="Times New Roman" w:cs="Times New Roman"/>
          <w:noProof/>
          <w:color w:val="252525"/>
          <w:sz w:val="24"/>
          <w:szCs w:val="24"/>
          <w:lang w:val="es-ES" w:eastAsia="es-ES"/>
        </w:rPr>
        <mc:AlternateContent>
          <mc:Choice Requires="wps">
            <w:drawing>
              <wp:anchor distT="0" distB="0" distL="114300" distR="114300" simplePos="0" relativeHeight="251659264" behindDoc="0" locked="0" layoutInCell="1" allowOverlap="1" wp14:anchorId="3F630231" wp14:editId="5457EDA9">
                <wp:simplePos x="0" y="0"/>
                <wp:positionH relativeFrom="column">
                  <wp:posOffset>4475480</wp:posOffset>
                </wp:positionH>
                <wp:positionV relativeFrom="paragraph">
                  <wp:posOffset>229870</wp:posOffset>
                </wp:positionV>
                <wp:extent cx="914400" cy="304800"/>
                <wp:effectExtent l="389255" t="10795" r="10795" b="65405"/>
                <wp:wrapNone/>
                <wp:docPr id="3" name="AutoShape 10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4400" cy="304800"/>
                        </a:xfrm>
                        <a:prstGeom prst="borderCallout2">
                          <a:avLst>
                            <a:gd name="adj1" fmla="val 37500"/>
                            <a:gd name="adj2" fmla="val -8333"/>
                            <a:gd name="adj3" fmla="val 37500"/>
                            <a:gd name="adj4" fmla="val -24722"/>
                            <a:gd name="adj5" fmla="val 118333"/>
                            <a:gd name="adj6" fmla="val -41389"/>
                          </a:avLst>
                        </a:prstGeom>
                        <a:solidFill>
                          <a:srgbClr val="FFFFFF"/>
                        </a:solidFill>
                        <a:ln w="9525">
                          <a:solidFill>
                            <a:srgbClr val="000000"/>
                          </a:solidFill>
                          <a:miter lim="800000"/>
                          <a:headEnd/>
                          <a:tailEnd/>
                        </a:ln>
                      </wps:spPr>
                      <wps:txbx>
                        <w:txbxContent>
                          <w:p w:rsidR="0008433A" w:rsidRPr="00B732D9" w:rsidRDefault="0008433A">
                            <w:pPr>
                              <w:rPr>
                                <w:lang w:val="es-ES_tradnl"/>
                              </w:rPr>
                            </w:pPr>
                            <w:r>
                              <w:rPr>
                                <w:lang w:val="es-ES_tradnl"/>
                              </w:rPr>
                              <w:t>Zona Este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29" o:spid="_x0000_s1027" type="#_x0000_t48" style="position:absolute;left:0;text-align:left;margin-left:352.4pt;margin-top:18.1pt;width:1in;height: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" adj="-8940,25560,-5340,8100,,8100">
                <v:textbox>
                  <w:txbxContent>
                    <w:p w:rsidR="002B6578" w:rsidRPr="00B732D9" w:rsidRDefault="002B6578">
                      <w:pPr>
                        <w:rPr>
                          <w:lang w:val="es-ES_tradnl"/>
                        </w:rPr>
                      </w:pPr>
                      <w:r>
                        <w:rPr>
                          <w:lang w:val="es-ES_tradnl"/>
                        </w:rPr>
                        <w:t>Zona Este</w:t>
                      </w:r>
                    </w:p>
                  </w:txbxContent>
                </v:textbox>
                <o:callout v:ext="edit" minusy="t"/>
              </v:shape>
            </w:pict>
          </mc:Fallback>
        </mc:AlternateContent>
      </w:r>
    </w:p>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p>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p>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p>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p>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p>
    <w:p w:rsidR="00B732D9" w:rsidRPr="00881AB8" w:rsidRDefault="00B732D9" w:rsidP="00B732D9">
      <w:pPr>
        <w:spacing w:line="360" w:lineRule="auto"/>
        <w:rPr>
          <w:rFonts w:ascii="Times New Roman" w:hAnsi="Times New Roman" w:cs="Times New Roman"/>
          <w:color w:val="252525"/>
          <w:sz w:val="24"/>
          <w:szCs w:val="24"/>
          <w:shd w:val="clear" w:color="auto" w:fill="FFFFFF"/>
          <w:lang w:val="es-ES"/>
        </w:rPr>
      </w:pPr>
    </w:p>
    <w:p w:rsidR="00B732D9" w:rsidRPr="00881AB8" w:rsidRDefault="00FD62B8" w:rsidP="00B732D9">
      <w:pPr>
        <w:spacing w:line="360" w:lineRule="auto"/>
        <w:rPr>
          <w:rFonts w:ascii="Times New Roman" w:hAnsi="Times New Roman" w:cs="Times New Roman"/>
          <w:color w:val="252525"/>
          <w:sz w:val="24"/>
          <w:szCs w:val="24"/>
          <w:shd w:val="clear" w:color="auto" w:fill="FFFFFF"/>
          <w:lang w:val="es-ES"/>
        </w:rPr>
      </w:pPr>
      <w:r>
        <w:rPr>
          <w:rFonts w:ascii="Times New Roman" w:hAnsi="Times New Roman" w:cs="Times New Roman"/>
          <w:noProof/>
          <w:color w:val="252525"/>
          <w:sz w:val="24"/>
          <w:szCs w:val="24"/>
          <w:lang w:val="es-ES" w:eastAsia="es-ES"/>
        </w:rPr>
        <mc:AlternateContent>
          <mc:Choice Requires="wps">
            <w:drawing>
              <wp:anchor distT="0" distB="0" distL="114300" distR="114300" simplePos="0" relativeHeight="251663360" behindDoc="0" locked="0" layoutInCell="1" allowOverlap="1" wp14:anchorId="4C4560C2" wp14:editId="1C9DCFB1">
                <wp:simplePos x="0" y="0"/>
                <wp:positionH relativeFrom="column">
                  <wp:posOffset>3051810</wp:posOffset>
                </wp:positionH>
                <wp:positionV relativeFrom="paragraph">
                  <wp:posOffset>184785</wp:posOffset>
                </wp:positionV>
                <wp:extent cx="914400" cy="376555"/>
                <wp:effectExtent l="432435" t="232410" r="5715" b="10160"/>
                <wp:wrapNone/>
                <wp:docPr id="2" name="AutoShape 10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4400" cy="376555"/>
                        </a:xfrm>
                        <a:prstGeom prst="borderCallout2">
                          <a:avLst>
                            <a:gd name="adj1" fmla="val 30352"/>
                            <a:gd name="adj2" fmla="val -8333"/>
                            <a:gd name="adj3" fmla="val 30352"/>
                            <a:gd name="adj4" fmla="val -27292"/>
                            <a:gd name="adj5" fmla="val -60370"/>
                            <a:gd name="adj6" fmla="val -46597"/>
                          </a:avLst>
                        </a:prstGeom>
                        <a:solidFill>
                          <a:srgbClr val="FFFFFF"/>
                        </a:solidFill>
                        <a:ln w="9525">
                          <a:solidFill>
                            <a:srgbClr val="000000"/>
                          </a:solidFill>
                          <a:miter lim="800000"/>
                          <a:headEnd/>
                          <a:tailEnd/>
                        </a:ln>
                      </wps:spPr>
                      <wps:txbx>
                        <w:txbxContent>
                          <w:p w:rsidR="0008433A" w:rsidRPr="00B732D9" w:rsidRDefault="0008433A">
                            <w:pPr>
                              <w:rPr>
                                <w:lang w:val="es-ES_tradnl"/>
                              </w:rPr>
                            </w:pPr>
                            <w:r>
                              <w:rPr>
                                <w:lang w:val="es-ES_tradnl"/>
                              </w:rPr>
                              <w:t>Zona Central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32" o:spid="_x0000_s1028" type="#_x0000_t48" style="position:absolute;left:0;text-align:left;margin-left:240.3pt;margin-top:14.55pt;width:1in;height:29.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" adj="-10065,-13040,-5895,6556,,6556">
                <v:textbox>
                  <w:txbxContent>
                    <w:p w:rsidR="002B6578" w:rsidRPr="00B732D9" w:rsidRDefault="002B6578">
                      <w:pPr>
                        <w:rPr>
                          <w:lang w:val="es-ES_tradnl"/>
                        </w:rPr>
                      </w:pPr>
                      <w:r>
                        <w:rPr>
                          <w:lang w:val="es-ES_tradnl"/>
                        </w:rPr>
                        <w:t>Zona Central</w:t>
                      </w:r>
                    </w:p>
                  </w:txbxContent>
                </v:textbox>
              </v:shape>
            </w:pict>
          </mc:Fallback>
        </mc:AlternateContent>
      </w:r>
    </w:p>
    <w:p w:rsidR="00E40089" w:rsidRDefault="00E40089" w:rsidP="00E40089">
      <w:pPr>
        <w:pStyle w:val="a1"/>
        <w:rPr>
          <w:shd w:val="clear" w:color="auto" w:fill="FFFFFF"/>
        </w:rPr>
      </w:pPr>
    </w:p>
    <w:p w:rsidR="00E40089" w:rsidRPr="00881AB8" w:rsidRDefault="00E40089" w:rsidP="00E40089">
      <w:pPr>
        <w:pStyle w:val="a1"/>
        <w:rPr>
          <w:shd w:val="clear" w:color="auto" w:fill="FFFFFF"/>
        </w:rPr>
      </w:pPr>
      <w:r>
        <w:rPr>
          <w:shd w:val="clear" w:color="auto" w:fill="FFFFFF"/>
        </w:rPr>
        <w:t xml:space="preserve">La siguiente tabla muestra la evolución de la repartición del PIB chino según las tres zonas mencionadas. </w:t>
      </w:r>
    </w:p>
    <w:p w:rsidR="004D36CF" w:rsidRPr="00881AB8" w:rsidRDefault="004D36CF" w:rsidP="00B732D9">
      <w:pPr>
        <w:spacing w:line="360" w:lineRule="auto"/>
        <w:jc w:val="center"/>
        <w:rPr>
          <w:rFonts w:ascii="Times New Roman" w:hAnsi="Times New Roman" w:cs="Times New Roman"/>
          <w:b/>
          <w:color w:val="252525"/>
          <w:sz w:val="24"/>
          <w:szCs w:val="24"/>
          <w:shd w:val="clear" w:color="auto" w:fill="FFFFFF"/>
          <w:lang w:val="es-ES"/>
        </w:rPr>
      </w:pPr>
      <w:r w:rsidRPr="00881AB8">
        <w:rPr>
          <w:rFonts w:ascii="Times New Roman" w:hAnsi="Times New Roman" w:cs="Times New Roman"/>
          <w:b/>
          <w:color w:val="252525"/>
          <w:sz w:val="24"/>
          <w:szCs w:val="24"/>
          <w:shd w:val="clear" w:color="auto" w:fill="FFFFFF"/>
          <w:lang w:val="es-ES"/>
        </w:rPr>
        <w:t xml:space="preserve">Porcentaje de PIB en las Zonas de </w:t>
      </w:r>
      <w:r w:rsidR="00227FE7">
        <w:rPr>
          <w:rFonts w:ascii="Times New Roman" w:hAnsi="Times New Roman" w:cs="Times New Roman" w:hint="eastAsia"/>
          <w:b/>
          <w:color w:val="252525"/>
          <w:sz w:val="24"/>
          <w:szCs w:val="24"/>
          <w:shd w:val="clear" w:color="auto" w:fill="FFFFFF"/>
          <w:lang w:val="es-ES"/>
        </w:rPr>
        <w:t>C</w:t>
      </w:r>
      <w:r w:rsidR="00227FE7" w:rsidRPr="00881AB8">
        <w:rPr>
          <w:rFonts w:ascii="Times New Roman" w:hAnsi="Times New Roman" w:cs="Times New Roman"/>
          <w:b/>
          <w:color w:val="252525"/>
          <w:sz w:val="24"/>
          <w:szCs w:val="24"/>
          <w:shd w:val="clear" w:color="auto" w:fill="FFFFFF"/>
          <w:lang w:val="es-ES"/>
        </w:rPr>
        <w:t>hina (</w:t>
      </w:r>
      <w:r w:rsidRPr="00881AB8">
        <w:rPr>
          <w:rFonts w:ascii="Times New Roman" w:hAnsi="Times New Roman" w:cs="Times New Roman"/>
          <w:b/>
          <w:color w:val="252525"/>
          <w:sz w:val="24"/>
          <w:szCs w:val="24"/>
          <w:shd w:val="clear" w:color="auto" w:fill="FFFFFF"/>
          <w:lang w:val="es-ES"/>
        </w:rPr>
        <w:t>%)</w:t>
      </w:r>
    </w:p>
    <w:tbl>
      <w:tblPr>
        <w:tblStyle w:val="TableGrid"/>
        <w:tblW w:w="0" w:type="auto"/>
        <w:tblLook w:val="04A0" w:firstRow="1" w:lastRow="0" w:firstColumn="1" w:lastColumn="0" w:noHBand="0" w:noVBand="1"/>
      </w:tblPr>
      <w:tblGrid>
        <w:gridCol w:w="946"/>
        <w:gridCol w:w="947"/>
        <w:gridCol w:w="947"/>
        <w:gridCol w:w="947"/>
        <w:gridCol w:w="947"/>
        <w:gridCol w:w="947"/>
        <w:gridCol w:w="947"/>
        <w:gridCol w:w="947"/>
        <w:gridCol w:w="947"/>
      </w:tblGrid>
      <w:tr w:rsidR="004D36CF" w:rsidRPr="00881AB8" w:rsidTr="004D36CF">
        <w:tc>
          <w:tcPr>
            <w:tcW w:w="946" w:type="dxa"/>
          </w:tcPr>
          <w:p w:rsidR="004D36CF" w:rsidRPr="003A628D" w:rsidRDefault="004D36CF" w:rsidP="00B732D9">
            <w:pPr>
              <w:spacing w:line="360" w:lineRule="auto"/>
              <w:rPr>
                <w:rFonts w:ascii="Times New Roman" w:hAnsi="Times New Roman" w:cs="Times New Roman"/>
                <w:b/>
                <w:color w:val="252525"/>
                <w:sz w:val="24"/>
                <w:szCs w:val="24"/>
                <w:shd w:val="clear" w:color="auto" w:fill="FFFFFF"/>
                <w:lang w:val="es-ES"/>
              </w:rPr>
            </w:pPr>
            <w:r w:rsidRPr="003A628D">
              <w:rPr>
                <w:rFonts w:ascii="Times New Roman" w:hAnsi="Times New Roman" w:cs="Times New Roman"/>
                <w:b/>
                <w:color w:val="252525"/>
                <w:sz w:val="24"/>
                <w:szCs w:val="24"/>
                <w:shd w:val="clear" w:color="auto" w:fill="FFFFFF"/>
                <w:lang w:val="es-ES"/>
              </w:rPr>
              <w:t>Año</w:t>
            </w:r>
          </w:p>
        </w:tc>
        <w:tc>
          <w:tcPr>
            <w:tcW w:w="947" w:type="dxa"/>
          </w:tcPr>
          <w:p w:rsidR="004D36CF" w:rsidRPr="003A628D" w:rsidRDefault="004D36CF" w:rsidP="00B732D9">
            <w:pPr>
              <w:spacing w:line="360" w:lineRule="auto"/>
              <w:rPr>
                <w:rFonts w:ascii="Times New Roman" w:hAnsi="Times New Roman" w:cs="Times New Roman"/>
                <w:b/>
                <w:color w:val="252525"/>
                <w:sz w:val="24"/>
                <w:szCs w:val="24"/>
                <w:shd w:val="clear" w:color="auto" w:fill="FFFFFF"/>
                <w:lang w:val="es-ES"/>
              </w:rPr>
            </w:pPr>
            <w:r w:rsidRPr="003A628D">
              <w:rPr>
                <w:rFonts w:ascii="Times New Roman" w:hAnsi="Times New Roman" w:cs="Times New Roman"/>
                <w:b/>
                <w:color w:val="252525"/>
                <w:sz w:val="24"/>
                <w:szCs w:val="24"/>
                <w:shd w:val="clear" w:color="auto" w:fill="FFFFFF"/>
                <w:lang w:val="es-ES"/>
              </w:rPr>
              <w:t>1978</w:t>
            </w:r>
          </w:p>
        </w:tc>
        <w:tc>
          <w:tcPr>
            <w:tcW w:w="947" w:type="dxa"/>
          </w:tcPr>
          <w:p w:rsidR="004D36CF" w:rsidRPr="003A628D" w:rsidRDefault="004D36CF" w:rsidP="00B732D9">
            <w:pPr>
              <w:spacing w:line="360" w:lineRule="auto"/>
              <w:rPr>
                <w:rFonts w:ascii="Times New Roman" w:hAnsi="Times New Roman" w:cs="Times New Roman"/>
                <w:b/>
                <w:color w:val="252525"/>
                <w:sz w:val="24"/>
                <w:szCs w:val="24"/>
                <w:shd w:val="clear" w:color="auto" w:fill="FFFFFF"/>
                <w:lang w:val="es-ES"/>
              </w:rPr>
            </w:pPr>
            <w:r w:rsidRPr="003A628D">
              <w:rPr>
                <w:rFonts w:ascii="Times New Roman" w:hAnsi="Times New Roman" w:cs="Times New Roman"/>
                <w:b/>
                <w:color w:val="252525"/>
                <w:sz w:val="24"/>
                <w:szCs w:val="24"/>
                <w:shd w:val="clear" w:color="auto" w:fill="FFFFFF"/>
                <w:lang w:val="es-ES"/>
              </w:rPr>
              <w:t>1986</w:t>
            </w:r>
          </w:p>
        </w:tc>
        <w:tc>
          <w:tcPr>
            <w:tcW w:w="947" w:type="dxa"/>
          </w:tcPr>
          <w:p w:rsidR="004D36CF" w:rsidRPr="003A628D" w:rsidRDefault="004D36CF" w:rsidP="00B732D9">
            <w:pPr>
              <w:spacing w:line="360" w:lineRule="auto"/>
              <w:rPr>
                <w:rFonts w:ascii="Times New Roman" w:hAnsi="Times New Roman" w:cs="Times New Roman"/>
                <w:b/>
                <w:color w:val="252525"/>
                <w:sz w:val="24"/>
                <w:szCs w:val="24"/>
                <w:shd w:val="clear" w:color="auto" w:fill="FFFFFF"/>
                <w:lang w:val="es-ES"/>
              </w:rPr>
            </w:pPr>
            <w:r w:rsidRPr="003A628D">
              <w:rPr>
                <w:rFonts w:ascii="Times New Roman" w:hAnsi="Times New Roman" w:cs="Times New Roman"/>
                <w:b/>
                <w:color w:val="252525"/>
                <w:sz w:val="24"/>
                <w:szCs w:val="24"/>
                <w:shd w:val="clear" w:color="auto" w:fill="FFFFFF"/>
                <w:lang w:val="es-ES"/>
              </w:rPr>
              <w:t>1990</w:t>
            </w:r>
          </w:p>
        </w:tc>
        <w:tc>
          <w:tcPr>
            <w:tcW w:w="947" w:type="dxa"/>
          </w:tcPr>
          <w:p w:rsidR="004D36CF" w:rsidRPr="003A628D" w:rsidRDefault="004D36CF" w:rsidP="00B732D9">
            <w:pPr>
              <w:spacing w:line="360" w:lineRule="auto"/>
              <w:rPr>
                <w:rFonts w:ascii="Times New Roman" w:hAnsi="Times New Roman" w:cs="Times New Roman"/>
                <w:b/>
                <w:color w:val="252525"/>
                <w:sz w:val="24"/>
                <w:szCs w:val="24"/>
                <w:shd w:val="clear" w:color="auto" w:fill="FFFFFF"/>
                <w:lang w:val="es-ES"/>
              </w:rPr>
            </w:pPr>
            <w:r w:rsidRPr="003A628D">
              <w:rPr>
                <w:rFonts w:ascii="Times New Roman" w:hAnsi="Times New Roman" w:cs="Times New Roman"/>
                <w:b/>
                <w:color w:val="252525"/>
                <w:sz w:val="24"/>
                <w:szCs w:val="24"/>
                <w:shd w:val="clear" w:color="auto" w:fill="FFFFFF"/>
                <w:lang w:val="es-ES"/>
              </w:rPr>
              <w:t>1994</w:t>
            </w:r>
          </w:p>
        </w:tc>
        <w:tc>
          <w:tcPr>
            <w:tcW w:w="947" w:type="dxa"/>
          </w:tcPr>
          <w:p w:rsidR="004D36CF" w:rsidRPr="003A628D" w:rsidRDefault="004D36CF" w:rsidP="00B732D9">
            <w:pPr>
              <w:spacing w:line="360" w:lineRule="auto"/>
              <w:rPr>
                <w:rFonts w:ascii="Times New Roman" w:hAnsi="Times New Roman" w:cs="Times New Roman"/>
                <w:b/>
                <w:color w:val="252525"/>
                <w:sz w:val="24"/>
                <w:szCs w:val="24"/>
                <w:shd w:val="clear" w:color="auto" w:fill="FFFFFF"/>
                <w:lang w:val="es-ES"/>
              </w:rPr>
            </w:pPr>
            <w:r w:rsidRPr="003A628D">
              <w:rPr>
                <w:rFonts w:ascii="Times New Roman" w:hAnsi="Times New Roman" w:cs="Times New Roman"/>
                <w:b/>
                <w:color w:val="252525"/>
                <w:sz w:val="24"/>
                <w:szCs w:val="24"/>
                <w:shd w:val="clear" w:color="auto" w:fill="FFFFFF"/>
                <w:lang w:val="es-ES"/>
              </w:rPr>
              <w:t>1998</w:t>
            </w:r>
          </w:p>
        </w:tc>
        <w:tc>
          <w:tcPr>
            <w:tcW w:w="947" w:type="dxa"/>
          </w:tcPr>
          <w:p w:rsidR="004D36CF" w:rsidRPr="003A628D" w:rsidRDefault="004D36CF" w:rsidP="00B732D9">
            <w:pPr>
              <w:spacing w:line="360" w:lineRule="auto"/>
              <w:rPr>
                <w:rFonts w:ascii="Times New Roman" w:hAnsi="Times New Roman" w:cs="Times New Roman"/>
                <w:b/>
                <w:color w:val="252525"/>
                <w:sz w:val="24"/>
                <w:szCs w:val="24"/>
                <w:shd w:val="clear" w:color="auto" w:fill="FFFFFF"/>
                <w:lang w:val="es-ES"/>
              </w:rPr>
            </w:pPr>
            <w:r w:rsidRPr="003A628D">
              <w:rPr>
                <w:rFonts w:ascii="Times New Roman" w:hAnsi="Times New Roman" w:cs="Times New Roman"/>
                <w:b/>
                <w:color w:val="252525"/>
                <w:sz w:val="24"/>
                <w:szCs w:val="24"/>
                <w:shd w:val="clear" w:color="auto" w:fill="FFFFFF"/>
                <w:lang w:val="es-ES"/>
              </w:rPr>
              <w:t>2001</w:t>
            </w:r>
          </w:p>
        </w:tc>
        <w:tc>
          <w:tcPr>
            <w:tcW w:w="947" w:type="dxa"/>
          </w:tcPr>
          <w:p w:rsidR="004D36CF" w:rsidRPr="003A628D" w:rsidRDefault="004D36CF" w:rsidP="00B732D9">
            <w:pPr>
              <w:spacing w:line="360" w:lineRule="auto"/>
              <w:rPr>
                <w:rFonts w:ascii="Times New Roman" w:hAnsi="Times New Roman" w:cs="Times New Roman"/>
                <w:b/>
                <w:color w:val="252525"/>
                <w:sz w:val="24"/>
                <w:szCs w:val="24"/>
                <w:shd w:val="clear" w:color="auto" w:fill="FFFFFF"/>
                <w:lang w:val="es-ES"/>
              </w:rPr>
            </w:pPr>
            <w:r w:rsidRPr="003A628D">
              <w:rPr>
                <w:rFonts w:ascii="Times New Roman" w:hAnsi="Times New Roman" w:cs="Times New Roman"/>
                <w:b/>
                <w:color w:val="252525"/>
                <w:sz w:val="24"/>
                <w:szCs w:val="24"/>
                <w:shd w:val="clear" w:color="auto" w:fill="FFFFFF"/>
                <w:lang w:val="es-ES"/>
              </w:rPr>
              <w:t>2004</w:t>
            </w:r>
          </w:p>
        </w:tc>
        <w:tc>
          <w:tcPr>
            <w:tcW w:w="947" w:type="dxa"/>
          </w:tcPr>
          <w:p w:rsidR="004D36CF" w:rsidRPr="003A628D" w:rsidRDefault="004D36CF" w:rsidP="00B732D9">
            <w:pPr>
              <w:spacing w:line="360" w:lineRule="auto"/>
              <w:rPr>
                <w:rFonts w:ascii="Times New Roman" w:hAnsi="Times New Roman" w:cs="Times New Roman"/>
                <w:b/>
                <w:color w:val="252525"/>
                <w:sz w:val="24"/>
                <w:szCs w:val="24"/>
                <w:shd w:val="clear" w:color="auto" w:fill="FFFFFF"/>
                <w:lang w:val="es-ES"/>
              </w:rPr>
            </w:pPr>
            <w:r w:rsidRPr="003A628D">
              <w:rPr>
                <w:rFonts w:ascii="Times New Roman" w:hAnsi="Times New Roman" w:cs="Times New Roman"/>
                <w:b/>
                <w:color w:val="252525"/>
                <w:sz w:val="24"/>
                <w:szCs w:val="24"/>
                <w:shd w:val="clear" w:color="auto" w:fill="FFFFFF"/>
                <w:lang w:val="es-ES"/>
              </w:rPr>
              <w:t>2009</w:t>
            </w:r>
          </w:p>
        </w:tc>
      </w:tr>
      <w:tr w:rsidR="004D36CF" w:rsidRPr="00881AB8" w:rsidTr="004D36CF">
        <w:tc>
          <w:tcPr>
            <w:tcW w:w="946"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Este</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50.31</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51.09</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51.38</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55.76</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55.99</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62.74</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58.40</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57.90</w:t>
            </w:r>
          </w:p>
        </w:tc>
      </w:tr>
      <w:tr w:rsidR="004D36CF" w:rsidRPr="00881AB8" w:rsidTr="004D36CF">
        <w:tc>
          <w:tcPr>
            <w:tcW w:w="946"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Central</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29.06</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29.12</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28.18</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25.70</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26.25</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20.17</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32.00</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23.64</w:t>
            </w:r>
          </w:p>
        </w:tc>
      </w:tr>
      <w:tr w:rsidR="004D36CF" w:rsidRPr="00881AB8" w:rsidTr="004D36CF">
        <w:tc>
          <w:tcPr>
            <w:tcW w:w="946" w:type="dxa"/>
          </w:tcPr>
          <w:p w:rsidR="004D36CF" w:rsidRPr="00881AB8" w:rsidRDefault="008B2AAF" w:rsidP="00B732D9">
            <w:pPr>
              <w:spacing w:line="360" w:lineRule="auto"/>
              <w:rPr>
                <w:rFonts w:ascii="Times New Roman" w:hAnsi="Times New Roman" w:cs="Times New Roman"/>
                <w:color w:val="252525"/>
                <w:sz w:val="24"/>
                <w:szCs w:val="24"/>
                <w:shd w:val="clear" w:color="auto" w:fill="FFFFFF"/>
                <w:lang w:val="es-ES"/>
              </w:rPr>
            </w:pPr>
            <w:r>
              <w:rPr>
                <w:rFonts w:ascii="Times New Roman" w:hAnsi="Times New Roman" w:cs="Times New Roman"/>
                <w:color w:val="252525"/>
                <w:sz w:val="24"/>
                <w:szCs w:val="24"/>
                <w:shd w:val="clear" w:color="auto" w:fill="FFFFFF"/>
                <w:lang w:val="es-ES"/>
              </w:rPr>
              <w:lastRenderedPageBreak/>
              <w:t>O</w:t>
            </w:r>
            <w:r w:rsidR="004D36CF" w:rsidRPr="00881AB8">
              <w:rPr>
                <w:rFonts w:ascii="Times New Roman" w:hAnsi="Times New Roman" w:cs="Times New Roman"/>
                <w:color w:val="252525"/>
                <w:sz w:val="24"/>
                <w:szCs w:val="24"/>
                <w:shd w:val="clear" w:color="auto" w:fill="FFFFFF"/>
                <w:lang w:val="es-ES"/>
              </w:rPr>
              <w:t>este</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20.63</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19.79</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20.44</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18.54</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17.76</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17.09</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9.60</w:t>
            </w:r>
          </w:p>
        </w:tc>
        <w:tc>
          <w:tcPr>
            <w:tcW w:w="947" w:type="dxa"/>
          </w:tcPr>
          <w:p w:rsidR="004D36CF" w:rsidRPr="00881AB8" w:rsidRDefault="004D36CF" w:rsidP="00B732D9">
            <w:pPr>
              <w:spacing w:line="360" w:lineRule="auto"/>
              <w:rPr>
                <w:rFonts w:ascii="Times New Roman" w:hAnsi="Times New Roman" w:cs="Times New Roman"/>
                <w:color w:val="252525"/>
                <w:sz w:val="24"/>
                <w:szCs w:val="24"/>
                <w:shd w:val="clear" w:color="auto" w:fill="FFFFFF"/>
                <w:lang w:val="es-ES"/>
              </w:rPr>
            </w:pPr>
            <w:r w:rsidRPr="00881AB8">
              <w:rPr>
                <w:rFonts w:ascii="Times New Roman" w:hAnsi="Times New Roman" w:cs="Times New Roman"/>
                <w:color w:val="252525"/>
                <w:sz w:val="24"/>
                <w:szCs w:val="24"/>
                <w:shd w:val="clear" w:color="auto" w:fill="FFFFFF"/>
                <w:lang w:val="es-ES"/>
              </w:rPr>
              <w:t>19.46</w:t>
            </w:r>
          </w:p>
        </w:tc>
      </w:tr>
    </w:tbl>
    <w:p w:rsidR="008B2AAF" w:rsidRPr="008B2AAF" w:rsidRDefault="00E40089" w:rsidP="00B06803">
      <w:pPr>
        <w:pStyle w:val="a6"/>
        <w:rPr>
          <w:shd w:val="clear" w:color="auto" w:fill="FFFFFF"/>
        </w:rPr>
      </w:pPr>
      <w:r w:rsidRPr="00E40089">
        <w:rPr>
          <w:shd w:val="clear" w:color="auto" w:fill="FFFFFF"/>
        </w:rPr>
        <w:t xml:space="preserve">Fuente: Elaboración propia a partir de los datos de </w:t>
      </w:r>
      <w:proofErr w:type="spellStart"/>
      <w:r w:rsidRPr="00E40089">
        <w:rPr>
          <w:shd w:val="clear" w:color="auto" w:fill="FFFFFF"/>
        </w:rPr>
        <w:t>National</w:t>
      </w:r>
      <w:proofErr w:type="spellEnd"/>
      <w:r w:rsidRPr="00E40089">
        <w:rPr>
          <w:shd w:val="clear" w:color="auto" w:fill="FFFFFF"/>
        </w:rPr>
        <w:t xml:space="preserve"> Bureau of </w:t>
      </w:r>
      <w:proofErr w:type="spellStart"/>
      <w:r w:rsidRPr="00E40089">
        <w:rPr>
          <w:shd w:val="clear" w:color="auto" w:fill="FFFFFF"/>
        </w:rPr>
        <w:t>Statistics</w:t>
      </w:r>
      <w:proofErr w:type="spellEnd"/>
      <w:r w:rsidRPr="00E40089">
        <w:rPr>
          <w:shd w:val="clear" w:color="auto" w:fill="FFFFFF"/>
        </w:rPr>
        <w:t xml:space="preserve"> of China (2015).</w:t>
      </w:r>
    </w:p>
    <w:p w:rsidR="00DA7B1F" w:rsidRDefault="00D70BCC" w:rsidP="00D70BCC">
      <w:pPr>
        <w:pStyle w:val="a0"/>
        <w:rPr>
          <w:shd w:val="clear" w:color="auto" w:fill="FFFFFF"/>
        </w:rPr>
      </w:pPr>
      <w:r>
        <w:rPr>
          <w:shd w:val="clear" w:color="auto" w:fill="FFFFFF"/>
        </w:rPr>
        <w:t>El</w:t>
      </w:r>
      <w:r w:rsidR="001A6CC7" w:rsidRPr="00881AB8">
        <w:rPr>
          <w:shd w:val="clear" w:color="auto" w:fill="FFFFFF"/>
        </w:rPr>
        <w:t xml:space="preserve"> Producto Interior Bruto </w:t>
      </w:r>
      <w:r>
        <w:rPr>
          <w:shd w:val="clear" w:color="auto" w:fill="FFFFFF"/>
        </w:rPr>
        <w:t xml:space="preserve">(PIB) es un indicador del </w:t>
      </w:r>
      <w:r w:rsidR="00C25AEC" w:rsidRPr="00881AB8">
        <w:rPr>
          <w:shd w:val="clear" w:color="auto" w:fill="FFFFFF"/>
        </w:rPr>
        <w:t>nivel general del desarrollo económico de un país o una región.</w:t>
      </w:r>
      <w:r w:rsidR="0018128C" w:rsidRPr="00881AB8">
        <w:rPr>
          <w:shd w:val="clear" w:color="auto" w:fill="FFFFFF"/>
        </w:rPr>
        <w:t xml:space="preserve"> </w:t>
      </w:r>
      <w:r>
        <w:rPr>
          <w:shd w:val="clear" w:color="auto" w:fill="FFFFFF"/>
        </w:rPr>
        <w:t>Al comparar las tres zonas</w:t>
      </w:r>
      <w:r w:rsidR="0018128C" w:rsidRPr="00881AB8">
        <w:rPr>
          <w:shd w:val="clear" w:color="auto" w:fill="FFFFFF"/>
        </w:rPr>
        <w:t xml:space="preserve"> </w:t>
      </w:r>
      <w:r w:rsidR="002727E0" w:rsidRPr="00881AB8">
        <w:rPr>
          <w:shd w:val="clear" w:color="auto" w:fill="FFFFFF"/>
        </w:rPr>
        <w:t>del</w:t>
      </w:r>
      <w:r>
        <w:rPr>
          <w:shd w:val="clear" w:color="auto" w:fill="FFFFFF"/>
        </w:rPr>
        <w:t xml:space="preserve"> país, </w:t>
      </w:r>
      <w:r w:rsidR="0077215B" w:rsidRPr="00881AB8">
        <w:rPr>
          <w:color w:val="252525"/>
          <w:shd w:val="clear" w:color="auto" w:fill="FFFFFF"/>
          <w:lang w:val="es-ES"/>
        </w:rPr>
        <w:t xml:space="preserve">se ve claramente que </w:t>
      </w:r>
      <w:r>
        <w:rPr>
          <w:color w:val="252525"/>
          <w:shd w:val="clear" w:color="auto" w:fill="FFFFFF"/>
          <w:lang w:val="es-ES"/>
        </w:rPr>
        <w:t xml:space="preserve">la zona Oeste representa más de la mitad </w:t>
      </w:r>
      <w:r>
        <w:rPr>
          <w:shd w:val="clear" w:color="auto" w:fill="FFFFFF"/>
        </w:rPr>
        <w:t xml:space="preserve">la aportación al </w:t>
      </w:r>
      <w:r w:rsidRPr="00881AB8">
        <w:rPr>
          <w:shd w:val="clear" w:color="auto" w:fill="FFFFFF"/>
        </w:rPr>
        <w:t>PIB</w:t>
      </w:r>
      <w:r>
        <w:rPr>
          <w:shd w:val="clear" w:color="auto" w:fill="FFFFFF"/>
        </w:rPr>
        <w:t xml:space="preserve"> nacional. El fenómeno de la desigualdad territorial de China ha ido en fuerte aumento hacia 2001, pero desde entonces tiene tendencia a disminuir progresivamente. </w:t>
      </w:r>
    </w:p>
    <w:p w:rsidR="00D70BCC" w:rsidRDefault="00D70BCC" w:rsidP="00D70BCC">
      <w:pPr>
        <w:pStyle w:val="a0"/>
        <w:rPr>
          <w:shd w:val="clear" w:color="auto" w:fill="FFFFFF"/>
        </w:rPr>
      </w:pPr>
      <w:r>
        <w:rPr>
          <w:shd w:val="clear" w:color="auto" w:fill="FFFFFF"/>
        </w:rPr>
        <w:t>A continuación, la Figura 4 muestra la repartición de la poblaci</w:t>
      </w:r>
      <w:r w:rsidR="00527D63">
        <w:rPr>
          <w:shd w:val="clear" w:color="auto" w:fill="FFFFFF"/>
        </w:rPr>
        <w:t>ón activa ocupada según las tres zonas geogr</w:t>
      </w:r>
      <w:r w:rsidR="00BD22E0">
        <w:rPr>
          <w:shd w:val="clear" w:color="auto" w:fill="FFFFFF"/>
        </w:rPr>
        <w:t>áficas, correspondiente al año 2009.</w:t>
      </w:r>
    </w:p>
    <w:tbl>
      <w:tblPr>
        <w:tblStyle w:val="TableGrid"/>
        <w:tblW w:w="8188" w:type="dxa"/>
        <w:tblLayout w:type="fixed"/>
        <w:tblLook w:val="04A0" w:firstRow="1" w:lastRow="0" w:firstColumn="1" w:lastColumn="0" w:noHBand="0" w:noVBand="1"/>
      </w:tblPr>
      <w:tblGrid>
        <w:gridCol w:w="3085"/>
        <w:gridCol w:w="1701"/>
        <w:gridCol w:w="1701"/>
        <w:gridCol w:w="1701"/>
      </w:tblGrid>
      <w:tr w:rsidR="003A628D" w:rsidRPr="003A628D" w:rsidTr="008B2AAF">
        <w:tc>
          <w:tcPr>
            <w:tcW w:w="3085" w:type="dxa"/>
            <w:vAlign w:val="center"/>
          </w:tcPr>
          <w:p w:rsidR="003A628D" w:rsidRPr="008B2AAF" w:rsidRDefault="003A628D" w:rsidP="008B2AAF">
            <w:pPr>
              <w:pStyle w:val="a1"/>
              <w:spacing w:after="0" w:line="240" w:lineRule="auto"/>
              <w:jc w:val="left"/>
              <w:rPr>
                <w:b/>
                <w:sz w:val="22"/>
              </w:rPr>
            </w:pPr>
            <w:r w:rsidRPr="008B2AAF">
              <w:rPr>
                <w:b/>
                <w:sz w:val="22"/>
              </w:rPr>
              <w:t>Zona de China</w:t>
            </w:r>
          </w:p>
        </w:tc>
        <w:tc>
          <w:tcPr>
            <w:tcW w:w="1701" w:type="dxa"/>
            <w:vAlign w:val="center"/>
          </w:tcPr>
          <w:p w:rsidR="003A628D" w:rsidRPr="008B2AAF" w:rsidRDefault="003A628D" w:rsidP="008B2AAF">
            <w:pPr>
              <w:pStyle w:val="a1"/>
              <w:spacing w:after="0" w:line="240" w:lineRule="auto"/>
              <w:jc w:val="left"/>
              <w:rPr>
                <w:b/>
                <w:sz w:val="22"/>
              </w:rPr>
            </w:pPr>
            <w:r w:rsidRPr="008B2AAF">
              <w:rPr>
                <w:b/>
                <w:sz w:val="22"/>
              </w:rPr>
              <w:t>Este</w:t>
            </w:r>
          </w:p>
        </w:tc>
        <w:tc>
          <w:tcPr>
            <w:tcW w:w="1701" w:type="dxa"/>
            <w:vAlign w:val="center"/>
          </w:tcPr>
          <w:p w:rsidR="003A628D" w:rsidRPr="008B2AAF" w:rsidRDefault="003A628D" w:rsidP="008B2AAF">
            <w:pPr>
              <w:pStyle w:val="a1"/>
              <w:spacing w:after="0" w:line="240" w:lineRule="auto"/>
              <w:jc w:val="left"/>
              <w:rPr>
                <w:b/>
                <w:sz w:val="22"/>
              </w:rPr>
            </w:pPr>
            <w:r w:rsidRPr="008B2AAF">
              <w:rPr>
                <w:b/>
                <w:sz w:val="22"/>
              </w:rPr>
              <w:t>Central</w:t>
            </w:r>
          </w:p>
        </w:tc>
        <w:tc>
          <w:tcPr>
            <w:tcW w:w="1701" w:type="dxa"/>
            <w:vAlign w:val="center"/>
          </w:tcPr>
          <w:p w:rsidR="003A628D" w:rsidRPr="008B2AAF" w:rsidRDefault="003A628D" w:rsidP="008B2AAF">
            <w:pPr>
              <w:pStyle w:val="a1"/>
              <w:spacing w:after="0" w:line="240" w:lineRule="auto"/>
              <w:jc w:val="left"/>
              <w:rPr>
                <w:b/>
                <w:sz w:val="22"/>
              </w:rPr>
            </w:pPr>
            <w:r w:rsidRPr="008B2AAF">
              <w:rPr>
                <w:b/>
                <w:sz w:val="22"/>
              </w:rPr>
              <w:t>Oeste</w:t>
            </w:r>
          </w:p>
        </w:tc>
      </w:tr>
      <w:tr w:rsidR="003A628D" w:rsidRPr="003A628D" w:rsidTr="008B2AAF">
        <w:tc>
          <w:tcPr>
            <w:tcW w:w="3085" w:type="dxa"/>
            <w:vAlign w:val="center"/>
          </w:tcPr>
          <w:p w:rsidR="003A628D" w:rsidRPr="003A628D" w:rsidRDefault="003A628D" w:rsidP="008B2AAF">
            <w:pPr>
              <w:pStyle w:val="a1"/>
              <w:spacing w:after="0" w:line="240" w:lineRule="auto"/>
              <w:jc w:val="left"/>
              <w:rPr>
                <w:sz w:val="22"/>
              </w:rPr>
            </w:pPr>
            <w:r w:rsidRPr="003A628D">
              <w:rPr>
                <w:sz w:val="22"/>
              </w:rPr>
              <w:t xml:space="preserve">% sobre el total de la población activa </w:t>
            </w:r>
            <w:r w:rsidR="008B2AAF">
              <w:rPr>
                <w:sz w:val="22"/>
              </w:rPr>
              <w:t xml:space="preserve">ocupada </w:t>
            </w:r>
            <w:r w:rsidRPr="003A628D">
              <w:rPr>
                <w:sz w:val="22"/>
              </w:rPr>
              <w:t>del país</w:t>
            </w:r>
          </w:p>
        </w:tc>
        <w:tc>
          <w:tcPr>
            <w:tcW w:w="1701" w:type="dxa"/>
            <w:vAlign w:val="center"/>
          </w:tcPr>
          <w:p w:rsidR="003A628D" w:rsidRPr="003A628D" w:rsidRDefault="003A628D" w:rsidP="003A628D">
            <w:pPr>
              <w:pStyle w:val="a1"/>
              <w:spacing w:after="0" w:line="240" w:lineRule="auto"/>
              <w:jc w:val="left"/>
              <w:rPr>
                <w:sz w:val="22"/>
              </w:rPr>
            </w:pPr>
            <w:r w:rsidRPr="003A628D">
              <w:rPr>
                <w:sz w:val="22"/>
              </w:rPr>
              <w:t>45,10%</w:t>
            </w:r>
          </w:p>
        </w:tc>
        <w:tc>
          <w:tcPr>
            <w:tcW w:w="1701" w:type="dxa"/>
            <w:vAlign w:val="center"/>
          </w:tcPr>
          <w:p w:rsidR="003A628D" w:rsidRPr="003A628D" w:rsidRDefault="003A628D" w:rsidP="003A628D">
            <w:pPr>
              <w:pStyle w:val="a1"/>
              <w:spacing w:after="0" w:line="240" w:lineRule="auto"/>
              <w:jc w:val="left"/>
              <w:rPr>
                <w:sz w:val="22"/>
              </w:rPr>
            </w:pPr>
            <w:r w:rsidRPr="003A628D">
              <w:rPr>
                <w:sz w:val="22"/>
              </w:rPr>
              <w:t>30,50%</w:t>
            </w:r>
          </w:p>
        </w:tc>
        <w:tc>
          <w:tcPr>
            <w:tcW w:w="1701" w:type="dxa"/>
            <w:vAlign w:val="center"/>
          </w:tcPr>
          <w:p w:rsidR="003A628D" w:rsidRPr="003A628D" w:rsidRDefault="003A628D" w:rsidP="008B2AAF">
            <w:pPr>
              <w:pStyle w:val="a1"/>
              <w:spacing w:after="0" w:line="240" w:lineRule="auto"/>
              <w:jc w:val="left"/>
              <w:rPr>
                <w:sz w:val="22"/>
              </w:rPr>
            </w:pPr>
            <w:r w:rsidRPr="003A628D">
              <w:rPr>
                <w:sz w:val="22"/>
              </w:rPr>
              <w:t>24,40%</w:t>
            </w:r>
          </w:p>
        </w:tc>
      </w:tr>
    </w:tbl>
    <w:p w:rsidR="003A628D" w:rsidRDefault="003A628D" w:rsidP="00D70BCC">
      <w:pPr>
        <w:pStyle w:val="a0"/>
        <w:rPr>
          <w:shd w:val="clear" w:color="auto" w:fill="FFFFFF"/>
        </w:rPr>
      </w:pPr>
    </w:p>
    <w:p w:rsidR="00281B63" w:rsidRPr="00881AB8" w:rsidRDefault="00281B63" w:rsidP="00281B63">
      <w:pPr>
        <w:pStyle w:val="a3"/>
        <w:rPr>
          <w:color w:val="252525"/>
          <w:shd w:val="clear" w:color="auto" w:fill="FFFFFF"/>
          <w:lang w:val="es-ES"/>
        </w:rPr>
      </w:pPr>
      <w:r>
        <w:rPr>
          <w:shd w:val="clear" w:color="auto" w:fill="FFFFFF"/>
        </w:rPr>
        <w:t>Figura 4: Repartición de la población activa ocupada en las tres zonas de China (2009)</w:t>
      </w:r>
    </w:p>
    <w:p w:rsidR="007D2DF5" w:rsidRPr="00881AB8" w:rsidRDefault="00B02435" w:rsidP="00B732D9">
      <w:pPr>
        <w:spacing w:line="360" w:lineRule="auto"/>
        <w:rPr>
          <w:rFonts w:ascii="Times New Roman" w:hAnsi="Times New Roman" w:cs="Times New Roman"/>
          <w:color w:val="252525"/>
          <w:sz w:val="24"/>
          <w:szCs w:val="24"/>
          <w:shd w:val="clear" w:color="auto" w:fill="FFFFFF"/>
        </w:rPr>
      </w:pPr>
      <w:r w:rsidRPr="00881AB8">
        <w:rPr>
          <w:rFonts w:ascii="Times New Roman" w:hAnsi="Times New Roman" w:cs="Times New Roman"/>
          <w:noProof/>
          <w:color w:val="252525"/>
          <w:sz w:val="24"/>
          <w:szCs w:val="24"/>
          <w:shd w:val="clear" w:color="auto" w:fill="FFFFFF"/>
          <w:lang w:val="es-ES" w:eastAsia="es-ES"/>
        </w:rPr>
        <w:drawing>
          <wp:inline distT="0" distB="0" distL="0" distR="0" wp14:anchorId="6D356B47" wp14:editId="3561628D">
            <wp:extent cx="5114925" cy="2638425"/>
            <wp:effectExtent l="0" t="0" r="9525" b="9525"/>
            <wp:docPr id="12" name="图表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B6796" w:rsidRPr="00881AB8" w:rsidRDefault="00A86AD9" w:rsidP="00A86AD9">
      <w:pPr>
        <w:pStyle w:val="a6"/>
        <w:rPr>
          <w:shd w:val="clear" w:color="auto" w:fill="FFFFFF"/>
        </w:rPr>
      </w:pPr>
      <w:r w:rsidRPr="00A86AD9">
        <w:rPr>
          <w:shd w:val="clear" w:color="auto" w:fill="FFFFFF"/>
        </w:rPr>
        <w:t xml:space="preserve">Fuente: Elaboración propia a partir de los datos de </w:t>
      </w:r>
      <w:proofErr w:type="spellStart"/>
      <w:r w:rsidRPr="00A86AD9">
        <w:rPr>
          <w:shd w:val="clear" w:color="auto" w:fill="FFFFFF"/>
        </w:rPr>
        <w:t>National</w:t>
      </w:r>
      <w:proofErr w:type="spellEnd"/>
      <w:r w:rsidRPr="00A86AD9">
        <w:rPr>
          <w:shd w:val="clear" w:color="auto" w:fill="FFFFFF"/>
        </w:rPr>
        <w:t xml:space="preserve"> Bureau of </w:t>
      </w:r>
      <w:proofErr w:type="spellStart"/>
      <w:r w:rsidRPr="00A86AD9">
        <w:rPr>
          <w:shd w:val="clear" w:color="auto" w:fill="FFFFFF"/>
        </w:rPr>
        <w:t>Statistics</w:t>
      </w:r>
      <w:proofErr w:type="spellEnd"/>
      <w:r w:rsidRPr="00A86AD9">
        <w:rPr>
          <w:shd w:val="clear" w:color="auto" w:fill="FFFFFF"/>
        </w:rPr>
        <w:t xml:space="preserve"> of China (2015).</w:t>
      </w:r>
    </w:p>
    <w:p w:rsidR="00BD22E0" w:rsidRDefault="00BD22E0" w:rsidP="00BD22E0">
      <w:pPr>
        <w:pStyle w:val="a1"/>
        <w:rPr>
          <w:shd w:val="clear" w:color="auto" w:fill="FFFFFF"/>
        </w:rPr>
      </w:pPr>
      <w:r>
        <w:rPr>
          <w:shd w:val="clear" w:color="auto" w:fill="FFFFFF"/>
        </w:rPr>
        <w:lastRenderedPageBreak/>
        <w:t>Si comparamos los da</w:t>
      </w:r>
      <w:r w:rsidR="001D244F">
        <w:rPr>
          <w:shd w:val="clear" w:color="auto" w:fill="FFFFFF"/>
        </w:rPr>
        <w:t>t</w:t>
      </w:r>
      <w:r>
        <w:rPr>
          <w:shd w:val="clear" w:color="auto" w:fill="FFFFFF"/>
        </w:rPr>
        <w:t>os de repartición de la población activa ocupada con los datos de repartición de la contribución al PIB, se observa que las zonas menos desarrolladas son más intensivas en mano de obra: la zona Oeste con tan sólo 19,1% del PIB emplea al 24,4% de la población; la zona Central, con 23,6% del PIB emplea al 30,5%. En cambio, la zona Este tiene una estructura laboral mucho más eficiente, pues con 45,1% de la fuerza laboral produce el 57,9% de la riqueza nacional.</w:t>
      </w:r>
    </w:p>
    <w:p w:rsidR="00BD22E0" w:rsidRDefault="00BD22E0" w:rsidP="00BD22E0">
      <w:pPr>
        <w:pStyle w:val="a1"/>
        <w:rPr>
          <w:shd w:val="clear" w:color="auto" w:fill="FFFFFF"/>
        </w:rPr>
      </w:pPr>
      <w:r>
        <w:rPr>
          <w:shd w:val="clear" w:color="auto" w:fill="FFFFFF"/>
        </w:rPr>
        <w:t xml:space="preserve">Las zonas Oeste y Central tienen amplios territorios muy poco desarrollados en los que las poblaciones rurales tienen un modelo de cultivo de subsistencia. Según los pronósticos, la modernización de las zonas rurales más atrasadas resultará en una mayor eficiencia productiva y va a provocar otro éxodo rural de </w:t>
      </w:r>
      <w:r w:rsidR="001D244F">
        <w:rPr>
          <w:shd w:val="clear" w:color="auto" w:fill="FFFFFF"/>
        </w:rPr>
        <w:t>grande envergadura</w:t>
      </w:r>
      <w:r>
        <w:rPr>
          <w:shd w:val="clear" w:color="auto" w:fill="FFFFFF"/>
        </w:rPr>
        <w:t>.</w:t>
      </w:r>
      <w:r w:rsidR="00141951">
        <w:rPr>
          <w:shd w:val="clear" w:color="auto" w:fill="FFFFFF"/>
        </w:rPr>
        <w:t xml:space="preserve"> </w:t>
      </w:r>
      <w:r>
        <w:rPr>
          <w:shd w:val="clear" w:color="auto" w:fill="FFFFFF"/>
        </w:rPr>
        <w:t xml:space="preserve">“Con tecnologías de cierta intensidad, los agricultores en China no tendrían que ser más de cincuenta millones. A partir de lo cual, resultaría un excedente de población activa </w:t>
      </w:r>
      <w:r w:rsidR="00141951">
        <w:rPr>
          <w:shd w:val="clear" w:color="auto" w:fill="FFFFFF"/>
        </w:rPr>
        <w:t>en zonas rurales de por lo menos doscientos millones” (</w:t>
      </w:r>
      <w:proofErr w:type="spellStart"/>
      <w:r w:rsidR="00141951">
        <w:rPr>
          <w:shd w:val="clear" w:color="auto" w:fill="FFFFFF"/>
        </w:rPr>
        <w:t>Tamames</w:t>
      </w:r>
      <w:proofErr w:type="spellEnd"/>
      <w:r w:rsidR="00141951">
        <w:rPr>
          <w:shd w:val="clear" w:color="auto" w:fill="FFFFFF"/>
        </w:rPr>
        <w:t xml:space="preserve"> &amp; </w:t>
      </w:r>
      <w:proofErr w:type="spellStart"/>
      <w:r w:rsidR="00141951">
        <w:rPr>
          <w:shd w:val="clear" w:color="auto" w:fill="FFFFFF"/>
        </w:rPr>
        <w:t>Debasa</w:t>
      </w:r>
      <w:proofErr w:type="spellEnd"/>
      <w:r w:rsidR="00141951">
        <w:rPr>
          <w:shd w:val="clear" w:color="auto" w:fill="FFFFFF"/>
        </w:rPr>
        <w:t>, 2013: 138)</w:t>
      </w:r>
      <w:r w:rsidR="001D244F">
        <w:rPr>
          <w:rStyle w:val="FootnoteReference"/>
          <w:shd w:val="clear" w:color="auto" w:fill="FFFFFF"/>
        </w:rPr>
        <w:footnoteReference w:id="26"/>
      </w:r>
      <w:r w:rsidR="00141951">
        <w:rPr>
          <w:shd w:val="clear" w:color="auto" w:fill="FFFFFF"/>
        </w:rPr>
        <w:t xml:space="preserve">. </w:t>
      </w:r>
    </w:p>
    <w:p w:rsidR="000B6796" w:rsidRPr="0059719F" w:rsidRDefault="00141951" w:rsidP="0059719F">
      <w:pPr>
        <w:pStyle w:val="a1"/>
        <w:rPr>
          <w:shd w:val="clear" w:color="auto" w:fill="FFFFFF"/>
        </w:rPr>
      </w:pPr>
      <w:r>
        <w:rPr>
          <w:shd w:val="clear" w:color="auto" w:fill="FFFFFF"/>
        </w:rPr>
        <w:t xml:space="preserve">Por otra parte, las zonas del Oeste tienen abundantes recursos naturales, que pueden ser la baza para un futuro desarrollo económico. Finalmente, </w:t>
      </w:r>
      <w:r w:rsidR="00A657C8">
        <w:rPr>
          <w:rFonts w:eastAsia="SimSun"/>
          <w:lang w:val="es-ES"/>
        </w:rPr>
        <w:t>para</w:t>
      </w:r>
      <w:r w:rsidR="00A657C8" w:rsidRPr="00BE615C">
        <w:rPr>
          <w:rFonts w:eastAsia="SimSun"/>
          <w:lang w:val="es-ES"/>
        </w:rPr>
        <w:t xml:space="preserve"> fomentar el desarrollo económico regional,</w:t>
      </w:r>
      <w:r>
        <w:rPr>
          <w:rFonts w:eastAsia="SimSun"/>
          <w:lang w:val="es-ES"/>
        </w:rPr>
        <w:t xml:space="preserve"> el gobierno ha tomado una serie de medidas de apoyo institucional al emp</w:t>
      </w:r>
      <w:r w:rsidR="00274041">
        <w:rPr>
          <w:rFonts w:eastAsia="SimSun"/>
          <w:lang w:val="es-ES"/>
        </w:rPr>
        <w:t>leo y a la creación de empresas.</w:t>
      </w:r>
    </w:p>
    <w:p w:rsidR="007141A4" w:rsidRPr="00F15828" w:rsidRDefault="007141A4" w:rsidP="00F15828">
      <w:pPr>
        <w:pStyle w:val="Heading2"/>
        <w:rPr>
          <w:rFonts w:cs="Times New Roman"/>
          <w:shd w:val="clear" w:color="auto" w:fill="FFFFFF"/>
          <w:lang w:val="es-ES_tradnl"/>
        </w:rPr>
      </w:pPr>
      <w:bookmarkStart w:id="35" w:name="_Toc424110947"/>
      <w:bookmarkStart w:id="36" w:name="_Toc424111227"/>
      <w:bookmarkStart w:id="37" w:name="_Toc471215305"/>
      <w:r w:rsidRPr="00881AB8">
        <w:rPr>
          <w:rFonts w:cs="Times New Roman"/>
          <w:shd w:val="clear" w:color="auto" w:fill="FFFFFF"/>
          <w:lang w:val="es-ES_tradnl"/>
        </w:rPr>
        <w:t>2.2</w:t>
      </w:r>
      <w:r w:rsidR="00F15828">
        <w:rPr>
          <w:rFonts w:cs="Times New Roman" w:hint="eastAsia"/>
          <w:shd w:val="clear" w:color="auto" w:fill="FFFFFF"/>
          <w:lang w:val="es-ES_tradnl"/>
        </w:rPr>
        <w:t>.</w:t>
      </w:r>
      <w:r w:rsidRPr="00881AB8">
        <w:rPr>
          <w:rFonts w:cs="Times New Roman"/>
          <w:shd w:val="clear" w:color="auto" w:fill="FFFFFF"/>
          <w:lang w:val="es-ES_tradnl"/>
        </w:rPr>
        <w:t xml:space="preserve"> </w:t>
      </w:r>
      <w:r w:rsidR="00D24EAE">
        <w:rPr>
          <w:rFonts w:cs="Times New Roman"/>
          <w:shd w:val="clear" w:color="auto" w:fill="FFFFFF"/>
          <w:lang w:val="es-ES_tradnl"/>
        </w:rPr>
        <w:t>Configuración y</w:t>
      </w:r>
      <w:r w:rsidRPr="00881AB8">
        <w:rPr>
          <w:rFonts w:cs="Times New Roman"/>
          <w:shd w:val="clear" w:color="auto" w:fill="FFFFFF"/>
          <w:lang w:val="es-ES_tradnl"/>
        </w:rPr>
        <w:t xml:space="preserve"> evolución del </w:t>
      </w:r>
      <w:r w:rsidR="00C00D5B">
        <w:rPr>
          <w:rFonts w:cs="Times New Roman"/>
          <w:shd w:val="clear" w:color="auto" w:fill="FFFFFF"/>
          <w:lang w:val="es-ES_tradnl"/>
        </w:rPr>
        <w:t>mercado laboral</w:t>
      </w:r>
      <w:r w:rsidRPr="00881AB8">
        <w:rPr>
          <w:rFonts w:cs="Times New Roman"/>
          <w:shd w:val="clear" w:color="auto" w:fill="FFFFFF"/>
          <w:lang w:val="es-ES_tradnl"/>
        </w:rPr>
        <w:t xml:space="preserve"> de China</w:t>
      </w:r>
      <w:bookmarkEnd w:id="35"/>
      <w:bookmarkEnd w:id="36"/>
      <w:bookmarkEnd w:id="37"/>
      <w:r w:rsidRPr="00881AB8">
        <w:rPr>
          <w:rFonts w:cs="Times New Roman"/>
          <w:shd w:val="clear" w:color="auto" w:fill="FFFFFF"/>
          <w:lang w:val="es-ES_tradnl"/>
        </w:rPr>
        <w:t xml:space="preserve"> </w:t>
      </w:r>
    </w:p>
    <w:p w:rsidR="00F15828" w:rsidRPr="00881AB8" w:rsidRDefault="007141A4" w:rsidP="00AE45C6">
      <w:pPr>
        <w:pStyle w:val="a1"/>
        <w:rPr>
          <w:shd w:val="clear" w:color="auto" w:fill="FFFFFF"/>
        </w:rPr>
      </w:pPr>
      <w:r w:rsidRPr="00881AB8">
        <w:rPr>
          <w:shd w:val="clear" w:color="auto" w:fill="FFFFFF"/>
        </w:rPr>
        <w:t xml:space="preserve">Desde 1949 </w:t>
      </w:r>
      <w:r w:rsidR="00A74D68">
        <w:rPr>
          <w:shd w:val="clear" w:color="auto" w:fill="FFFFFF"/>
        </w:rPr>
        <w:t xml:space="preserve">hasta la fecha, la estructura del mercado laboral </w:t>
      </w:r>
      <w:r w:rsidRPr="00881AB8">
        <w:rPr>
          <w:shd w:val="clear" w:color="auto" w:fill="FFFFFF"/>
        </w:rPr>
        <w:t>de China</w:t>
      </w:r>
      <w:r w:rsidR="00A74D68">
        <w:rPr>
          <w:shd w:val="clear" w:color="auto" w:fill="FFFFFF"/>
        </w:rPr>
        <w:t xml:space="preserve"> ha sufrido grandes cambios</w:t>
      </w:r>
      <w:r w:rsidR="00424323">
        <w:rPr>
          <w:shd w:val="clear" w:color="auto" w:fill="FFFFFF"/>
        </w:rPr>
        <w:t>.</w:t>
      </w:r>
      <w:r w:rsidR="00A74D68">
        <w:rPr>
          <w:shd w:val="clear" w:color="auto" w:fill="FFFFFF"/>
        </w:rPr>
        <w:t xml:space="preserve"> Hasta 1978, el modelo económico se basó exclusivamente en la planificación estatal: en este contexto,</w:t>
      </w:r>
      <w:r w:rsidR="00281B63">
        <w:rPr>
          <w:shd w:val="clear" w:color="auto" w:fill="FFFFFF"/>
        </w:rPr>
        <w:t xml:space="preserve"> la asignación de</w:t>
      </w:r>
      <w:r w:rsidR="00A74D68">
        <w:rPr>
          <w:shd w:val="clear" w:color="auto" w:fill="FFFFFF"/>
        </w:rPr>
        <w:t xml:space="preserve"> </w:t>
      </w:r>
      <w:r w:rsidR="00281B63">
        <w:rPr>
          <w:shd w:val="clear" w:color="auto" w:fill="FFFFFF"/>
        </w:rPr>
        <w:t>todos los factores de producción, incluso el trabajo, resultaban de decisiones administrativas</w:t>
      </w:r>
      <w:r w:rsidR="00BB6BD6" w:rsidRPr="00881AB8">
        <w:rPr>
          <w:shd w:val="clear" w:color="auto" w:fill="FFFFFF"/>
        </w:rPr>
        <w:t>.</w:t>
      </w:r>
      <w:r w:rsidR="00A74D68">
        <w:rPr>
          <w:shd w:val="clear" w:color="auto" w:fill="FFFFFF"/>
        </w:rPr>
        <w:t xml:space="preserve"> A partir de 1988, se reconoció el derecho a la propied</w:t>
      </w:r>
      <w:r w:rsidR="00281B63">
        <w:rPr>
          <w:shd w:val="clear" w:color="auto" w:fill="FFFFFF"/>
        </w:rPr>
        <w:t xml:space="preserve">ad privada en China, y a partir de 2001, China entra en la OMC. Empieza entonces a dotarse de una legislación adecuada para el nuevo mercado laboral que aparece a consecuencia de estas reformas profundas en el modelo </w:t>
      </w:r>
      <w:r w:rsidR="00281B63">
        <w:rPr>
          <w:shd w:val="clear" w:color="auto" w:fill="FFFFFF"/>
        </w:rPr>
        <w:lastRenderedPageBreak/>
        <w:t>de producción.</w:t>
      </w:r>
      <w:r w:rsidR="0059719F">
        <w:rPr>
          <w:shd w:val="clear" w:color="auto" w:fill="FFFFFF"/>
        </w:rPr>
        <w:t xml:space="preserve"> A partir del año 2004, la legislación estipula un salario mínimo, fijado por las administraciones locales. </w:t>
      </w:r>
    </w:p>
    <w:p w:rsidR="005A62D0" w:rsidRPr="00486636" w:rsidRDefault="00DF5476" w:rsidP="00486636">
      <w:pPr>
        <w:pStyle w:val="Heading3"/>
        <w:rPr>
          <w:rFonts w:eastAsiaTheme="minorEastAsia" w:cs="Times New Roman"/>
          <w:shd w:val="clear" w:color="auto" w:fill="FFFFFF"/>
          <w:lang w:val="es-ES_tradnl"/>
        </w:rPr>
      </w:pPr>
      <w:bookmarkStart w:id="38" w:name="_Toc424110948"/>
      <w:bookmarkStart w:id="39" w:name="_Toc424111228"/>
      <w:bookmarkStart w:id="40" w:name="_Toc471215306"/>
      <w:r w:rsidRPr="00061BB4">
        <w:rPr>
          <w:rFonts w:cs="Times New Roman"/>
          <w:shd w:val="clear" w:color="auto" w:fill="FFFFFF"/>
          <w:lang w:val="es-ES_tradnl"/>
        </w:rPr>
        <w:t>2.2.1</w:t>
      </w:r>
      <w:r w:rsidR="00F15828" w:rsidRPr="00061BB4">
        <w:rPr>
          <w:rFonts w:eastAsiaTheme="minorEastAsia" w:cs="Times New Roman" w:hint="eastAsia"/>
          <w:shd w:val="clear" w:color="auto" w:fill="FFFFFF"/>
          <w:lang w:val="es-ES_tradnl"/>
        </w:rPr>
        <w:t>.</w:t>
      </w:r>
      <w:r w:rsidRPr="00061BB4">
        <w:rPr>
          <w:rFonts w:cs="Times New Roman"/>
          <w:shd w:val="clear" w:color="auto" w:fill="FFFFFF"/>
          <w:lang w:val="es-ES_tradnl"/>
        </w:rPr>
        <w:t xml:space="preserve"> </w:t>
      </w:r>
      <w:bookmarkEnd w:id="38"/>
      <w:bookmarkEnd w:id="39"/>
      <w:r w:rsidR="00281B63">
        <w:rPr>
          <w:rFonts w:cs="Times New Roman"/>
          <w:shd w:val="clear" w:color="auto" w:fill="FFFFFF"/>
          <w:lang w:val="es-ES_tradnl"/>
        </w:rPr>
        <w:t>Perspectiva histórica</w:t>
      </w:r>
      <w:bookmarkEnd w:id="40"/>
    </w:p>
    <w:p w:rsidR="0059719F" w:rsidRDefault="00D432BD" w:rsidP="00D432BD">
      <w:pPr>
        <w:pStyle w:val="a1"/>
      </w:pPr>
      <w:r>
        <w:t xml:space="preserve">La República Popular de China nació en el año 1949 después de la guerra contra los invasores japoneses y la guerra civil contra el Kuomintang. En su fundamento, la República Popular de China se </w:t>
      </w:r>
      <w:r w:rsidR="00810182">
        <w:t>establece según el modelo de economía marxista planificada. En el año 1952, el Gobierno aprueba el Primer Plan Quinquenal y empieza un programa de eliminación de la propiedad privada. En el año 1957, se considera que toda la economía rural y gran parte de la economía urbana está colectivizada, con la abolición de cualquier forma de propiedad privada. En este año también se promulga la interdicción de cambiar de unidad de producción o de Comuna Popular por parte de los trabajadores y campesinos. El objetivo es acelerar la transición hacia el socialismo real. En este contexto, se puede afirmar que el mercado laboral es prácticamente inexistente en China en el periodo de aplicación de la economía socialista</w:t>
      </w:r>
      <w:r w:rsidR="00424323">
        <w:t>, puesto que los trabajadores</w:t>
      </w:r>
      <w:r w:rsidR="00810182">
        <w:t xml:space="preserve"> tienen opciones muy limitadas para sus actividades profesionales. </w:t>
      </w:r>
      <w:r w:rsidR="00C244D5">
        <w:t xml:space="preserve">Como lo señalan </w:t>
      </w:r>
      <w:proofErr w:type="spellStart"/>
      <w:r w:rsidR="002B0217">
        <w:t>Shi</w:t>
      </w:r>
      <w:proofErr w:type="spellEnd"/>
      <w:r w:rsidR="002B0217">
        <w:t xml:space="preserve"> &amp; Sato</w:t>
      </w:r>
      <w:r w:rsidR="00C244D5" w:rsidRPr="00C244D5">
        <w:t xml:space="preserve"> </w:t>
      </w:r>
      <w:r w:rsidR="00C244D5">
        <w:t>(</w:t>
      </w:r>
      <w:r w:rsidR="002B0217">
        <w:t>2006)</w:t>
      </w:r>
      <w:r w:rsidR="002B0217">
        <w:rPr>
          <w:rStyle w:val="FootnoteReference"/>
        </w:rPr>
        <w:footnoteReference w:id="27"/>
      </w:r>
      <w:r w:rsidR="00C244D5">
        <w:t xml:space="preserve">, durante todo este periodo hasta los años ochenta del siglo XX, los salarios estaban determinados por decisiones administrativas centrales y la inmensa mayoría de los empleados no tenían la posibilidad ni de cambiar de empresa ni de cambiar de ciudad de residencia. </w:t>
      </w:r>
    </w:p>
    <w:p w:rsidR="00D432BD" w:rsidRDefault="00810182" w:rsidP="00D432BD">
      <w:pPr>
        <w:pStyle w:val="a1"/>
      </w:pPr>
      <w:r>
        <w:t xml:space="preserve">A partir de las reformas de apertura y modernización emprendidas por </w:t>
      </w:r>
      <w:proofErr w:type="spellStart"/>
      <w:r>
        <w:t>Deng</w:t>
      </w:r>
      <w:proofErr w:type="spellEnd"/>
      <w:r>
        <w:t xml:space="preserve"> </w:t>
      </w:r>
      <w:proofErr w:type="spellStart"/>
      <w:r>
        <w:t>Xiaoping</w:t>
      </w:r>
      <w:proofErr w:type="spellEnd"/>
      <w:r>
        <w:t xml:space="preserve"> en 1978, empieza a emerger un mercado laboral, primero en cierta indefinición legal. </w:t>
      </w:r>
      <w:proofErr w:type="spellStart"/>
      <w:r w:rsidR="00424323">
        <w:t>Shi</w:t>
      </w:r>
      <w:proofErr w:type="spellEnd"/>
      <w:r w:rsidR="00424323">
        <w:t xml:space="preserve"> &amp; Sato (2006</w:t>
      </w:r>
      <w:r w:rsidR="002B0217">
        <w:t>)</w:t>
      </w:r>
      <w:r w:rsidR="002B0217">
        <w:rPr>
          <w:rStyle w:val="FootnoteReference"/>
        </w:rPr>
        <w:footnoteReference w:id="28"/>
      </w:r>
      <w:r w:rsidR="00424323">
        <w:t xml:space="preserve"> describen esta transición como un proceso de mercantilización de la actividad laboral, que desemboca en la creación de un mercado laboral de facto. </w:t>
      </w:r>
      <w:r>
        <w:t>En el año 198</w:t>
      </w:r>
      <w:r w:rsidR="006E1AC4">
        <w:t>8</w:t>
      </w:r>
      <w:r w:rsidR="00424323">
        <w:t xml:space="preserve">, una enmienda a </w:t>
      </w:r>
      <w:r>
        <w:t>la Constitución china reconoce por primera vez el derecho a la propiedad privada.</w:t>
      </w:r>
      <w:r w:rsidR="006E1AC4">
        <w:t xml:space="preserve"> Este nuevo marco legal, permitió el desarrollo de las empresas </w:t>
      </w:r>
      <w:r w:rsidR="006E1AC4">
        <w:lastRenderedPageBreak/>
        <w:t xml:space="preserve">privadas y la configuración de un nuevo mercado laboral que ya no dependía únicamente del </w:t>
      </w:r>
      <w:r w:rsidR="0059719F">
        <w:t>Estado (</w:t>
      </w:r>
      <w:proofErr w:type="spellStart"/>
      <w:r w:rsidR="0059719F">
        <w:t>Shi</w:t>
      </w:r>
      <w:proofErr w:type="spellEnd"/>
      <w:r w:rsidR="0059719F">
        <w:t>, 2014)</w:t>
      </w:r>
      <w:r w:rsidR="00C12DA0">
        <w:rPr>
          <w:rStyle w:val="FootnoteReference"/>
        </w:rPr>
        <w:footnoteReference w:id="29"/>
      </w:r>
      <w:r w:rsidR="0059719F">
        <w:t xml:space="preserve">. </w:t>
      </w:r>
      <w:r w:rsidR="00C12DA0">
        <w:t>En el año 1997 se produce un ajuste importante en las plantillas de las empresas públicas que favorece la consolidación del mercado laboral `privada. Entre 1997 y 1999, 24 millones de funcionarios pierden su empleo, lo que representaba casi un cuarto de la fuerza laboral de entonces (</w:t>
      </w:r>
      <w:proofErr w:type="spellStart"/>
      <w:r w:rsidR="00C12DA0">
        <w:t>Shi</w:t>
      </w:r>
      <w:proofErr w:type="spellEnd"/>
      <w:r w:rsidR="00C12DA0">
        <w:t xml:space="preserve"> &amp; Sato, 2006)</w:t>
      </w:r>
      <w:r w:rsidR="00C12DA0">
        <w:rPr>
          <w:rStyle w:val="FootnoteReference"/>
        </w:rPr>
        <w:footnoteReference w:id="30"/>
      </w:r>
      <w:r w:rsidR="00C12DA0">
        <w:t xml:space="preserve">. </w:t>
      </w:r>
      <w:r w:rsidR="0059719F">
        <w:t xml:space="preserve">Con la entrada en la OMC en el año 2001, China acelera el proceso de adaptación a una economía de tipo mixto: sin abandonar los Planes Quinquenales de planificación estatal, se crean estructuras legales para facilitar la economía de mercado y entre ellas, la consolidación de un mercado laboral que refleje realmente los costes de producción y donde trabajadores y empresarios puedan negociar los salarios. En el año 2004, se estableció la legislación relativa al salario mínimo. A diferencia de España o de los demás países europeos en los que este tipo de legislación es vigente, no es el Estado central quien fija el importe del salario mínimo, sino que son las administraciones locales. Como resultado, hay una gran disparidad entre el coste del salario mensual mínimo de una ciudad a otra. </w:t>
      </w:r>
      <w:proofErr w:type="spellStart"/>
      <w:r w:rsidR="00E54245">
        <w:t>Huang</w:t>
      </w:r>
      <w:proofErr w:type="spellEnd"/>
      <w:r w:rsidR="005D0434">
        <w:t xml:space="preserve">, </w:t>
      </w:r>
      <w:proofErr w:type="spellStart"/>
      <w:r w:rsidR="005D0434">
        <w:t>Loungany</w:t>
      </w:r>
      <w:proofErr w:type="spellEnd"/>
      <w:r w:rsidR="005D0434">
        <w:t xml:space="preserve"> &amp; Wang (2014)</w:t>
      </w:r>
      <w:r w:rsidR="00C12DA0">
        <w:rPr>
          <w:rStyle w:val="FootnoteReference"/>
        </w:rPr>
        <w:footnoteReference w:id="31"/>
      </w:r>
      <w:r w:rsidR="005D0434">
        <w:t xml:space="preserve"> han realizado un estudio sobre el tema. Con datos relativos al año 2010, encuentran que el salario mínimo real más alto se encuentra en la ciudad</w:t>
      </w:r>
      <w:r w:rsidR="005D0CC4">
        <w:t xml:space="preserve"> de </w:t>
      </w:r>
      <w:proofErr w:type="spellStart"/>
      <w:r w:rsidR="005D0CC4">
        <w:t>Shenz</w:t>
      </w:r>
      <w:r w:rsidR="005D0434">
        <w:t>hen</w:t>
      </w:r>
      <w:proofErr w:type="spellEnd"/>
      <w:r w:rsidR="005D0434">
        <w:t xml:space="preserve">, con 1.100 RMB al mes, y el más bajo en la ciudad de Fuzhou, con 326 RMB al mes. </w:t>
      </w:r>
    </w:p>
    <w:p w:rsidR="00E03B67" w:rsidRDefault="00E03B67" w:rsidP="00D432BD">
      <w:pPr>
        <w:pStyle w:val="a1"/>
      </w:pPr>
      <w:proofErr w:type="spellStart"/>
      <w:r>
        <w:t>Meng</w:t>
      </w:r>
      <w:proofErr w:type="spellEnd"/>
      <w:r>
        <w:t xml:space="preserve">, </w:t>
      </w:r>
      <w:proofErr w:type="spellStart"/>
      <w:r>
        <w:t>Shen</w:t>
      </w:r>
      <w:proofErr w:type="spellEnd"/>
      <w:r>
        <w:t xml:space="preserve"> &amp; </w:t>
      </w:r>
      <w:proofErr w:type="spellStart"/>
      <w:r>
        <w:t>Xue</w:t>
      </w:r>
      <w:proofErr w:type="spellEnd"/>
      <w:r>
        <w:t xml:space="preserve"> (2014)</w:t>
      </w:r>
      <w:r w:rsidR="00C12DA0">
        <w:rPr>
          <w:rStyle w:val="FootnoteReference"/>
        </w:rPr>
        <w:footnoteReference w:id="32"/>
      </w:r>
      <w:r>
        <w:t xml:space="preserve">, estiman que desde los años noventa del siglo XX, el salario medio de los trabajadores masculinos urbanos ha crecido un 350%. Estos autores atribuyen este notable incremento al cambio de modelo económico que ha evolucionado desde un sistema de planificación estatal hacia un sistema de mercado, con la creación de un mercado de trabajo que permite aprovechar con más eficiencia la capacidad productiva de la mano de obra del país. </w:t>
      </w:r>
    </w:p>
    <w:p w:rsidR="005D0CC4" w:rsidRDefault="005D0CC4" w:rsidP="005D0CC4">
      <w:pPr>
        <w:pStyle w:val="Heading3"/>
        <w:numPr>
          <w:ilvl w:val="2"/>
          <w:numId w:val="43"/>
        </w:numPr>
      </w:pPr>
      <w:bookmarkStart w:id="41" w:name="_Toc471215307"/>
      <w:r>
        <w:lastRenderedPageBreak/>
        <w:t>Evolución del desempleo</w:t>
      </w:r>
      <w:bookmarkEnd w:id="41"/>
    </w:p>
    <w:p w:rsidR="005D0CC4" w:rsidRDefault="005D0CC4" w:rsidP="00D432BD">
      <w:pPr>
        <w:pStyle w:val="a1"/>
      </w:pPr>
      <w:r>
        <w:t xml:space="preserve">La tasa de desempleo es uno de los indicadores macroeconómicos más importantes. </w:t>
      </w:r>
      <w:r w:rsidR="00024159">
        <w:t xml:space="preserve">Conforme al modelo de la Ley de </w:t>
      </w:r>
      <w:proofErr w:type="spellStart"/>
      <w:r w:rsidR="00024159">
        <w:t>Okun</w:t>
      </w:r>
      <w:proofErr w:type="spellEnd"/>
      <w:r w:rsidR="00024159">
        <w:t xml:space="preserve">, China ostenta una buena tasa de crecimiento y una tasa de desempleo baja. </w:t>
      </w:r>
      <w:r>
        <w:t xml:space="preserve">La Figura </w:t>
      </w:r>
      <w:r w:rsidR="00274041">
        <w:t>5</w:t>
      </w:r>
      <w:r>
        <w:t xml:space="preserve"> muestra la ev</w:t>
      </w:r>
      <w:r w:rsidR="00024159">
        <w:t>o</w:t>
      </w:r>
      <w:r>
        <w:t>luci</w:t>
      </w:r>
      <w:r w:rsidR="00024159">
        <w:t xml:space="preserve">ón del desempleo en China en los últimos años. </w:t>
      </w:r>
      <w:r>
        <w:t xml:space="preserve"> </w:t>
      </w:r>
    </w:p>
    <w:tbl>
      <w:tblPr>
        <w:tblStyle w:val="TableGrid"/>
        <w:tblW w:w="7463" w:type="dxa"/>
        <w:tblLayout w:type="fixed"/>
        <w:tblLook w:val="04A0" w:firstRow="1" w:lastRow="0" w:firstColumn="1" w:lastColumn="0" w:noHBand="0" w:noVBand="1"/>
      </w:tblPr>
      <w:tblGrid>
        <w:gridCol w:w="1951"/>
        <w:gridCol w:w="1102"/>
        <w:gridCol w:w="1103"/>
        <w:gridCol w:w="1102"/>
        <w:gridCol w:w="1103"/>
        <w:gridCol w:w="1102"/>
      </w:tblGrid>
      <w:tr w:rsidR="0000305D" w:rsidRPr="003E025C" w:rsidTr="0000305D">
        <w:tc>
          <w:tcPr>
            <w:tcW w:w="1951" w:type="dxa"/>
            <w:vAlign w:val="center"/>
          </w:tcPr>
          <w:p w:rsidR="0000305D" w:rsidRPr="003E025C" w:rsidRDefault="0000305D" w:rsidP="008B2AAF">
            <w:pPr>
              <w:pStyle w:val="a1"/>
              <w:spacing w:after="0" w:line="240" w:lineRule="auto"/>
              <w:jc w:val="left"/>
              <w:rPr>
                <w:b/>
                <w:sz w:val="22"/>
              </w:rPr>
            </w:pPr>
            <w:r w:rsidRPr="003E025C">
              <w:rPr>
                <w:b/>
                <w:sz w:val="22"/>
              </w:rPr>
              <w:t>Año</w:t>
            </w:r>
          </w:p>
        </w:tc>
        <w:tc>
          <w:tcPr>
            <w:tcW w:w="1102" w:type="dxa"/>
            <w:vAlign w:val="center"/>
          </w:tcPr>
          <w:p w:rsidR="0000305D" w:rsidRPr="003E025C" w:rsidRDefault="0000305D" w:rsidP="0000305D">
            <w:pPr>
              <w:pStyle w:val="a1"/>
              <w:spacing w:after="0" w:line="240" w:lineRule="auto"/>
              <w:jc w:val="left"/>
              <w:rPr>
                <w:b/>
                <w:sz w:val="22"/>
              </w:rPr>
            </w:pPr>
            <w:r w:rsidRPr="003E025C">
              <w:rPr>
                <w:b/>
                <w:sz w:val="22"/>
              </w:rPr>
              <w:t>20</w:t>
            </w:r>
            <w:r>
              <w:rPr>
                <w:b/>
                <w:sz w:val="22"/>
              </w:rPr>
              <w:t>09</w:t>
            </w:r>
          </w:p>
        </w:tc>
        <w:tc>
          <w:tcPr>
            <w:tcW w:w="1103" w:type="dxa"/>
          </w:tcPr>
          <w:p w:rsidR="0000305D" w:rsidRPr="003E025C" w:rsidRDefault="0000305D" w:rsidP="008B2AAF">
            <w:pPr>
              <w:pStyle w:val="a1"/>
              <w:spacing w:after="0" w:line="240" w:lineRule="auto"/>
              <w:jc w:val="left"/>
              <w:rPr>
                <w:b/>
                <w:sz w:val="22"/>
              </w:rPr>
            </w:pPr>
            <w:r>
              <w:rPr>
                <w:b/>
                <w:sz w:val="22"/>
              </w:rPr>
              <w:t>2010</w:t>
            </w:r>
          </w:p>
        </w:tc>
        <w:tc>
          <w:tcPr>
            <w:tcW w:w="1102" w:type="dxa"/>
            <w:vAlign w:val="center"/>
          </w:tcPr>
          <w:p w:rsidR="0000305D" w:rsidRPr="003E025C" w:rsidRDefault="0000305D" w:rsidP="008B2AAF">
            <w:pPr>
              <w:pStyle w:val="a1"/>
              <w:spacing w:after="0" w:line="240" w:lineRule="auto"/>
              <w:jc w:val="left"/>
              <w:rPr>
                <w:b/>
                <w:sz w:val="22"/>
              </w:rPr>
            </w:pPr>
            <w:r>
              <w:rPr>
                <w:b/>
                <w:sz w:val="22"/>
              </w:rPr>
              <w:t>2011</w:t>
            </w:r>
          </w:p>
        </w:tc>
        <w:tc>
          <w:tcPr>
            <w:tcW w:w="1103" w:type="dxa"/>
            <w:vAlign w:val="center"/>
          </w:tcPr>
          <w:p w:rsidR="0000305D" w:rsidRPr="003E025C" w:rsidRDefault="0000305D" w:rsidP="0000305D">
            <w:pPr>
              <w:pStyle w:val="a1"/>
              <w:spacing w:after="0" w:line="240" w:lineRule="auto"/>
              <w:jc w:val="left"/>
              <w:rPr>
                <w:b/>
                <w:sz w:val="22"/>
              </w:rPr>
            </w:pPr>
            <w:r>
              <w:rPr>
                <w:b/>
                <w:sz w:val="22"/>
              </w:rPr>
              <w:t>2012</w:t>
            </w:r>
          </w:p>
        </w:tc>
        <w:tc>
          <w:tcPr>
            <w:tcW w:w="1102" w:type="dxa"/>
            <w:vAlign w:val="center"/>
          </w:tcPr>
          <w:p w:rsidR="0000305D" w:rsidRPr="003E025C" w:rsidRDefault="0000305D" w:rsidP="008B2AAF">
            <w:pPr>
              <w:pStyle w:val="a1"/>
              <w:spacing w:after="0" w:line="240" w:lineRule="auto"/>
              <w:jc w:val="left"/>
              <w:rPr>
                <w:b/>
                <w:sz w:val="22"/>
              </w:rPr>
            </w:pPr>
            <w:r>
              <w:rPr>
                <w:b/>
                <w:sz w:val="22"/>
              </w:rPr>
              <w:t>2013</w:t>
            </w:r>
          </w:p>
        </w:tc>
      </w:tr>
      <w:tr w:rsidR="0000305D" w:rsidRPr="003E025C" w:rsidTr="0000305D">
        <w:tc>
          <w:tcPr>
            <w:tcW w:w="1951" w:type="dxa"/>
            <w:vAlign w:val="center"/>
          </w:tcPr>
          <w:p w:rsidR="0000305D" w:rsidRPr="003E025C" w:rsidRDefault="0000305D" w:rsidP="008B2AAF">
            <w:pPr>
              <w:pStyle w:val="a1"/>
              <w:spacing w:after="0" w:line="240" w:lineRule="auto"/>
              <w:jc w:val="left"/>
              <w:rPr>
                <w:sz w:val="22"/>
              </w:rPr>
            </w:pPr>
            <w:r w:rsidRPr="003E025C">
              <w:rPr>
                <w:sz w:val="22"/>
              </w:rPr>
              <w:t>Tasa de desempleo (China)</w:t>
            </w:r>
          </w:p>
        </w:tc>
        <w:tc>
          <w:tcPr>
            <w:tcW w:w="1102" w:type="dxa"/>
            <w:vAlign w:val="center"/>
          </w:tcPr>
          <w:p w:rsidR="0000305D" w:rsidRPr="003E025C" w:rsidRDefault="0000305D" w:rsidP="008B2AAF">
            <w:pPr>
              <w:pStyle w:val="a1"/>
              <w:spacing w:after="0" w:line="240" w:lineRule="auto"/>
              <w:jc w:val="left"/>
              <w:rPr>
                <w:sz w:val="22"/>
              </w:rPr>
            </w:pPr>
            <w:r>
              <w:rPr>
                <w:sz w:val="22"/>
              </w:rPr>
              <w:t>5,3%</w:t>
            </w:r>
          </w:p>
        </w:tc>
        <w:tc>
          <w:tcPr>
            <w:tcW w:w="1103" w:type="dxa"/>
            <w:vAlign w:val="center"/>
          </w:tcPr>
          <w:p w:rsidR="0000305D" w:rsidRPr="003E025C" w:rsidRDefault="0000305D" w:rsidP="0000305D">
            <w:pPr>
              <w:pStyle w:val="a1"/>
              <w:spacing w:after="0" w:line="240" w:lineRule="auto"/>
              <w:jc w:val="left"/>
              <w:rPr>
                <w:sz w:val="22"/>
              </w:rPr>
            </w:pPr>
            <w:r>
              <w:rPr>
                <w:sz w:val="22"/>
              </w:rPr>
              <w:t>4,3%</w:t>
            </w:r>
          </w:p>
        </w:tc>
        <w:tc>
          <w:tcPr>
            <w:tcW w:w="1102" w:type="dxa"/>
            <w:vAlign w:val="center"/>
          </w:tcPr>
          <w:p w:rsidR="0000305D" w:rsidRPr="003E025C" w:rsidRDefault="0000305D" w:rsidP="0000305D">
            <w:pPr>
              <w:pStyle w:val="a1"/>
              <w:spacing w:after="0" w:line="240" w:lineRule="auto"/>
              <w:jc w:val="left"/>
              <w:rPr>
                <w:sz w:val="22"/>
              </w:rPr>
            </w:pPr>
            <w:r>
              <w:rPr>
                <w:sz w:val="22"/>
              </w:rPr>
              <w:t>3,4%</w:t>
            </w:r>
          </w:p>
        </w:tc>
        <w:tc>
          <w:tcPr>
            <w:tcW w:w="1103" w:type="dxa"/>
            <w:vAlign w:val="center"/>
          </w:tcPr>
          <w:p w:rsidR="0000305D" w:rsidRPr="003E025C" w:rsidRDefault="0000305D" w:rsidP="0000305D">
            <w:pPr>
              <w:pStyle w:val="a1"/>
              <w:spacing w:after="0" w:line="240" w:lineRule="auto"/>
              <w:jc w:val="left"/>
              <w:rPr>
                <w:sz w:val="22"/>
              </w:rPr>
            </w:pPr>
            <w:r>
              <w:rPr>
                <w:sz w:val="22"/>
              </w:rPr>
              <w:t>3,3%</w:t>
            </w:r>
          </w:p>
        </w:tc>
        <w:tc>
          <w:tcPr>
            <w:tcW w:w="1102" w:type="dxa"/>
            <w:vAlign w:val="center"/>
          </w:tcPr>
          <w:p w:rsidR="0000305D" w:rsidRPr="003E025C" w:rsidRDefault="0000305D" w:rsidP="000F5D3A">
            <w:pPr>
              <w:pStyle w:val="a1"/>
              <w:spacing w:after="0" w:line="240" w:lineRule="auto"/>
              <w:jc w:val="left"/>
              <w:rPr>
                <w:sz w:val="22"/>
              </w:rPr>
            </w:pPr>
            <w:r>
              <w:rPr>
                <w:sz w:val="22"/>
              </w:rPr>
              <w:t>3,4%</w:t>
            </w:r>
          </w:p>
        </w:tc>
      </w:tr>
    </w:tbl>
    <w:p w:rsidR="003A628D" w:rsidRDefault="003A628D" w:rsidP="00D432BD">
      <w:pPr>
        <w:pStyle w:val="a1"/>
      </w:pPr>
    </w:p>
    <w:p w:rsidR="00024159" w:rsidRDefault="00024159" w:rsidP="00024159">
      <w:pPr>
        <w:pStyle w:val="a3"/>
        <w:rPr>
          <w:shd w:val="clear" w:color="auto" w:fill="FFFFFF"/>
        </w:rPr>
      </w:pPr>
      <w:r>
        <w:rPr>
          <w:shd w:val="clear" w:color="auto" w:fill="FFFFFF"/>
        </w:rPr>
        <w:t xml:space="preserve">Figura </w:t>
      </w:r>
      <w:r w:rsidR="00B57AAA">
        <w:rPr>
          <w:shd w:val="clear" w:color="auto" w:fill="FFFFFF"/>
        </w:rPr>
        <w:t>5</w:t>
      </w:r>
      <w:r>
        <w:rPr>
          <w:shd w:val="clear" w:color="auto" w:fill="FFFFFF"/>
        </w:rPr>
        <w:t xml:space="preserve">: Tasa de desempleo en China </w:t>
      </w:r>
    </w:p>
    <w:p w:rsidR="00024159" w:rsidRDefault="00024159" w:rsidP="00024159">
      <w:pPr>
        <w:pStyle w:val="a5"/>
        <w:rPr>
          <w:shd w:val="clear" w:color="auto" w:fill="FFFFFF"/>
        </w:rPr>
      </w:pPr>
      <w:r w:rsidRPr="00E178EF">
        <w:rPr>
          <w:noProof/>
          <w:lang w:val="es-ES" w:eastAsia="es-ES"/>
        </w:rPr>
        <w:drawing>
          <wp:inline distT="0" distB="0" distL="0" distR="0" wp14:anchorId="0649D158" wp14:editId="58F0D863">
            <wp:extent cx="5276850" cy="2743200"/>
            <wp:effectExtent l="0" t="0" r="19050" b="19050"/>
            <wp:docPr id="1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24159" w:rsidRPr="00E40089" w:rsidRDefault="00024159" w:rsidP="00024159">
      <w:pPr>
        <w:pStyle w:val="a6"/>
      </w:pPr>
      <w:r w:rsidRPr="005D1942">
        <w:t xml:space="preserve">Fuente: Elaboración propia a partir de los datos </w:t>
      </w:r>
      <w:r>
        <w:t xml:space="preserve">de </w:t>
      </w:r>
      <w:proofErr w:type="spellStart"/>
      <w:r w:rsidRPr="003521F0">
        <w:t>National</w:t>
      </w:r>
      <w:proofErr w:type="spellEnd"/>
      <w:r w:rsidRPr="003521F0">
        <w:t xml:space="preserve"> Burea</w:t>
      </w:r>
      <w:r>
        <w:t xml:space="preserve">u of </w:t>
      </w:r>
      <w:proofErr w:type="spellStart"/>
      <w:r>
        <w:t>Statistics</w:t>
      </w:r>
      <w:proofErr w:type="spellEnd"/>
      <w:r>
        <w:t xml:space="preserve"> of China (2015).</w:t>
      </w:r>
    </w:p>
    <w:p w:rsidR="003A628D" w:rsidRDefault="003A628D" w:rsidP="003A628D">
      <w:pPr>
        <w:pStyle w:val="a1"/>
      </w:pPr>
      <w:r>
        <w:t xml:space="preserve">Como se puede apreciar con los datos del gráfico, la tasa de paro ha disminuido de manera significativa en los últimos años en China, pasando de 5,3% en el año 2009 a 3,4% en el año 2013. Esto significa que los trabajadores tienen un mayor nivel de negociación a la hora de encontrar un trabajo, puesto que la oferta es muy importante. Este factor contribuye en gran medida al aumento de los salarios. </w:t>
      </w:r>
    </w:p>
    <w:p w:rsidR="00AD35BD" w:rsidRDefault="00024159" w:rsidP="003A628D">
      <w:pPr>
        <w:pStyle w:val="a0"/>
      </w:pPr>
      <w:r>
        <w:lastRenderedPageBreak/>
        <w:t xml:space="preserve">A continuación, la Figura </w:t>
      </w:r>
      <w:r w:rsidR="00274041">
        <w:t>6</w:t>
      </w:r>
      <w:r>
        <w:t xml:space="preserve"> muestra la tasa de desempleo del año 2013 en las principales</w:t>
      </w:r>
      <w:r w:rsidR="00AE45C6">
        <w:t xml:space="preserve"> provincias</w:t>
      </w:r>
      <w:r>
        <w:t xml:space="preserve"> de China</w:t>
      </w:r>
      <w:r w:rsidR="00AE45C6">
        <w:t xml:space="preserve"> (las ciudades Beijing, </w:t>
      </w:r>
      <w:r w:rsidR="003A628D">
        <w:t>Shanghái</w:t>
      </w:r>
      <w:r w:rsidR="00AE45C6">
        <w:t>, Chongqing cuentan como unidades administrativas regionales)</w:t>
      </w:r>
      <w:r w:rsidR="007D1E0D">
        <w:t>.</w:t>
      </w:r>
    </w:p>
    <w:tbl>
      <w:tblPr>
        <w:tblStyle w:val="TableGrid"/>
        <w:tblW w:w="0" w:type="auto"/>
        <w:tblLook w:val="04A0" w:firstRow="1" w:lastRow="0" w:firstColumn="1" w:lastColumn="0" w:noHBand="0" w:noVBand="1"/>
      </w:tblPr>
      <w:tblGrid>
        <w:gridCol w:w="3227"/>
        <w:gridCol w:w="2693"/>
      </w:tblGrid>
      <w:tr w:rsidR="002B6578" w:rsidTr="00A9653F">
        <w:tc>
          <w:tcPr>
            <w:tcW w:w="3227" w:type="dxa"/>
            <w:shd w:val="clear" w:color="auto" w:fill="D9D9D9" w:themeFill="background1" w:themeFillShade="D9"/>
            <w:vAlign w:val="center"/>
          </w:tcPr>
          <w:p w:rsidR="002B6578" w:rsidRPr="007D1E0D" w:rsidRDefault="002B6578" w:rsidP="00A9653F">
            <w:pPr>
              <w:pStyle w:val="a0"/>
              <w:spacing w:after="0" w:line="240" w:lineRule="auto"/>
              <w:jc w:val="center"/>
              <w:rPr>
                <w:b/>
              </w:rPr>
            </w:pPr>
            <w:r w:rsidRPr="007D1E0D">
              <w:rPr>
                <w:b/>
              </w:rPr>
              <w:t>Provincia</w:t>
            </w:r>
          </w:p>
        </w:tc>
        <w:tc>
          <w:tcPr>
            <w:tcW w:w="2693" w:type="dxa"/>
            <w:shd w:val="clear" w:color="auto" w:fill="D9D9D9" w:themeFill="background1" w:themeFillShade="D9"/>
            <w:vAlign w:val="center"/>
          </w:tcPr>
          <w:p w:rsidR="002B6578" w:rsidRPr="007D1E0D" w:rsidRDefault="002B6578" w:rsidP="00A9653F">
            <w:pPr>
              <w:pStyle w:val="a0"/>
              <w:spacing w:after="0" w:line="240" w:lineRule="auto"/>
              <w:jc w:val="center"/>
              <w:rPr>
                <w:b/>
              </w:rPr>
            </w:pPr>
            <w:r w:rsidRPr="007D1E0D">
              <w:rPr>
                <w:b/>
              </w:rPr>
              <w:t>Tasa de desempleo</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r w:rsidRPr="002B6578">
              <w:rPr>
                <w:sz w:val="22"/>
                <w:szCs w:val="22"/>
              </w:rPr>
              <w:t>Beijing</w:t>
            </w:r>
          </w:p>
        </w:tc>
        <w:tc>
          <w:tcPr>
            <w:tcW w:w="2693" w:type="dxa"/>
            <w:vAlign w:val="center"/>
          </w:tcPr>
          <w:p w:rsidR="002B6578" w:rsidRDefault="002B6578" w:rsidP="00A9653F">
            <w:pPr>
              <w:pStyle w:val="a0"/>
              <w:spacing w:after="0" w:line="240" w:lineRule="auto"/>
              <w:jc w:val="center"/>
            </w:pPr>
            <w:r>
              <w:t>1.2</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r w:rsidRPr="002B6578">
              <w:rPr>
                <w:sz w:val="22"/>
                <w:szCs w:val="22"/>
              </w:rPr>
              <w:t>Chongqing</w:t>
            </w:r>
          </w:p>
        </w:tc>
        <w:tc>
          <w:tcPr>
            <w:tcW w:w="2693" w:type="dxa"/>
            <w:vAlign w:val="center"/>
          </w:tcPr>
          <w:p w:rsidR="002B6578" w:rsidRDefault="002B6578" w:rsidP="00A9653F">
            <w:pPr>
              <w:pStyle w:val="a0"/>
              <w:spacing w:after="0" w:line="240" w:lineRule="auto"/>
              <w:jc w:val="center"/>
            </w:pPr>
            <w:r>
              <w:t>2.2</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r w:rsidRPr="002B6578">
              <w:rPr>
                <w:sz w:val="22"/>
                <w:szCs w:val="22"/>
              </w:rPr>
              <w:t>Qinghai</w:t>
            </w:r>
          </w:p>
        </w:tc>
        <w:tc>
          <w:tcPr>
            <w:tcW w:w="2693" w:type="dxa"/>
            <w:vAlign w:val="center"/>
          </w:tcPr>
          <w:p w:rsidR="002B6578" w:rsidRDefault="002B6578" w:rsidP="00A9653F">
            <w:pPr>
              <w:pStyle w:val="a0"/>
              <w:spacing w:after="0" w:line="240" w:lineRule="auto"/>
              <w:jc w:val="center"/>
            </w:pPr>
            <w:r>
              <w:t>2.3</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proofErr w:type="spellStart"/>
            <w:r w:rsidRPr="002B6578">
              <w:rPr>
                <w:sz w:val="22"/>
                <w:szCs w:val="22"/>
              </w:rPr>
              <w:t>Guangdong</w:t>
            </w:r>
            <w:proofErr w:type="spellEnd"/>
          </w:p>
        </w:tc>
        <w:tc>
          <w:tcPr>
            <w:tcW w:w="2693" w:type="dxa"/>
            <w:vAlign w:val="center"/>
          </w:tcPr>
          <w:p w:rsidR="002B6578" w:rsidRDefault="002B6578" w:rsidP="00A9653F">
            <w:pPr>
              <w:pStyle w:val="a0"/>
              <w:spacing w:after="0" w:line="240" w:lineRule="auto"/>
              <w:jc w:val="center"/>
            </w:pPr>
            <w:r>
              <w:t>2.4</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proofErr w:type="spellStart"/>
            <w:r w:rsidRPr="002B6578">
              <w:rPr>
                <w:sz w:val="22"/>
                <w:szCs w:val="22"/>
              </w:rPr>
              <w:t>Shaanxhi</w:t>
            </w:r>
            <w:proofErr w:type="spellEnd"/>
          </w:p>
        </w:tc>
        <w:tc>
          <w:tcPr>
            <w:tcW w:w="2693" w:type="dxa"/>
            <w:vAlign w:val="center"/>
          </w:tcPr>
          <w:p w:rsidR="002B6578" w:rsidRDefault="002B6578" w:rsidP="00A9653F">
            <w:pPr>
              <w:pStyle w:val="a0"/>
              <w:spacing w:after="0" w:line="240" w:lineRule="auto"/>
              <w:jc w:val="center"/>
            </w:pPr>
            <w:r>
              <w:t>2.5</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r w:rsidRPr="002B6578">
              <w:rPr>
                <w:sz w:val="22"/>
                <w:szCs w:val="22"/>
              </w:rPr>
              <w:t>Jiangsu</w:t>
            </w:r>
          </w:p>
        </w:tc>
        <w:tc>
          <w:tcPr>
            <w:tcW w:w="2693" w:type="dxa"/>
            <w:vAlign w:val="center"/>
          </w:tcPr>
          <w:p w:rsidR="002B6578" w:rsidRDefault="002B6578" w:rsidP="00A9653F">
            <w:pPr>
              <w:pStyle w:val="a0"/>
              <w:spacing w:after="0" w:line="240" w:lineRule="auto"/>
              <w:jc w:val="center"/>
            </w:pPr>
            <w:r>
              <w:t>3</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r w:rsidRPr="002B6578">
              <w:rPr>
                <w:sz w:val="22"/>
                <w:szCs w:val="22"/>
              </w:rPr>
              <w:t>Zhejiang</w:t>
            </w:r>
          </w:p>
        </w:tc>
        <w:tc>
          <w:tcPr>
            <w:tcW w:w="2693" w:type="dxa"/>
            <w:vAlign w:val="center"/>
          </w:tcPr>
          <w:p w:rsidR="002B6578" w:rsidRDefault="002B6578" w:rsidP="00A9653F">
            <w:pPr>
              <w:pStyle w:val="a0"/>
              <w:spacing w:after="0" w:line="240" w:lineRule="auto"/>
              <w:jc w:val="center"/>
            </w:pPr>
            <w:r>
              <w:t>3</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r w:rsidRPr="002B6578">
              <w:rPr>
                <w:sz w:val="22"/>
                <w:szCs w:val="22"/>
              </w:rPr>
              <w:t>Shanxi</w:t>
            </w:r>
          </w:p>
        </w:tc>
        <w:tc>
          <w:tcPr>
            <w:tcW w:w="2693" w:type="dxa"/>
            <w:vAlign w:val="center"/>
          </w:tcPr>
          <w:p w:rsidR="002B6578" w:rsidRDefault="002B6578" w:rsidP="00A9653F">
            <w:pPr>
              <w:pStyle w:val="a0"/>
              <w:spacing w:after="0" w:line="240" w:lineRule="auto"/>
              <w:jc w:val="center"/>
            </w:pPr>
            <w:r>
              <w:t>3.1</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r w:rsidRPr="002B6578">
              <w:rPr>
                <w:sz w:val="22"/>
                <w:szCs w:val="22"/>
              </w:rPr>
              <w:t>Henan</w:t>
            </w:r>
          </w:p>
        </w:tc>
        <w:tc>
          <w:tcPr>
            <w:tcW w:w="2693" w:type="dxa"/>
            <w:vAlign w:val="center"/>
          </w:tcPr>
          <w:p w:rsidR="002B6578" w:rsidRDefault="002B6578" w:rsidP="00A9653F">
            <w:pPr>
              <w:pStyle w:val="a0"/>
              <w:spacing w:after="0" w:line="240" w:lineRule="auto"/>
              <w:jc w:val="center"/>
            </w:pPr>
            <w:r>
              <w:t>3.1</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r w:rsidRPr="002B6578">
              <w:rPr>
                <w:sz w:val="22"/>
                <w:szCs w:val="22"/>
              </w:rPr>
              <w:t>Jiangxi</w:t>
            </w:r>
          </w:p>
        </w:tc>
        <w:tc>
          <w:tcPr>
            <w:tcW w:w="2693" w:type="dxa"/>
            <w:vAlign w:val="center"/>
          </w:tcPr>
          <w:p w:rsidR="002B6578" w:rsidRDefault="002B6578" w:rsidP="00A9653F">
            <w:pPr>
              <w:pStyle w:val="a0"/>
              <w:spacing w:after="0" w:line="240" w:lineRule="auto"/>
              <w:jc w:val="center"/>
            </w:pPr>
            <w:r>
              <w:t>3.2</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r w:rsidRPr="002B6578">
              <w:rPr>
                <w:sz w:val="22"/>
                <w:szCs w:val="22"/>
              </w:rPr>
              <w:t>Shandong</w:t>
            </w:r>
          </w:p>
        </w:tc>
        <w:tc>
          <w:tcPr>
            <w:tcW w:w="2693" w:type="dxa"/>
            <w:vAlign w:val="center"/>
          </w:tcPr>
          <w:p w:rsidR="002B6578" w:rsidRDefault="002B6578" w:rsidP="00A9653F">
            <w:pPr>
              <w:pStyle w:val="a0"/>
              <w:spacing w:after="0" w:line="240" w:lineRule="auto"/>
              <w:jc w:val="center"/>
            </w:pPr>
            <w:r>
              <w:t>3.2</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r w:rsidRPr="002B6578">
              <w:rPr>
                <w:sz w:val="22"/>
                <w:szCs w:val="22"/>
              </w:rPr>
              <w:t>Hainan</w:t>
            </w:r>
          </w:p>
        </w:tc>
        <w:tc>
          <w:tcPr>
            <w:tcW w:w="2693" w:type="dxa"/>
            <w:vAlign w:val="center"/>
          </w:tcPr>
          <w:p w:rsidR="002B6578" w:rsidRDefault="002B6578" w:rsidP="00A9653F">
            <w:pPr>
              <w:pStyle w:val="a0"/>
              <w:spacing w:after="0" w:line="240" w:lineRule="auto"/>
              <w:jc w:val="center"/>
            </w:pPr>
            <w:r>
              <w:t>3.3</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r w:rsidRPr="002B6578">
              <w:rPr>
                <w:sz w:val="22"/>
                <w:szCs w:val="22"/>
              </w:rPr>
              <w:t>Yunnan</w:t>
            </w:r>
          </w:p>
        </w:tc>
        <w:tc>
          <w:tcPr>
            <w:tcW w:w="2693" w:type="dxa"/>
            <w:vAlign w:val="center"/>
          </w:tcPr>
          <w:p w:rsidR="002B6578" w:rsidRDefault="002B6578" w:rsidP="00A9653F">
            <w:pPr>
              <w:pStyle w:val="a0"/>
              <w:spacing w:after="0" w:line="240" w:lineRule="auto"/>
              <w:jc w:val="center"/>
            </w:pPr>
            <w:r>
              <w:t>3.3</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r w:rsidRPr="002B6578">
              <w:rPr>
                <w:sz w:val="22"/>
                <w:szCs w:val="22"/>
              </w:rPr>
              <w:t>Gansu</w:t>
            </w:r>
          </w:p>
        </w:tc>
        <w:tc>
          <w:tcPr>
            <w:tcW w:w="2693" w:type="dxa"/>
            <w:vAlign w:val="center"/>
          </w:tcPr>
          <w:p w:rsidR="002B6578" w:rsidRDefault="002B6578" w:rsidP="00A9653F">
            <w:pPr>
              <w:pStyle w:val="a0"/>
              <w:spacing w:after="0" w:line="240" w:lineRule="auto"/>
              <w:jc w:val="center"/>
            </w:pPr>
            <w:r>
              <w:t>3.3</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proofErr w:type="spellStart"/>
            <w:r w:rsidRPr="002B6578">
              <w:rPr>
                <w:sz w:val="22"/>
                <w:szCs w:val="22"/>
              </w:rPr>
              <w:t>Ningxia</w:t>
            </w:r>
            <w:proofErr w:type="spellEnd"/>
          </w:p>
        </w:tc>
        <w:tc>
          <w:tcPr>
            <w:tcW w:w="2693" w:type="dxa"/>
            <w:vAlign w:val="center"/>
          </w:tcPr>
          <w:p w:rsidR="002B6578" w:rsidRDefault="002B6578" w:rsidP="00A9653F">
            <w:pPr>
              <w:pStyle w:val="a0"/>
              <w:spacing w:after="0" w:line="240" w:lineRule="auto"/>
              <w:jc w:val="center"/>
            </w:pPr>
            <w:r>
              <w:t>3.3</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r w:rsidRPr="002B6578">
              <w:rPr>
                <w:sz w:val="22"/>
                <w:szCs w:val="22"/>
              </w:rPr>
              <w:t>Liaoning</w:t>
            </w:r>
          </w:p>
        </w:tc>
        <w:tc>
          <w:tcPr>
            <w:tcW w:w="2693" w:type="dxa"/>
            <w:vAlign w:val="center"/>
          </w:tcPr>
          <w:p w:rsidR="002B6578" w:rsidRDefault="007D1E0D" w:rsidP="00A9653F">
            <w:pPr>
              <w:pStyle w:val="a0"/>
              <w:spacing w:after="0" w:line="240" w:lineRule="auto"/>
              <w:jc w:val="center"/>
            </w:pPr>
            <w:r>
              <w:t>3.4.</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r w:rsidRPr="002B6578">
              <w:rPr>
                <w:sz w:val="22"/>
                <w:szCs w:val="22"/>
              </w:rPr>
              <w:t>Anhui</w:t>
            </w:r>
          </w:p>
        </w:tc>
        <w:tc>
          <w:tcPr>
            <w:tcW w:w="2693" w:type="dxa"/>
            <w:vAlign w:val="center"/>
          </w:tcPr>
          <w:p w:rsidR="002B6578" w:rsidRDefault="007D1E0D" w:rsidP="00A9653F">
            <w:pPr>
              <w:pStyle w:val="a0"/>
              <w:spacing w:after="0" w:line="240" w:lineRule="auto"/>
              <w:jc w:val="center"/>
            </w:pPr>
            <w:r>
              <w:t>3.4</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r w:rsidRPr="002B6578">
              <w:rPr>
                <w:sz w:val="22"/>
                <w:szCs w:val="22"/>
              </w:rPr>
              <w:t>Sichuan</w:t>
            </w:r>
          </w:p>
        </w:tc>
        <w:tc>
          <w:tcPr>
            <w:tcW w:w="2693" w:type="dxa"/>
            <w:vAlign w:val="center"/>
          </w:tcPr>
          <w:p w:rsidR="002B6578" w:rsidRDefault="007D1E0D" w:rsidP="00A9653F">
            <w:pPr>
              <w:pStyle w:val="a0"/>
              <w:spacing w:after="0" w:line="240" w:lineRule="auto"/>
              <w:jc w:val="center"/>
            </w:pPr>
            <w:r>
              <w:t>3.4</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r w:rsidRPr="002B6578">
              <w:rPr>
                <w:sz w:val="22"/>
                <w:szCs w:val="22"/>
              </w:rPr>
              <w:t>Hubei</w:t>
            </w:r>
          </w:p>
        </w:tc>
        <w:tc>
          <w:tcPr>
            <w:tcW w:w="2693" w:type="dxa"/>
            <w:vAlign w:val="center"/>
          </w:tcPr>
          <w:p w:rsidR="002B6578" w:rsidRDefault="007D1E0D" w:rsidP="00A9653F">
            <w:pPr>
              <w:pStyle w:val="a0"/>
              <w:spacing w:after="0" w:line="240" w:lineRule="auto"/>
              <w:jc w:val="center"/>
            </w:pPr>
            <w:r>
              <w:t>3.5</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r w:rsidRPr="002B6578">
              <w:rPr>
                <w:sz w:val="22"/>
                <w:szCs w:val="22"/>
              </w:rPr>
              <w:t>Tianjin</w:t>
            </w:r>
          </w:p>
        </w:tc>
        <w:tc>
          <w:tcPr>
            <w:tcW w:w="2693" w:type="dxa"/>
            <w:vAlign w:val="center"/>
          </w:tcPr>
          <w:p w:rsidR="002B6578" w:rsidRDefault="007D1E0D" w:rsidP="00A9653F">
            <w:pPr>
              <w:pStyle w:val="a0"/>
              <w:spacing w:after="0" w:line="240" w:lineRule="auto"/>
              <w:jc w:val="center"/>
            </w:pPr>
            <w:r>
              <w:t>3.6</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r w:rsidRPr="002B6578">
              <w:rPr>
                <w:sz w:val="22"/>
                <w:szCs w:val="22"/>
              </w:rPr>
              <w:t>Fujian</w:t>
            </w:r>
          </w:p>
        </w:tc>
        <w:tc>
          <w:tcPr>
            <w:tcW w:w="2693" w:type="dxa"/>
            <w:vAlign w:val="center"/>
          </w:tcPr>
          <w:p w:rsidR="002B6578" w:rsidRDefault="007D1E0D" w:rsidP="00A9653F">
            <w:pPr>
              <w:pStyle w:val="a0"/>
              <w:spacing w:after="0" w:line="240" w:lineRule="auto"/>
              <w:jc w:val="center"/>
            </w:pPr>
            <w:r>
              <w:t>3.6</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r w:rsidRPr="002B6578">
              <w:rPr>
                <w:sz w:val="22"/>
                <w:szCs w:val="22"/>
              </w:rPr>
              <w:t>Hebei</w:t>
            </w:r>
          </w:p>
        </w:tc>
        <w:tc>
          <w:tcPr>
            <w:tcW w:w="2693" w:type="dxa"/>
            <w:vAlign w:val="center"/>
          </w:tcPr>
          <w:p w:rsidR="002B6578" w:rsidRDefault="007D1E0D" w:rsidP="00A9653F">
            <w:pPr>
              <w:pStyle w:val="a0"/>
              <w:spacing w:after="0" w:line="240" w:lineRule="auto"/>
              <w:jc w:val="center"/>
            </w:pPr>
            <w:r>
              <w:t>3.7</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r w:rsidRPr="002B6578">
              <w:rPr>
                <w:sz w:val="22"/>
                <w:szCs w:val="22"/>
              </w:rPr>
              <w:t>Mongolia Interior</w:t>
            </w:r>
          </w:p>
        </w:tc>
        <w:tc>
          <w:tcPr>
            <w:tcW w:w="2693" w:type="dxa"/>
            <w:vAlign w:val="center"/>
          </w:tcPr>
          <w:p w:rsidR="002B6578" w:rsidRDefault="007D1E0D" w:rsidP="00A9653F">
            <w:pPr>
              <w:pStyle w:val="a0"/>
              <w:spacing w:after="0" w:line="240" w:lineRule="auto"/>
              <w:jc w:val="center"/>
            </w:pPr>
            <w:r>
              <w:t>3.7</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r w:rsidRPr="002B6578">
              <w:rPr>
                <w:sz w:val="22"/>
                <w:szCs w:val="22"/>
              </w:rPr>
              <w:t>Jilin</w:t>
            </w:r>
          </w:p>
        </w:tc>
        <w:tc>
          <w:tcPr>
            <w:tcW w:w="2693" w:type="dxa"/>
            <w:vAlign w:val="center"/>
          </w:tcPr>
          <w:p w:rsidR="002B6578" w:rsidRDefault="007D1E0D" w:rsidP="00A9653F">
            <w:pPr>
              <w:pStyle w:val="a0"/>
              <w:spacing w:after="0" w:line="240" w:lineRule="auto"/>
              <w:jc w:val="center"/>
            </w:pPr>
            <w:r>
              <w:t>3.7</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r w:rsidRPr="002B6578">
              <w:rPr>
                <w:sz w:val="22"/>
                <w:szCs w:val="22"/>
              </w:rPr>
              <w:t>Shanghái</w:t>
            </w:r>
          </w:p>
        </w:tc>
        <w:tc>
          <w:tcPr>
            <w:tcW w:w="2693" w:type="dxa"/>
            <w:vAlign w:val="center"/>
          </w:tcPr>
          <w:p w:rsidR="002B6578" w:rsidRDefault="007D1E0D" w:rsidP="00A9653F">
            <w:pPr>
              <w:pStyle w:val="a0"/>
              <w:spacing w:after="0" w:line="240" w:lineRule="auto"/>
              <w:jc w:val="center"/>
            </w:pPr>
            <w:r>
              <w:t>4.0</w:t>
            </w:r>
          </w:p>
        </w:tc>
      </w:tr>
      <w:tr w:rsidR="002B6578" w:rsidTr="00A9653F">
        <w:tc>
          <w:tcPr>
            <w:tcW w:w="3227" w:type="dxa"/>
            <w:vAlign w:val="center"/>
          </w:tcPr>
          <w:p w:rsidR="002B6578" w:rsidRPr="002B6578" w:rsidRDefault="002B6578" w:rsidP="00A9653F">
            <w:pPr>
              <w:pStyle w:val="a0"/>
              <w:spacing w:after="0" w:line="240" w:lineRule="auto"/>
              <w:jc w:val="center"/>
              <w:rPr>
                <w:sz w:val="22"/>
                <w:szCs w:val="22"/>
              </w:rPr>
            </w:pPr>
            <w:proofErr w:type="spellStart"/>
            <w:r>
              <w:rPr>
                <w:sz w:val="22"/>
                <w:szCs w:val="22"/>
              </w:rPr>
              <w:t>Tibet</w:t>
            </w:r>
            <w:proofErr w:type="spellEnd"/>
          </w:p>
        </w:tc>
        <w:tc>
          <w:tcPr>
            <w:tcW w:w="2693" w:type="dxa"/>
            <w:vAlign w:val="center"/>
          </w:tcPr>
          <w:p w:rsidR="002B6578" w:rsidRDefault="007D1E0D" w:rsidP="00A9653F">
            <w:pPr>
              <w:pStyle w:val="a0"/>
              <w:spacing w:after="0" w:line="240" w:lineRule="auto"/>
              <w:jc w:val="center"/>
            </w:pPr>
            <w:r>
              <w:t>4.0</w:t>
            </w:r>
          </w:p>
        </w:tc>
      </w:tr>
      <w:tr w:rsidR="002B6578" w:rsidTr="00A9653F">
        <w:tc>
          <w:tcPr>
            <w:tcW w:w="3227" w:type="dxa"/>
            <w:vAlign w:val="center"/>
          </w:tcPr>
          <w:p w:rsidR="002B6578" w:rsidRDefault="002B6578" w:rsidP="00A9653F">
            <w:pPr>
              <w:pStyle w:val="a0"/>
              <w:spacing w:after="0" w:line="240" w:lineRule="auto"/>
              <w:jc w:val="center"/>
            </w:pPr>
            <w:r w:rsidRPr="002B6578">
              <w:t>Guizhou</w:t>
            </w:r>
          </w:p>
        </w:tc>
        <w:tc>
          <w:tcPr>
            <w:tcW w:w="2693" w:type="dxa"/>
            <w:vAlign w:val="center"/>
          </w:tcPr>
          <w:p w:rsidR="002B6578" w:rsidRDefault="007D1E0D" w:rsidP="00A9653F">
            <w:pPr>
              <w:pStyle w:val="a0"/>
              <w:spacing w:after="0" w:line="240" w:lineRule="auto"/>
              <w:jc w:val="center"/>
            </w:pPr>
            <w:r>
              <w:t>4.1</w:t>
            </w:r>
          </w:p>
        </w:tc>
      </w:tr>
      <w:tr w:rsidR="002B6578" w:rsidTr="00A9653F">
        <w:tc>
          <w:tcPr>
            <w:tcW w:w="3227" w:type="dxa"/>
            <w:vAlign w:val="center"/>
          </w:tcPr>
          <w:p w:rsidR="002B6578" w:rsidRDefault="002B6578" w:rsidP="00A9653F">
            <w:pPr>
              <w:pStyle w:val="a0"/>
              <w:spacing w:after="0" w:line="240" w:lineRule="auto"/>
              <w:jc w:val="center"/>
            </w:pPr>
            <w:proofErr w:type="spellStart"/>
            <w:r w:rsidRPr="002B6578">
              <w:t>Xinjiang</w:t>
            </w:r>
            <w:proofErr w:type="spellEnd"/>
          </w:p>
        </w:tc>
        <w:tc>
          <w:tcPr>
            <w:tcW w:w="2693" w:type="dxa"/>
            <w:vAlign w:val="center"/>
          </w:tcPr>
          <w:p w:rsidR="002B6578" w:rsidRDefault="007D1E0D" w:rsidP="00A9653F">
            <w:pPr>
              <w:pStyle w:val="a0"/>
              <w:spacing w:after="0" w:line="240" w:lineRule="auto"/>
              <w:jc w:val="center"/>
            </w:pPr>
            <w:r>
              <w:t>4.1</w:t>
            </w:r>
          </w:p>
        </w:tc>
      </w:tr>
      <w:tr w:rsidR="002B6578" w:rsidTr="00A9653F">
        <w:tc>
          <w:tcPr>
            <w:tcW w:w="3227" w:type="dxa"/>
            <w:vAlign w:val="center"/>
          </w:tcPr>
          <w:p w:rsidR="002B6578" w:rsidRDefault="002B6578" w:rsidP="00A9653F">
            <w:pPr>
              <w:pStyle w:val="a0"/>
              <w:spacing w:after="0" w:line="240" w:lineRule="auto"/>
              <w:jc w:val="center"/>
            </w:pPr>
            <w:proofErr w:type="spellStart"/>
            <w:r w:rsidRPr="002B6578">
              <w:t>Huinan</w:t>
            </w:r>
            <w:proofErr w:type="spellEnd"/>
          </w:p>
        </w:tc>
        <w:tc>
          <w:tcPr>
            <w:tcW w:w="2693" w:type="dxa"/>
            <w:vAlign w:val="center"/>
          </w:tcPr>
          <w:p w:rsidR="002B6578" w:rsidRDefault="007D1E0D" w:rsidP="00A9653F">
            <w:pPr>
              <w:pStyle w:val="a0"/>
              <w:spacing w:after="0" w:line="240" w:lineRule="auto"/>
              <w:jc w:val="center"/>
            </w:pPr>
            <w:r>
              <w:t>4.2</w:t>
            </w:r>
          </w:p>
        </w:tc>
      </w:tr>
      <w:tr w:rsidR="002B6578" w:rsidTr="00A9653F">
        <w:tc>
          <w:tcPr>
            <w:tcW w:w="3227" w:type="dxa"/>
            <w:vAlign w:val="center"/>
          </w:tcPr>
          <w:p w:rsidR="002B6578" w:rsidRDefault="002B6578" w:rsidP="00A9653F">
            <w:pPr>
              <w:pStyle w:val="a0"/>
              <w:spacing w:after="0" w:line="240" w:lineRule="auto"/>
              <w:jc w:val="center"/>
            </w:pPr>
            <w:r w:rsidRPr="002B6578">
              <w:t>Heilongjiang</w:t>
            </w:r>
          </w:p>
        </w:tc>
        <w:tc>
          <w:tcPr>
            <w:tcW w:w="2693" w:type="dxa"/>
            <w:vAlign w:val="center"/>
          </w:tcPr>
          <w:p w:rsidR="002B6578" w:rsidRDefault="007D1E0D" w:rsidP="00A9653F">
            <w:pPr>
              <w:pStyle w:val="a0"/>
              <w:spacing w:after="0" w:line="240" w:lineRule="auto"/>
              <w:jc w:val="center"/>
            </w:pPr>
            <w:r>
              <w:t>4.4</w:t>
            </w:r>
          </w:p>
        </w:tc>
      </w:tr>
    </w:tbl>
    <w:p w:rsidR="002B6578" w:rsidRDefault="002B6578" w:rsidP="003A628D">
      <w:pPr>
        <w:pStyle w:val="a0"/>
      </w:pPr>
    </w:p>
    <w:p w:rsidR="00AE45C6" w:rsidRDefault="00AE45C6" w:rsidP="00AE45C6">
      <w:pPr>
        <w:pStyle w:val="a3"/>
      </w:pPr>
      <w:r>
        <w:lastRenderedPageBreak/>
        <w:t xml:space="preserve">Figura </w:t>
      </w:r>
      <w:r w:rsidR="00B57AAA">
        <w:t>6</w:t>
      </w:r>
      <w:r>
        <w:t>: Tasa de desempleo en las regiones de China (2013)</w:t>
      </w:r>
    </w:p>
    <w:p w:rsidR="00024159" w:rsidRPr="00881AB8" w:rsidRDefault="00024159" w:rsidP="00486636">
      <w:pPr>
        <w:tabs>
          <w:tab w:val="left" w:pos="7613"/>
        </w:tabs>
        <w:spacing w:line="360" w:lineRule="auto"/>
        <w:rPr>
          <w:rFonts w:ascii="Times New Roman" w:hAnsi="Times New Roman" w:cs="Times New Roman"/>
          <w:sz w:val="24"/>
          <w:szCs w:val="24"/>
          <w:lang w:val="es-ES_tradnl"/>
        </w:rPr>
      </w:pPr>
      <w:r>
        <w:rPr>
          <w:noProof/>
          <w:lang w:val="es-ES" w:eastAsia="es-ES"/>
        </w:rPr>
        <w:drawing>
          <wp:inline distT="0" distB="0" distL="0" distR="0" wp14:anchorId="6A37DA3E" wp14:editId="7BBC7574">
            <wp:extent cx="5274310" cy="3108582"/>
            <wp:effectExtent l="0" t="0" r="21590" b="15875"/>
            <wp:docPr id="13"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75C8A" w:rsidRDefault="00B35948" w:rsidP="00B35948">
      <w:pPr>
        <w:pStyle w:val="a6"/>
      </w:pPr>
      <w:r w:rsidRPr="00B35948">
        <w:t xml:space="preserve">Fuente: Elaboración propia a partir de los datos de </w:t>
      </w:r>
      <w:proofErr w:type="spellStart"/>
      <w:r w:rsidRPr="00B35948">
        <w:t>National</w:t>
      </w:r>
      <w:proofErr w:type="spellEnd"/>
      <w:r w:rsidRPr="00B35948">
        <w:t xml:space="preserve"> Bureau of </w:t>
      </w:r>
      <w:proofErr w:type="spellStart"/>
      <w:r w:rsidRPr="00B35948">
        <w:t>Statistics</w:t>
      </w:r>
      <w:proofErr w:type="spellEnd"/>
      <w:r w:rsidRPr="00B35948">
        <w:t xml:space="preserve"> of China (2015).</w:t>
      </w:r>
    </w:p>
    <w:p w:rsidR="00F61C7C" w:rsidRPr="00881AB8" w:rsidRDefault="00B35948" w:rsidP="00974A38">
      <w:pPr>
        <w:pStyle w:val="a1"/>
      </w:pPr>
      <w:r>
        <w:t xml:space="preserve">La ciudad de Beijing es el territorio administrativo de China con la tasa de desempleo más baja, un 1,3%. </w:t>
      </w:r>
      <w:r w:rsidR="00F61C7C">
        <w:t xml:space="preserve">La provincia norteña de Heilongjiang que tiene la tasa de desempleo más alta se mantiene debajo del 5%. Estos datos muestran que el mercado laboral chino se caracteriza por una situación próxima al pleno empleo. Sin embargo, como señala </w:t>
      </w:r>
      <w:proofErr w:type="spellStart"/>
      <w:r w:rsidR="00F61C7C">
        <w:t>Crabbe</w:t>
      </w:r>
      <w:proofErr w:type="spellEnd"/>
      <w:r w:rsidR="00F61C7C">
        <w:t xml:space="preserve"> (2013)</w:t>
      </w:r>
      <w:r w:rsidR="00F61C7C">
        <w:rPr>
          <w:rStyle w:val="FootnoteReference"/>
        </w:rPr>
        <w:footnoteReference w:id="33"/>
      </w:r>
      <w:r w:rsidR="00F61C7C">
        <w:t xml:space="preserve"> hay que considerar que existen importantes bolsas de desempleo que no entran en las estadísticas oficiales y que afectan a la población flotante. </w:t>
      </w:r>
      <w:proofErr w:type="spellStart"/>
      <w:r w:rsidR="00393744">
        <w:t>Shi</w:t>
      </w:r>
      <w:proofErr w:type="spellEnd"/>
      <w:r w:rsidR="00393744">
        <w:t xml:space="preserve"> &amp; Sato (2006)</w:t>
      </w:r>
      <w:r w:rsidR="00393744">
        <w:rPr>
          <w:rStyle w:val="FootnoteReference"/>
        </w:rPr>
        <w:footnoteReference w:id="34"/>
      </w:r>
      <w:r w:rsidR="00393744">
        <w:t xml:space="preserve"> relacionan el desempleo, y las tasas relativamente más altas en el segmento de los migrantes rurales, con situaciones de pobreza debido a la falta de prestaciones sociales. </w:t>
      </w:r>
    </w:p>
    <w:p w:rsidR="000C63C0" w:rsidRPr="00974A38" w:rsidRDefault="00DF5476" w:rsidP="00974A38">
      <w:pPr>
        <w:pStyle w:val="Heading3"/>
        <w:rPr>
          <w:rFonts w:cs="Times New Roman"/>
          <w:lang w:val="es-ES_tradnl"/>
        </w:rPr>
      </w:pPr>
      <w:bookmarkStart w:id="42" w:name="_Toc424110953"/>
      <w:bookmarkStart w:id="43" w:name="_Toc424111233"/>
      <w:bookmarkStart w:id="44" w:name="_Toc471215308"/>
      <w:r w:rsidRPr="00881AB8">
        <w:rPr>
          <w:rFonts w:cs="Times New Roman"/>
          <w:lang w:val="es-ES_tradnl"/>
        </w:rPr>
        <w:t>2.</w:t>
      </w:r>
      <w:r w:rsidR="00974A38">
        <w:rPr>
          <w:rFonts w:cs="Times New Roman"/>
          <w:lang w:val="es-ES_tradnl"/>
        </w:rPr>
        <w:t>2</w:t>
      </w:r>
      <w:r w:rsidRPr="00881AB8">
        <w:rPr>
          <w:rFonts w:cs="Times New Roman"/>
          <w:lang w:val="es-ES_tradnl"/>
        </w:rPr>
        <w:t>.</w:t>
      </w:r>
      <w:r w:rsidR="00D24EAE">
        <w:rPr>
          <w:rFonts w:cs="Times New Roman"/>
          <w:lang w:val="es-ES_tradnl"/>
        </w:rPr>
        <w:t>3.</w:t>
      </w:r>
      <w:r w:rsidRPr="00881AB8">
        <w:rPr>
          <w:rFonts w:cs="Times New Roman"/>
          <w:lang w:val="es-ES_tradnl"/>
        </w:rPr>
        <w:t xml:space="preserve"> </w:t>
      </w:r>
      <w:r w:rsidR="00CE2698" w:rsidRPr="00881AB8">
        <w:rPr>
          <w:rFonts w:cs="Times New Roman"/>
          <w:lang w:val="es-ES_tradnl"/>
        </w:rPr>
        <w:t>La situación básica del estudio de mercado laboral de China</w:t>
      </w:r>
      <w:bookmarkEnd w:id="42"/>
      <w:bookmarkEnd w:id="43"/>
      <w:bookmarkEnd w:id="44"/>
    </w:p>
    <w:p w:rsidR="00E9619E" w:rsidRPr="00881AB8" w:rsidRDefault="000C63C0" w:rsidP="00974A38">
      <w:pPr>
        <w:pStyle w:val="a0"/>
      </w:pPr>
      <w:r w:rsidRPr="00881AB8">
        <w:t xml:space="preserve">China es el país más poblado del mundo, y también es un país que tiene los recursos laborales más </w:t>
      </w:r>
      <w:r w:rsidR="00B861F7">
        <w:t>importantes</w:t>
      </w:r>
      <w:r w:rsidRPr="00881AB8">
        <w:t xml:space="preserve"> del mundo</w:t>
      </w:r>
      <w:r w:rsidR="00B861F7">
        <w:t xml:space="preserve"> en términos de mano de obra disponible</w:t>
      </w:r>
      <w:r w:rsidRPr="00881AB8">
        <w:t xml:space="preserve">. De </w:t>
      </w:r>
      <w:r w:rsidRPr="00881AB8">
        <w:lastRenderedPageBreak/>
        <w:t>acuerdo con la</w:t>
      </w:r>
      <w:r w:rsidR="00974A38">
        <w:t>s</w:t>
      </w:r>
      <w:r w:rsidRPr="00881AB8">
        <w:t xml:space="preserve"> estadísticas de población, China tiene 1</w:t>
      </w:r>
      <w:r w:rsidR="00E9619E">
        <w:t>.</w:t>
      </w:r>
      <w:r w:rsidRPr="00881AB8">
        <w:t>3</w:t>
      </w:r>
      <w:r w:rsidR="00E9619E">
        <w:t>67</w:t>
      </w:r>
      <w:r w:rsidRPr="00881AB8">
        <w:t xml:space="preserve"> millones de personas, de las cuales</w:t>
      </w:r>
      <w:r w:rsidR="00974A38">
        <w:t xml:space="preserve"> el 70% está en edad de trabajar</w:t>
      </w:r>
      <w:r w:rsidRPr="00881AB8">
        <w:t xml:space="preserve"> </w:t>
      </w:r>
      <w:r w:rsidR="00974A38">
        <w:t xml:space="preserve">(entre </w:t>
      </w:r>
      <w:r w:rsidRPr="00881AB8">
        <w:t>1</w:t>
      </w:r>
      <w:r w:rsidR="0094239A">
        <w:t>6</w:t>
      </w:r>
      <w:r w:rsidRPr="00881AB8">
        <w:t xml:space="preserve"> </w:t>
      </w:r>
      <w:r w:rsidR="00974A38">
        <w:t>y</w:t>
      </w:r>
      <w:r w:rsidRPr="00881AB8">
        <w:t xml:space="preserve"> 64 </w:t>
      </w:r>
      <w:r w:rsidR="00974A38">
        <w:t>años)</w:t>
      </w:r>
      <w:r w:rsidR="00E9619E">
        <w:t>, constituyendo una población en edad activa de 1.093 millones de personas</w:t>
      </w:r>
      <w:r w:rsidRPr="00881AB8">
        <w:t xml:space="preserve">. </w:t>
      </w:r>
      <w:r w:rsidR="00E9619E">
        <w:t>La población activa de china en el año 2014 es de 806,5 millones de personas. Por género, la tasa de población activa entre l</w:t>
      </w:r>
      <w:r w:rsidR="00D42925">
        <w:t>o</w:t>
      </w:r>
      <w:r w:rsidR="00E9619E">
        <w:t xml:space="preserve">s hombres en edad de trabajar es del 78,4% y es del 43,9% entre las mujeres (datos del año 2014, según el Banco Mundial). </w:t>
      </w:r>
    </w:p>
    <w:p w:rsidR="00001623" w:rsidRPr="00881AB8" w:rsidRDefault="00974A38" w:rsidP="00D24EAE">
      <w:pPr>
        <w:pStyle w:val="Heading3"/>
      </w:pPr>
      <w:bookmarkStart w:id="45" w:name="_Toc424110955"/>
      <w:bookmarkStart w:id="46" w:name="_Toc424111235"/>
      <w:bookmarkStart w:id="47" w:name="_Toc471215309"/>
      <w:r>
        <w:t>2.</w:t>
      </w:r>
      <w:r w:rsidR="00D24EAE">
        <w:t>2.</w:t>
      </w:r>
      <w:r>
        <w:t>4.</w:t>
      </w:r>
      <w:r w:rsidR="0059448A" w:rsidRPr="00881AB8">
        <w:rPr>
          <w:rFonts w:eastAsiaTheme="minorEastAsia"/>
        </w:rPr>
        <w:t xml:space="preserve"> </w:t>
      </w:r>
      <w:r w:rsidR="00E3355D" w:rsidRPr="00881AB8">
        <w:t>Los problemas del mercado laboral de China</w:t>
      </w:r>
      <w:bookmarkEnd w:id="45"/>
      <w:bookmarkEnd w:id="46"/>
      <w:bookmarkEnd w:id="47"/>
    </w:p>
    <w:p w:rsidR="00001623" w:rsidRPr="00881AB8" w:rsidRDefault="00001623" w:rsidP="00D42925">
      <w:pPr>
        <w:pStyle w:val="a0"/>
      </w:pPr>
      <w:r w:rsidRPr="00881AB8">
        <w:t xml:space="preserve">El proceso de desarrollo de mercado de recursos humanos </w:t>
      </w:r>
      <w:r w:rsidR="00D42925">
        <w:t>se ha consolidado desde el inicio de las políticas de apertura y modernización</w:t>
      </w:r>
      <w:r w:rsidRPr="00881AB8">
        <w:t>, pero debido a muchos factores, el mercado laboral de China no está lo suficientemente maduro, existe</w:t>
      </w:r>
      <w:r w:rsidR="00060125">
        <w:t>n</w:t>
      </w:r>
      <w:r w:rsidRPr="00881AB8">
        <w:t xml:space="preserve"> </w:t>
      </w:r>
      <w:r w:rsidR="00060125">
        <w:t>varios</w:t>
      </w:r>
      <w:r w:rsidRPr="00881AB8">
        <w:t xml:space="preserve"> problemas:</w:t>
      </w:r>
    </w:p>
    <w:p w:rsidR="00001623" w:rsidRPr="00881AB8" w:rsidRDefault="00D42925" w:rsidP="00061BB4">
      <w:pPr>
        <w:pStyle w:val="ListParagraph"/>
        <w:numPr>
          <w:ilvl w:val="0"/>
          <w:numId w:val="24"/>
        </w:numPr>
        <w:tabs>
          <w:tab w:val="left" w:pos="7613"/>
        </w:tabs>
        <w:spacing w:line="360" w:lineRule="auto"/>
        <w:ind w:firstLineChars="0"/>
        <w:rPr>
          <w:rFonts w:ascii="Times New Roman" w:hAnsi="Times New Roman" w:cs="Times New Roman"/>
          <w:sz w:val="24"/>
          <w:szCs w:val="24"/>
          <w:lang w:val="es-ES_tradnl"/>
        </w:rPr>
      </w:pPr>
      <w:r>
        <w:rPr>
          <w:rFonts w:ascii="Times New Roman" w:hAnsi="Times New Roman" w:cs="Times New Roman"/>
          <w:sz w:val="24"/>
          <w:szCs w:val="24"/>
          <w:lang w:val="es-ES_tradnl"/>
        </w:rPr>
        <w:t>Desigualdad territorial. Este factor ya mencionado provoca facturas territoriales dentro de China, con problemas de desigualdad de salarios (las disparidades del salario mínimo constituyen un buen ejemplo de ello) y también problemas de acceso a la educación de calidad.</w:t>
      </w:r>
    </w:p>
    <w:p w:rsidR="00001623" w:rsidRPr="00881AB8" w:rsidRDefault="00D42925" w:rsidP="00E8010E">
      <w:pPr>
        <w:pStyle w:val="ListParagraph"/>
        <w:numPr>
          <w:ilvl w:val="0"/>
          <w:numId w:val="24"/>
        </w:numPr>
        <w:tabs>
          <w:tab w:val="left" w:pos="7613"/>
        </w:tabs>
        <w:spacing w:line="360" w:lineRule="auto"/>
        <w:ind w:firstLineChars="0"/>
        <w:rPr>
          <w:rFonts w:ascii="Times New Roman" w:hAnsi="Times New Roman" w:cs="Times New Roman"/>
          <w:sz w:val="24"/>
          <w:szCs w:val="24"/>
          <w:lang w:val="es-ES_tradnl"/>
        </w:rPr>
      </w:pPr>
      <w:r>
        <w:rPr>
          <w:rFonts w:ascii="Times New Roman" w:hAnsi="Times New Roman" w:cs="Times New Roman"/>
          <w:sz w:val="24"/>
          <w:szCs w:val="24"/>
          <w:lang w:val="es-ES_tradnl"/>
        </w:rPr>
        <w:t>Desigualdad de salarios</w:t>
      </w:r>
      <w:r w:rsidR="00001623" w:rsidRPr="00881AB8">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Li &amp; </w:t>
      </w:r>
      <w:proofErr w:type="spellStart"/>
      <w:r>
        <w:rPr>
          <w:rFonts w:ascii="Times New Roman" w:hAnsi="Times New Roman" w:cs="Times New Roman"/>
          <w:sz w:val="24"/>
          <w:szCs w:val="24"/>
          <w:lang w:val="es-ES_tradnl"/>
        </w:rPr>
        <w:t>S</w:t>
      </w:r>
      <w:r w:rsidR="00E90AE2">
        <w:rPr>
          <w:rFonts w:ascii="Times New Roman" w:hAnsi="Times New Roman" w:cs="Times New Roman"/>
          <w:sz w:val="24"/>
          <w:szCs w:val="24"/>
          <w:lang w:val="es-ES_tradnl"/>
        </w:rPr>
        <w:t>i</w:t>
      </w:r>
      <w:r>
        <w:rPr>
          <w:rFonts w:ascii="Times New Roman" w:hAnsi="Times New Roman" w:cs="Times New Roman"/>
          <w:sz w:val="24"/>
          <w:szCs w:val="24"/>
          <w:lang w:val="es-ES_tradnl"/>
        </w:rPr>
        <w:t>cular</w:t>
      </w:r>
      <w:proofErr w:type="spellEnd"/>
      <w:r>
        <w:rPr>
          <w:rFonts w:ascii="Times New Roman" w:hAnsi="Times New Roman" w:cs="Times New Roman"/>
          <w:sz w:val="24"/>
          <w:szCs w:val="24"/>
          <w:lang w:val="es-ES_tradnl"/>
        </w:rPr>
        <w:t xml:space="preserve"> (2014)</w:t>
      </w:r>
      <w:r w:rsidR="00060125">
        <w:rPr>
          <w:rStyle w:val="FootnoteReference"/>
          <w:rFonts w:ascii="Times New Roman" w:hAnsi="Times New Roman" w:cs="Times New Roman"/>
          <w:sz w:val="24"/>
          <w:szCs w:val="24"/>
          <w:lang w:val="es-ES_tradnl"/>
        </w:rPr>
        <w:footnoteReference w:id="35"/>
      </w:r>
      <w:r>
        <w:rPr>
          <w:rFonts w:ascii="Times New Roman" w:hAnsi="Times New Roman" w:cs="Times New Roman"/>
          <w:sz w:val="24"/>
          <w:szCs w:val="24"/>
          <w:lang w:val="es-ES_tradnl"/>
        </w:rPr>
        <w:t xml:space="preserve"> señalan que China tiene indicadores de desigualdad de salarios muy altos para los estándares internacionales. Aunque la situación ha mejorado un poco desde el año 2008 y se ha inversado la tendencia (el indicador de desigualdad ya no tiene tendencia al alza) lo cierto es que los datos sobre salarios medios ocultan grandes brechas sociales e importantes bolsas de pobreza entre los trabajadores que están en condiciones de subempleo.</w:t>
      </w:r>
      <w:r w:rsidR="00D24EAE">
        <w:rPr>
          <w:rFonts w:ascii="Times New Roman" w:hAnsi="Times New Roman" w:cs="Times New Roman"/>
          <w:sz w:val="24"/>
          <w:szCs w:val="24"/>
          <w:lang w:val="es-ES_tradnl"/>
        </w:rPr>
        <w:t xml:space="preserve"> El coeficiente </w:t>
      </w:r>
      <w:proofErr w:type="spellStart"/>
      <w:r w:rsidR="00D24EAE">
        <w:rPr>
          <w:rFonts w:ascii="Times New Roman" w:hAnsi="Times New Roman" w:cs="Times New Roman"/>
          <w:sz w:val="24"/>
          <w:szCs w:val="24"/>
          <w:lang w:val="es-ES_tradnl"/>
        </w:rPr>
        <w:t>Gini</w:t>
      </w:r>
      <w:proofErr w:type="spellEnd"/>
      <w:r w:rsidR="00D24EAE">
        <w:rPr>
          <w:rFonts w:ascii="Times New Roman" w:hAnsi="Times New Roman" w:cs="Times New Roman"/>
          <w:sz w:val="24"/>
          <w:szCs w:val="24"/>
          <w:lang w:val="es-ES_tradnl"/>
        </w:rPr>
        <w:t xml:space="preserve"> que mide la desigualdad en la distribución de la renta es de 0,49 en el año 2013. China es el país asiático con la mayor desigualdad salarial (</w:t>
      </w:r>
      <w:proofErr w:type="spellStart"/>
      <w:r w:rsidR="00D24EAE">
        <w:rPr>
          <w:rFonts w:ascii="Times New Roman" w:hAnsi="Times New Roman" w:cs="Times New Roman"/>
          <w:sz w:val="24"/>
          <w:szCs w:val="24"/>
          <w:lang w:val="es-ES_tradnl"/>
        </w:rPr>
        <w:t>Knight</w:t>
      </w:r>
      <w:proofErr w:type="spellEnd"/>
      <w:r w:rsidR="00D24EAE">
        <w:rPr>
          <w:rFonts w:ascii="Times New Roman" w:hAnsi="Times New Roman" w:cs="Times New Roman"/>
          <w:sz w:val="24"/>
          <w:szCs w:val="24"/>
          <w:lang w:val="es-ES_tradnl"/>
        </w:rPr>
        <w:t>, 2013)</w:t>
      </w:r>
      <w:r w:rsidR="00060125">
        <w:rPr>
          <w:rStyle w:val="FootnoteReference"/>
          <w:rFonts w:ascii="Times New Roman" w:hAnsi="Times New Roman" w:cs="Times New Roman"/>
          <w:sz w:val="24"/>
          <w:szCs w:val="24"/>
          <w:lang w:val="es-ES_tradnl"/>
        </w:rPr>
        <w:footnoteReference w:id="36"/>
      </w:r>
      <w:r w:rsidR="00D24EAE">
        <w:rPr>
          <w:rFonts w:ascii="Times New Roman" w:hAnsi="Times New Roman" w:cs="Times New Roman"/>
          <w:sz w:val="24"/>
          <w:szCs w:val="24"/>
          <w:lang w:val="es-ES_tradnl"/>
        </w:rPr>
        <w:t xml:space="preserve">. </w:t>
      </w:r>
      <w:r w:rsidR="00E8010E" w:rsidRPr="00E8010E">
        <w:rPr>
          <w:rFonts w:ascii="Times New Roman" w:hAnsi="Times New Roman" w:cs="Times New Roman"/>
          <w:sz w:val="24"/>
          <w:szCs w:val="24"/>
          <w:lang w:val="es-ES_tradnl"/>
        </w:rPr>
        <w:t xml:space="preserve">“Las sociedades más desiguales tienen unos coeficientes de </w:t>
      </w:r>
      <w:proofErr w:type="spellStart"/>
      <w:r w:rsidR="00E8010E" w:rsidRPr="00E8010E">
        <w:rPr>
          <w:rFonts w:ascii="Times New Roman" w:hAnsi="Times New Roman" w:cs="Times New Roman"/>
          <w:sz w:val="24"/>
          <w:szCs w:val="24"/>
          <w:lang w:val="es-ES_tradnl"/>
        </w:rPr>
        <w:t>Gini</w:t>
      </w:r>
      <w:proofErr w:type="spellEnd"/>
      <w:r w:rsidR="00E8010E" w:rsidRPr="00E8010E">
        <w:rPr>
          <w:rFonts w:ascii="Times New Roman" w:hAnsi="Times New Roman" w:cs="Times New Roman"/>
          <w:sz w:val="24"/>
          <w:szCs w:val="24"/>
          <w:lang w:val="es-ES_tradnl"/>
        </w:rPr>
        <w:t xml:space="preserve"> de 0,5 o más.” (</w:t>
      </w:r>
      <w:proofErr w:type="spellStart"/>
      <w:r w:rsidR="00E8010E" w:rsidRPr="00E8010E">
        <w:rPr>
          <w:rFonts w:ascii="Times New Roman" w:hAnsi="Times New Roman" w:cs="Times New Roman"/>
          <w:sz w:val="24"/>
          <w:szCs w:val="24"/>
          <w:lang w:val="es-ES_tradnl"/>
        </w:rPr>
        <w:t>Stiglitz</w:t>
      </w:r>
      <w:proofErr w:type="spellEnd"/>
      <w:r w:rsidR="00E8010E" w:rsidRPr="00E8010E">
        <w:rPr>
          <w:rFonts w:ascii="Times New Roman" w:hAnsi="Times New Roman" w:cs="Times New Roman"/>
          <w:sz w:val="24"/>
          <w:szCs w:val="24"/>
          <w:lang w:val="es-ES_tradnl"/>
        </w:rPr>
        <w:t>, 2012: 56)</w:t>
      </w:r>
      <w:r w:rsidR="00060125">
        <w:rPr>
          <w:rStyle w:val="FootnoteReference"/>
          <w:rFonts w:ascii="Times New Roman" w:hAnsi="Times New Roman" w:cs="Times New Roman"/>
          <w:sz w:val="24"/>
          <w:szCs w:val="24"/>
          <w:lang w:val="es-ES_tradnl"/>
        </w:rPr>
        <w:footnoteReference w:id="37"/>
      </w:r>
      <w:r w:rsidR="00E8010E" w:rsidRPr="00E8010E">
        <w:rPr>
          <w:rFonts w:ascii="Times New Roman" w:hAnsi="Times New Roman" w:cs="Times New Roman"/>
          <w:sz w:val="24"/>
          <w:szCs w:val="24"/>
          <w:lang w:val="es-ES_tradnl"/>
        </w:rPr>
        <w:t>.</w:t>
      </w:r>
    </w:p>
    <w:p w:rsidR="00001623" w:rsidRPr="00881AB8" w:rsidRDefault="00001623" w:rsidP="00061BB4">
      <w:pPr>
        <w:pStyle w:val="ListParagraph"/>
        <w:numPr>
          <w:ilvl w:val="0"/>
          <w:numId w:val="24"/>
        </w:numPr>
        <w:tabs>
          <w:tab w:val="left" w:pos="7613"/>
        </w:tabs>
        <w:spacing w:line="360" w:lineRule="auto"/>
        <w:ind w:firstLineChars="0"/>
        <w:rPr>
          <w:rFonts w:ascii="Times New Roman" w:hAnsi="Times New Roman" w:cs="Times New Roman"/>
          <w:sz w:val="24"/>
          <w:szCs w:val="24"/>
          <w:lang w:val="es-ES_tradnl"/>
        </w:rPr>
      </w:pPr>
      <w:r w:rsidRPr="00881AB8">
        <w:rPr>
          <w:rFonts w:ascii="Times New Roman" w:hAnsi="Times New Roman" w:cs="Times New Roman"/>
          <w:sz w:val="24"/>
          <w:szCs w:val="24"/>
          <w:lang w:val="es-ES_tradnl"/>
        </w:rPr>
        <w:lastRenderedPageBreak/>
        <w:t xml:space="preserve">Una legislación inadecuada </w:t>
      </w:r>
      <w:r w:rsidR="00D42925">
        <w:rPr>
          <w:rFonts w:ascii="Times New Roman" w:hAnsi="Times New Roman" w:cs="Times New Roman"/>
          <w:sz w:val="24"/>
          <w:szCs w:val="24"/>
          <w:lang w:val="es-ES_tradnl"/>
        </w:rPr>
        <w:t>y cuya aplicación es incierta y depende en exceso de las autoridades regionales</w:t>
      </w:r>
      <w:r w:rsidRPr="00881AB8">
        <w:rPr>
          <w:rFonts w:ascii="Times New Roman" w:hAnsi="Times New Roman" w:cs="Times New Roman"/>
          <w:sz w:val="24"/>
          <w:szCs w:val="24"/>
          <w:lang w:val="es-ES_tradnl"/>
        </w:rPr>
        <w:t>.</w:t>
      </w:r>
    </w:p>
    <w:p w:rsidR="00001623" w:rsidRDefault="00D42925" w:rsidP="00B71843">
      <w:pPr>
        <w:pStyle w:val="ListParagraph"/>
        <w:numPr>
          <w:ilvl w:val="0"/>
          <w:numId w:val="24"/>
        </w:numPr>
        <w:tabs>
          <w:tab w:val="left" w:pos="7613"/>
        </w:tabs>
        <w:spacing w:after="120" w:line="360" w:lineRule="auto"/>
        <w:ind w:left="714" w:firstLineChars="0" w:hanging="357"/>
        <w:rPr>
          <w:rFonts w:ascii="Times New Roman" w:hAnsi="Times New Roman" w:cs="Times New Roman"/>
          <w:sz w:val="24"/>
          <w:szCs w:val="24"/>
          <w:lang w:val="es-ES_tradnl"/>
        </w:rPr>
      </w:pPr>
      <w:r>
        <w:rPr>
          <w:rFonts w:ascii="Times New Roman" w:hAnsi="Times New Roman" w:cs="Times New Roman"/>
          <w:sz w:val="24"/>
          <w:szCs w:val="24"/>
          <w:lang w:val="es-ES_tradnl"/>
        </w:rPr>
        <w:t>Los problemas de cobertura social en</w:t>
      </w:r>
      <w:r w:rsidR="00001623" w:rsidRPr="00881AB8">
        <w:rPr>
          <w:rFonts w:ascii="Times New Roman" w:hAnsi="Times New Roman" w:cs="Times New Roman"/>
          <w:sz w:val="24"/>
          <w:szCs w:val="24"/>
          <w:lang w:val="es-ES_tradnl"/>
        </w:rPr>
        <w:t xml:space="preserve"> sanidad, pensiones</w:t>
      </w:r>
      <w:r>
        <w:rPr>
          <w:rFonts w:ascii="Times New Roman" w:hAnsi="Times New Roman" w:cs="Times New Roman"/>
          <w:sz w:val="24"/>
          <w:szCs w:val="24"/>
          <w:lang w:val="es-ES_tradnl"/>
        </w:rPr>
        <w:t xml:space="preserve"> y accidentes de trabajo afectan a</w:t>
      </w:r>
      <w:r w:rsidR="00001623" w:rsidRPr="00881AB8">
        <w:rPr>
          <w:rFonts w:ascii="Times New Roman" w:hAnsi="Times New Roman" w:cs="Times New Roman"/>
          <w:sz w:val="24"/>
          <w:szCs w:val="24"/>
          <w:lang w:val="es-ES_tradnl"/>
        </w:rPr>
        <w:t>l de</w:t>
      </w:r>
      <w:r w:rsidR="00B71843">
        <w:rPr>
          <w:rFonts w:ascii="Times New Roman" w:hAnsi="Times New Roman" w:cs="Times New Roman"/>
          <w:sz w:val="24"/>
          <w:szCs w:val="24"/>
          <w:lang w:val="es-ES_tradnl"/>
        </w:rPr>
        <w:t>sarrollo del mercado de trabajo.</w:t>
      </w:r>
    </w:p>
    <w:p w:rsidR="00B71843" w:rsidRPr="00B71843" w:rsidRDefault="00B71843" w:rsidP="00B71843">
      <w:pPr>
        <w:pStyle w:val="a0"/>
      </w:pPr>
      <w:r>
        <w:t xml:space="preserve">El mercado laboral chino ha pasado en el espacio de cuatro décadas desde un modelo de economía planifica con escasa movilidad de los trabajados y asignación de los factores de producción (entre ellos, el trabajo) por parte del Estado central, hacia un modelo de economía mixta con un mercado laboral muy dinámico, caracterizado por una tasa de desempleo muy baja. </w:t>
      </w:r>
    </w:p>
    <w:p w:rsidR="006D3F6B" w:rsidRDefault="00974A38" w:rsidP="00021F4E">
      <w:pPr>
        <w:pStyle w:val="Heading1"/>
        <w:rPr>
          <w:rFonts w:cs="Times New Roman"/>
          <w:sz w:val="36"/>
          <w:lang w:val="es-ES_tradnl"/>
        </w:rPr>
      </w:pPr>
      <w:bookmarkStart w:id="48" w:name="_Toc471215310"/>
      <w:r w:rsidRPr="00061BB4">
        <w:rPr>
          <w:rFonts w:cs="Times New Roman"/>
          <w:sz w:val="36"/>
          <w:lang w:val="es-ES_tradnl"/>
        </w:rPr>
        <w:t>Parte</w:t>
      </w:r>
      <w:r w:rsidR="00061BB4" w:rsidRPr="00061BB4">
        <w:rPr>
          <w:rFonts w:cs="Times New Roman" w:hint="eastAsia"/>
          <w:sz w:val="36"/>
          <w:lang w:val="es-ES_tradnl"/>
        </w:rPr>
        <w:t xml:space="preserve"> </w:t>
      </w:r>
      <w:r w:rsidR="00061BB4" w:rsidRPr="00061BB4">
        <w:rPr>
          <w:rFonts w:cs="Times New Roman"/>
          <w:sz w:val="36"/>
          <w:lang w:val="es-ES_tradnl"/>
        </w:rPr>
        <w:t>3</w:t>
      </w:r>
      <w:r w:rsidR="00061BB4" w:rsidRPr="00061BB4">
        <w:rPr>
          <w:rFonts w:cs="Times New Roman" w:hint="eastAsia"/>
          <w:sz w:val="36"/>
          <w:lang w:val="es-ES_tradnl"/>
        </w:rPr>
        <w:t>.</w:t>
      </w:r>
      <w:r w:rsidRPr="00061BB4">
        <w:rPr>
          <w:rFonts w:cs="Times New Roman"/>
          <w:sz w:val="36"/>
          <w:lang w:val="es-ES_tradnl"/>
        </w:rPr>
        <w:t xml:space="preserve"> Comparación de</w:t>
      </w:r>
      <w:r>
        <w:rPr>
          <w:rFonts w:cs="Times New Roman"/>
          <w:sz w:val="36"/>
          <w:lang w:val="es-ES_tradnl"/>
        </w:rPr>
        <w:t>l mercado laboral entre C</w:t>
      </w:r>
      <w:r w:rsidRPr="00061BB4">
        <w:rPr>
          <w:rFonts w:cs="Times New Roman"/>
          <w:sz w:val="36"/>
          <w:lang w:val="es-ES_tradnl"/>
        </w:rPr>
        <w:t xml:space="preserve">hina y </w:t>
      </w:r>
      <w:r>
        <w:rPr>
          <w:rFonts w:cs="Times New Roman"/>
          <w:sz w:val="36"/>
          <w:lang w:val="es-ES_tradnl"/>
        </w:rPr>
        <w:t>E</w:t>
      </w:r>
      <w:r w:rsidRPr="00061BB4">
        <w:rPr>
          <w:rFonts w:cs="Times New Roman"/>
          <w:sz w:val="36"/>
          <w:lang w:val="es-ES_tradnl"/>
        </w:rPr>
        <w:t>spaña</w:t>
      </w:r>
      <w:bookmarkEnd w:id="48"/>
    </w:p>
    <w:p w:rsidR="005D216A" w:rsidRPr="005D216A" w:rsidRDefault="005D216A" w:rsidP="005D216A">
      <w:pPr>
        <w:pStyle w:val="a1"/>
      </w:pPr>
      <w:r>
        <w:t>En est</w:t>
      </w:r>
      <w:r w:rsidR="00CC2D2B">
        <w:t>e</w:t>
      </w:r>
      <w:r>
        <w:t xml:space="preserve"> capítulo se realiza una comparación </w:t>
      </w:r>
      <w:bookmarkStart w:id="49" w:name="_GoBack"/>
      <w:bookmarkEnd w:id="49"/>
      <w:r>
        <w:t xml:space="preserve">de los principales indicadores macroeconómicos sobre el mercado laboral entre China y España. </w:t>
      </w:r>
    </w:p>
    <w:p w:rsidR="006D3F6B" w:rsidRDefault="005E003F" w:rsidP="00F5729C">
      <w:pPr>
        <w:pStyle w:val="Heading2"/>
        <w:rPr>
          <w:rFonts w:cs="Times New Roman"/>
          <w:lang w:val="es-ES_tradnl"/>
        </w:rPr>
      </w:pPr>
      <w:bookmarkStart w:id="50" w:name="_Toc471215311"/>
      <w:r w:rsidRPr="00F5729C">
        <w:rPr>
          <w:rFonts w:cs="Times New Roman" w:hint="eastAsia"/>
          <w:lang w:val="es-ES_tradnl"/>
        </w:rPr>
        <w:t xml:space="preserve">3.1 </w:t>
      </w:r>
      <w:r w:rsidR="006D3F6B" w:rsidRPr="00F5729C">
        <w:rPr>
          <w:rFonts w:cs="Times New Roman"/>
          <w:lang w:val="es-ES_tradnl"/>
        </w:rPr>
        <w:t>Tasa de población activa</w:t>
      </w:r>
      <w:bookmarkEnd w:id="50"/>
    </w:p>
    <w:p w:rsidR="00AD35BD" w:rsidRDefault="00092D1A" w:rsidP="00092D1A">
      <w:pPr>
        <w:pStyle w:val="a1"/>
      </w:pPr>
      <w:r>
        <w:t xml:space="preserve">La Figura </w:t>
      </w:r>
      <w:r w:rsidR="00B57AAA">
        <w:t>7</w:t>
      </w:r>
      <w:r>
        <w:t xml:space="preserve"> muestra la evolución de la tasa de población activa definida por el Banco Mundial: el porcentaje sobre el total de la población en </w:t>
      </w:r>
      <w:r w:rsidR="00C8417D">
        <w:t xml:space="preserve">edad activa (de 16 a 64 años). </w:t>
      </w:r>
    </w:p>
    <w:tbl>
      <w:tblPr>
        <w:tblStyle w:val="TableGrid"/>
        <w:tblW w:w="0" w:type="auto"/>
        <w:tblLook w:val="04A0" w:firstRow="1" w:lastRow="0" w:firstColumn="1" w:lastColumn="0" w:noHBand="0" w:noVBand="1"/>
      </w:tblPr>
      <w:tblGrid>
        <w:gridCol w:w="2304"/>
        <w:gridCol w:w="2304"/>
        <w:gridCol w:w="2304"/>
      </w:tblGrid>
      <w:tr w:rsidR="000A3938" w:rsidTr="00C8417D">
        <w:tc>
          <w:tcPr>
            <w:tcW w:w="6912" w:type="dxa"/>
            <w:gridSpan w:val="3"/>
            <w:shd w:val="clear" w:color="auto" w:fill="D9D9D9" w:themeFill="background1" w:themeFillShade="D9"/>
            <w:vAlign w:val="center"/>
          </w:tcPr>
          <w:p w:rsidR="000A3938" w:rsidRPr="000A3938" w:rsidRDefault="000A3938" w:rsidP="000A3938">
            <w:pPr>
              <w:pStyle w:val="a1"/>
              <w:spacing w:after="0" w:line="240" w:lineRule="auto"/>
              <w:jc w:val="center"/>
              <w:rPr>
                <w:b/>
              </w:rPr>
            </w:pPr>
            <w:r w:rsidRPr="000A3938">
              <w:rPr>
                <w:b/>
              </w:rPr>
              <w:t>Tasa desempleo</w:t>
            </w:r>
          </w:p>
        </w:tc>
      </w:tr>
      <w:tr w:rsidR="000A3938" w:rsidTr="00A9653F">
        <w:tc>
          <w:tcPr>
            <w:tcW w:w="2304" w:type="dxa"/>
            <w:vAlign w:val="center"/>
          </w:tcPr>
          <w:p w:rsidR="000A3938" w:rsidRPr="00A9653F" w:rsidRDefault="000A3938" w:rsidP="00A9653F">
            <w:pPr>
              <w:pStyle w:val="a1"/>
              <w:spacing w:after="0" w:line="240" w:lineRule="auto"/>
              <w:jc w:val="center"/>
              <w:rPr>
                <w:b/>
              </w:rPr>
            </w:pPr>
            <w:r w:rsidRPr="00A9653F">
              <w:rPr>
                <w:b/>
              </w:rPr>
              <w:t>Año</w:t>
            </w:r>
          </w:p>
        </w:tc>
        <w:tc>
          <w:tcPr>
            <w:tcW w:w="2304" w:type="dxa"/>
            <w:vAlign w:val="center"/>
          </w:tcPr>
          <w:p w:rsidR="000A3938" w:rsidRPr="00A9653F" w:rsidRDefault="00A9653F" w:rsidP="00A9653F">
            <w:pPr>
              <w:pStyle w:val="a1"/>
              <w:spacing w:after="0" w:line="240" w:lineRule="auto"/>
              <w:jc w:val="center"/>
              <w:rPr>
                <w:b/>
              </w:rPr>
            </w:pPr>
            <w:r>
              <w:rPr>
                <w:b/>
              </w:rPr>
              <w:t>España</w:t>
            </w:r>
          </w:p>
        </w:tc>
        <w:tc>
          <w:tcPr>
            <w:tcW w:w="2304" w:type="dxa"/>
            <w:vAlign w:val="center"/>
          </w:tcPr>
          <w:p w:rsidR="000A3938" w:rsidRPr="00A9653F" w:rsidRDefault="00A9653F" w:rsidP="00A9653F">
            <w:pPr>
              <w:pStyle w:val="a1"/>
              <w:spacing w:after="0" w:line="240" w:lineRule="auto"/>
              <w:jc w:val="center"/>
              <w:rPr>
                <w:b/>
              </w:rPr>
            </w:pPr>
            <w:r>
              <w:rPr>
                <w:b/>
              </w:rPr>
              <w:t>China</w:t>
            </w:r>
          </w:p>
        </w:tc>
      </w:tr>
      <w:tr w:rsidR="000A3938" w:rsidTr="00A9653F">
        <w:tc>
          <w:tcPr>
            <w:tcW w:w="2304" w:type="dxa"/>
            <w:vAlign w:val="center"/>
          </w:tcPr>
          <w:p w:rsidR="000A3938" w:rsidRDefault="000A3938" w:rsidP="00A9653F">
            <w:pPr>
              <w:pStyle w:val="a1"/>
              <w:spacing w:after="0" w:line="240" w:lineRule="auto"/>
              <w:jc w:val="center"/>
            </w:pPr>
            <w:r>
              <w:t>2000</w:t>
            </w:r>
          </w:p>
        </w:tc>
        <w:tc>
          <w:tcPr>
            <w:tcW w:w="2304" w:type="dxa"/>
            <w:vAlign w:val="center"/>
          </w:tcPr>
          <w:p w:rsidR="000A3938" w:rsidRDefault="00A9653F" w:rsidP="00A9653F">
            <w:pPr>
              <w:pStyle w:val="a1"/>
              <w:spacing w:after="0" w:line="240" w:lineRule="auto"/>
              <w:jc w:val="center"/>
            </w:pPr>
            <w:r>
              <w:t>65.7%</w:t>
            </w:r>
          </w:p>
        </w:tc>
        <w:tc>
          <w:tcPr>
            <w:tcW w:w="2304" w:type="dxa"/>
            <w:vAlign w:val="center"/>
          </w:tcPr>
          <w:p w:rsidR="000A3938" w:rsidRDefault="00A9653F" w:rsidP="00A9653F">
            <w:pPr>
              <w:pStyle w:val="a1"/>
              <w:spacing w:after="0" w:line="240" w:lineRule="auto"/>
              <w:jc w:val="center"/>
            </w:pPr>
            <w:r>
              <w:t>82.4%</w:t>
            </w:r>
          </w:p>
        </w:tc>
      </w:tr>
      <w:tr w:rsidR="000A3938" w:rsidTr="00A9653F">
        <w:tc>
          <w:tcPr>
            <w:tcW w:w="2304" w:type="dxa"/>
            <w:vAlign w:val="center"/>
          </w:tcPr>
          <w:p w:rsidR="000A3938" w:rsidRDefault="000A3938" w:rsidP="00A9653F">
            <w:pPr>
              <w:pStyle w:val="a1"/>
              <w:spacing w:after="0" w:line="240" w:lineRule="auto"/>
              <w:jc w:val="center"/>
            </w:pPr>
            <w:r>
              <w:t>2001</w:t>
            </w:r>
          </w:p>
        </w:tc>
        <w:tc>
          <w:tcPr>
            <w:tcW w:w="2304" w:type="dxa"/>
            <w:vAlign w:val="center"/>
          </w:tcPr>
          <w:p w:rsidR="000A3938" w:rsidRDefault="00A9653F" w:rsidP="00A9653F">
            <w:pPr>
              <w:pStyle w:val="a1"/>
              <w:spacing w:after="0" w:line="240" w:lineRule="auto"/>
              <w:jc w:val="center"/>
            </w:pPr>
            <w:r>
              <w:t>64.8%</w:t>
            </w:r>
          </w:p>
        </w:tc>
        <w:tc>
          <w:tcPr>
            <w:tcW w:w="2304" w:type="dxa"/>
            <w:vAlign w:val="center"/>
          </w:tcPr>
          <w:p w:rsidR="000A3938" w:rsidRDefault="00A9653F" w:rsidP="00A9653F">
            <w:pPr>
              <w:pStyle w:val="a1"/>
              <w:spacing w:after="0" w:line="240" w:lineRule="auto"/>
              <w:jc w:val="center"/>
            </w:pPr>
            <w:r>
              <w:t>81.6%</w:t>
            </w:r>
          </w:p>
        </w:tc>
      </w:tr>
      <w:tr w:rsidR="000A3938" w:rsidTr="00A9653F">
        <w:tc>
          <w:tcPr>
            <w:tcW w:w="2304" w:type="dxa"/>
            <w:vAlign w:val="center"/>
          </w:tcPr>
          <w:p w:rsidR="000A3938" w:rsidRDefault="000A3938" w:rsidP="00A9653F">
            <w:pPr>
              <w:pStyle w:val="a1"/>
              <w:spacing w:after="0" w:line="240" w:lineRule="auto"/>
              <w:jc w:val="center"/>
            </w:pPr>
            <w:r>
              <w:t>2002</w:t>
            </w:r>
          </w:p>
        </w:tc>
        <w:tc>
          <w:tcPr>
            <w:tcW w:w="2304" w:type="dxa"/>
            <w:vAlign w:val="center"/>
          </w:tcPr>
          <w:p w:rsidR="000A3938" w:rsidRDefault="00A9653F" w:rsidP="00A9653F">
            <w:pPr>
              <w:pStyle w:val="a1"/>
              <w:spacing w:after="0" w:line="240" w:lineRule="auto"/>
              <w:jc w:val="center"/>
            </w:pPr>
            <w:r>
              <w:t>66.1%</w:t>
            </w:r>
          </w:p>
        </w:tc>
        <w:tc>
          <w:tcPr>
            <w:tcW w:w="2304" w:type="dxa"/>
            <w:vAlign w:val="center"/>
          </w:tcPr>
          <w:p w:rsidR="000A3938" w:rsidRDefault="00A9653F" w:rsidP="00A9653F">
            <w:pPr>
              <w:pStyle w:val="a1"/>
              <w:spacing w:after="0" w:line="240" w:lineRule="auto"/>
              <w:jc w:val="center"/>
            </w:pPr>
            <w:r>
              <w:t>80.8%</w:t>
            </w:r>
          </w:p>
        </w:tc>
      </w:tr>
      <w:tr w:rsidR="000A3938" w:rsidTr="00A9653F">
        <w:tc>
          <w:tcPr>
            <w:tcW w:w="2304" w:type="dxa"/>
            <w:vAlign w:val="center"/>
          </w:tcPr>
          <w:p w:rsidR="000A3938" w:rsidRDefault="000A3938" w:rsidP="00A9653F">
            <w:pPr>
              <w:pStyle w:val="a1"/>
              <w:spacing w:after="0" w:line="240" w:lineRule="auto"/>
              <w:jc w:val="center"/>
            </w:pPr>
            <w:r>
              <w:t>2003</w:t>
            </w:r>
          </w:p>
        </w:tc>
        <w:tc>
          <w:tcPr>
            <w:tcW w:w="2304" w:type="dxa"/>
            <w:vAlign w:val="center"/>
          </w:tcPr>
          <w:p w:rsidR="000A3938" w:rsidRDefault="00A9653F" w:rsidP="00A9653F">
            <w:pPr>
              <w:pStyle w:val="a1"/>
              <w:spacing w:after="0" w:line="240" w:lineRule="auto"/>
              <w:jc w:val="center"/>
            </w:pPr>
            <w:r>
              <w:t>67.6%</w:t>
            </w:r>
          </w:p>
        </w:tc>
        <w:tc>
          <w:tcPr>
            <w:tcW w:w="2304" w:type="dxa"/>
            <w:vAlign w:val="center"/>
          </w:tcPr>
          <w:p w:rsidR="000A3938" w:rsidRDefault="00A9653F" w:rsidP="00A9653F">
            <w:pPr>
              <w:pStyle w:val="a1"/>
              <w:spacing w:after="0" w:line="240" w:lineRule="auto"/>
              <w:jc w:val="center"/>
            </w:pPr>
            <w:r>
              <w:t>80.0%</w:t>
            </w:r>
          </w:p>
        </w:tc>
      </w:tr>
      <w:tr w:rsidR="000A3938" w:rsidTr="00A9653F">
        <w:tc>
          <w:tcPr>
            <w:tcW w:w="2304" w:type="dxa"/>
            <w:vAlign w:val="center"/>
          </w:tcPr>
          <w:p w:rsidR="000A3938" w:rsidRDefault="000A3938" w:rsidP="00A9653F">
            <w:pPr>
              <w:pStyle w:val="a1"/>
              <w:spacing w:after="0" w:line="240" w:lineRule="auto"/>
              <w:jc w:val="center"/>
            </w:pPr>
            <w:r>
              <w:t>2004</w:t>
            </w:r>
          </w:p>
        </w:tc>
        <w:tc>
          <w:tcPr>
            <w:tcW w:w="2304" w:type="dxa"/>
            <w:vAlign w:val="center"/>
          </w:tcPr>
          <w:p w:rsidR="000A3938" w:rsidRDefault="00A9653F" w:rsidP="00A9653F">
            <w:pPr>
              <w:pStyle w:val="a1"/>
              <w:spacing w:after="0" w:line="240" w:lineRule="auto"/>
              <w:jc w:val="center"/>
            </w:pPr>
            <w:r>
              <w:t>68.9%</w:t>
            </w:r>
          </w:p>
        </w:tc>
        <w:tc>
          <w:tcPr>
            <w:tcW w:w="2304" w:type="dxa"/>
            <w:vAlign w:val="center"/>
          </w:tcPr>
          <w:p w:rsidR="000A3938" w:rsidRDefault="00A9653F" w:rsidP="00A9653F">
            <w:pPr>
              <w:pStyle w:val="a1"/>
              <w:spacing w:after="0" w:line="240" w:lineRule="auto"/>
              <w:jc w:val="center"/>
            </w:pPr>
            <w:r>
              <w:t>79.2%</w:t>
            </w:r>
          </w:p>
        </w:tc>
      </w:tr>
      <w:tr w:rsidR="000A3938" w:rsidTr="00A9653F">
        <w:tc>
          <w:tcPr>
            <w:tcW w:w="2304" w:type="dxa"/>
            <w:vAlign w:val="center"/>
          </w:tcPr>
          <w:p w:rsidR="000A3938" w:rsidRDefault="000A3938" w:rsidP="00A9653F">
            <w:pPr>
              <w:pStyle w:val="a1"/>
              <w:spacing w:after="0" w:line="240" w:lineRule="auto"/>
              <w:jc w:val="center"/>
            </w:pPr>
            <w:r>
              <w:t>2005</w:t>
            </w:r>
          </w:p>
        </w:tc>
        <w:tc>
          <w:tcPr>
            <w:tcW w:w="2304" w:type="dxa"/>
            <w:vAlign w:val="center"/>
          </w:tcPr>
          <w:p w:rsidR="000A3938" w:rsidRDefault="00A9653F" w:rsidP="00A9653F">
            <w:pPr>
              <w:pStyle w:val="a1"/>
              <w:spacing w:after="0" w:line="240" w:lineRule="auto"/>
              <w:jc w:val="center"/>
            </w:pPr>
            <w:r>
              <w:t>70.0%</w:t>
            </w:r>
          </w:p>
        </w:tc>
        <w:tc>
          <w:tcPr>
            <w:tcW w:w="2304" w:type="dxa"/>
            <w:vAlign w:val="center"/>
          </w:tcPr>
          <w:p w:rsidR="000A3938" w:rsidRDefault="00A9653F" w:rsidP="00A9653F">
            <w:pPr>
              <w:pStyle w:val="a1"/>
              <w:spacing w:after="0" w:line="240" w:lineRule="auto"/>
              <w:jc w:val="center"/>
            </w:pPr>
            <w:r>
              <w:t>78.6%</w:t>
            </w:r>
          </w:p>
        </w:tc>
      </w:tr>
      <w:tr w:rsidR="000A3938" w:rsidTr="00A9653F">
        <w:tc>
          <w:tcPr>
            <w:tcW w:w="2304" w:type="dxa"/>
            <w:vAlign w:val="center"/>
          </w:tcPr>
          <w:p w:rsidR="000A3938" w:rsidRDefault="000A3938" w:rsidP="00A9653F">
            <w:pPr>
              <w:pStyle w:val="a1"/>
              <w:spacing w:after="0" w:line="240" w:lineRule="auto"/>
              <w:jc w:val="center"/>
            </w:pPr>
            <w:r>
              <w:t>2006</w:t>
            </w:r>
          </w:p>
        </w:tc>
        <w:tc>
          <w:tcPr>
            <w:tcW w:w="2304" w:type="dxa"/>
            <w:vAlign w:val="center"/>
          </w:tcPr>
          <w:p w:rsidR="000A3938" w:rsidRDefault="00A9653F" w:rsidP="00A9653F">
            <w:pPr>
              <w:pStyle w:val="a1"/>
              <w:spacing w:after="0" w:line="240" w:lineRule="auto"/>
              <w:jc w:val="center"/>
            </w:pPr>
            <w:r>
              <w:t>71.1%</w:t>
            </w:r>
          </w:p>
        </w:tc>
        <w:tc>
          <w:tcPr>
            <w:tcW w:w="2304" w:type="dxa"/>
            <w:vAlign w:val="center"/>
          </w:tcPr>
          <w:p w:rsidR="000A3938" w:rsidRDefault="00A9653F" w:rsidP="00A9653F">
            <w:pPr>
              <w:pStyle w:val="a1"/>
              <w:spacing w:after="0" w:line="240" w:lineRule="auto"/>
              <w:jc w:val="center"/>
            </w:pPr>
            <w:r>
              <w:t>78.0%</w:t>
            </w:r>
          </w:p>
        </w:tc>
      </w:tr>
      <w:tr w:rsidR="000A3938" w:rsidTr="00A9653F">
        <w:tc>
          <w:tcPr>
            <w:tcW w:w="2304" w:type="dxa"/>
            <w:vAlign w:val="center"/>
          </w:tcPr>
          <w:p w:rsidR="000A3938" w:rsidRDefault="000A3938" w:rsidP="00A9653F">
            <w:pPr>
              <w:pStyle w:val="a1"/>
              <w:spacing w:after="0" w:line="240" w:lineRule="auto"/>
              <w:jc w:val="center"/>
            </w:pPr>
            <w:r>
              <w:t>2007</w:t>
            </w:r>
          </w:p>
        </w:tc>
        <w:tc>
          <w:tcPr>
            <w:tcW w:w="2304" w:type="dxa"/>
            <w:vAlign w:val="center"/>
          </w:tcPr>
          <w:p w:rsidR="000A3938" w:rsidRDefault="00A9653F" w:rsidP="00A9653F">
            <w:pPr>
              <w:pStyle w:val="a1"/>
              <w:spacing w:after="0" w:line="240" w:lineRule="auto"/>
              <w:jc w:val="center"/>
            </w:pPr>
            <w:r>
              <w:t>71.8%</w:t>
            </w:r>
          </w:p>
        </w:tc>
        <w:tc>
          <w:tcPr>
            <w:tcW w:w="2304" w:type="dxa"/>
            <w:vAlign w:val="center"/>
          </w:tcPr>
          <w:p w:rsidR="000A3938" w:rsidRDefault="00C8417D" w:rsidP="00A9653F">
            <w:pPr>
              <w:pStyle w:val="a1"/>
              <w:spacing w:after="0" w:line="240" w:lineRule="auto"/>
              <w:jc w:val="center"/>
            </w:pPr>
            <w:r>
              <w:t>77.5%</w:t>
            </w:r>
          </w:p>
        </w:tc>
      </w:tr>
      <w:tr w:rsidR="000A3938" w:rsidTr="00A9653F">
        <w:tc>
          <w:tcPr>
            <w:tcW w:w="2304" w:type="dxa"/>
            <w:vAlign w:val="center"/>
          </w:tcPr>
          <w:p w:rsidR="000A3938" w:rsidRDefault="000A3938" w:rsidP="00A9653F">
            <w:pPr>
              <w:pStyle w:val="a1"/>
              <w:spacing w:after="0" w:line="240" w:lineRule="auto"/>
              <w:jc w:val="center"/>
            </w:pPr>
            <w:r>
              <w:t>2008</w:t>
            </w:r>
          </w:p>
        </w:tc>
        <w:tc>
          <w:tcPr>
            <w:tcW w:w="2304" w:type="dxa"/>
            <w:vAlign w:val="center"/>
          </w:tcPr>
          <w:p w:rsidR="000A3938" w:rsidRDefault="00A9653F" w:rsidP="00A9653F">
            <w:pPr>
              <w:pStyle w:val="a1"/>
              <w:spacing w:after="0" w:line="240" w:lineRule="auto"/>
              <w:jc w:val="center"/>
            </w:pPr>
            <w:r>
              <w:t>72.9%</w:t>
            </w:r>
          </w:p>
        </w:tc>
        <w:tc>
          <w:tcPr>
            <w:tcW w:w="2304" w:type="dxa"/>
            <w:vAlign w:val="center"/>
          </w:tcPr>
          <w:p w:rsidR="000A3938" w:rsidRDefault="00C8417D" w:rsidP="00A9653F">
            <w:pPr>
              <w:pStyle w:val="a1"/>
              <w:spacing w:after="0" w:line="240" w:lineRule="auto"/>
              <w:jc w:val="center"/>
            </w:pPr>
            <w:r>
              <w:t>77.1%</w:t>
            </w:r>
          </w:p>
        </w:tc>
      </w:tr>
      <w:tr w:rsidR="000A3938" w:rsidTr="00A9653F">
        <w:tc>
          <w:tcPr>
            <w:tcW w:w="2304" w:type="dxa"/>
            <w:vAlign w:val="center"/>
          </w:tcPr>
          <w:p w:rsidR="000A3938" w:rsidRDefault="000A3938" w:rsidP="00A9653F">
            <w:pPr>
              <w:pStyle w:val="a1"/>
              <w:spacing w:after="0" w:line="240" w:lineRule="auto"/>
              <w:jc w:val="center"/>
            </w:pPr>
            <w:r>
              <w:t>2009</w:t>
            </w:r>
          </w:p>
        </w:tc>
        <w:tc>
          <w:tcPr>
            <w:tcW w:w="2304" w:type="dxa"/>
            <w:vAlign w:val="center"/>
          </w:tcPr>
          <w:p w:rsidR="000A3938" w:rsidRDefault="00A9653F" w:rsidP="00A9653F">
            <w:pPr>
              <w:pStyle w:val="a1"/>
              <w:spacing w:after="0" w:line="240" w:lineRule="auto"/>
              <w:jc w:val="center"/>
            </w:pPr>
            <w:r>
              <w:t>73.2%</w:t>
            </w:r>
          </w:p>
        </w:tc>
        <w:tc>
          <w:tcPr>
            <w:tcW w:w="2304" w:type="dxa"/>
            <w:vAlign w:val="center"/>
          </w:tcPr>
          <w:p w:rsidR="000A3938" w:rsidRDefault="00C8417D" w:rsidP="00A9653F">
            <w:pPr>
              <w:pStyle w:val="a1"/>
              <w:spacing w:after="0" w:line="240" w:lineRule="auto"/>
              <w:jc w:val="center"/>
            </w:pPr>
            <w:r>
              <w:t>76.7%</w:t>
            </w:r>
          </w:p>
        </w:tc>
      </w:tr>
      <w:tr w:rsidR="000A3938" w:rsidTr="00A9653F">
        <w:tc>
          <w:tcPr>
            <w:tcW w:w="2304" w:type="dxa"/>
            <w:vAlign w:val="center"/>
          </w:tcPr>
          <w:p w:rsidR="000A3938" w:rsidRDefault="000A3938" w:rsidP="00A9653F">
            <w:pPr>
              <w:pStyle w:val="a1"/>
              <w:spacing w:after="0" w:line="240" w:lineRule="auto"/>
              <w:jc w:val="center"/>
            </w:pPr>
            <w:r>
              <w:lastRenderedPageBreak/>
              <w:t>2010</w:t>
            </w:r>
          </w:p>
        </w:tc>
        <w:tc>
          <w:tcPr>
            <w:tcW w:w="2304" w:type="dxa"/>
            <w:vAlign w:val="center"/>
          </w:tcPr>
          <w:p w:rsidR="000A3938" w:rsidRDefault="00A9653F" w:rsidP="00A9653F">
            <w:pPr>
              <w:pStyle w:val="a1"/>
              <w:spacing w:after="0" w:line="240" w:lineRule="auto"/>
              <w:jc w:val="center"/>
            </w:pPr>
            <w:r>
              <w:t>73.6%</w:t>
            </w:r>
          </w:p>
        </w:tc>
        <w:tc>
          <w:tcPr>
            <w:tcW w:w="2304" w:type="dxa"/>
            <w:vAlign w:val="center"/>
          </w:tcPr>
          <w:p w:rsidR="000A3938" w:rsidRDefault="00C8417D" w:rsidP="00A9653F">
            <w:pPr>
              <w:pStyle w:val="a1"/>
              <w:spacing w:after="0" w:line="240" w:lineRule="auto"/>
              <w:jc w:val="center"/>
            </w:pPr>
            <w:r>
              <w:t>76.4%</w:t>
            </w:r>
          </w:p>
        </w:tc>
      </w:tr>
      <w:tr w:rsidR="000A3938" w:rsidTr="00A9653F">
        <w:tc>
          <w:tcPr>
            <w:tcW w:w="2304" w:type="dxa"/>
            <w:vAlign w:val="center"/>
          </w:tcPr>
          <w:p w:rsidR="000A3938" w:rsidRDefault="000A3938" w:rsidP="00A9653F">
            <w:pPr>
              <w:pStyle w:val="a1"/>
              <w:spacing w:after="0" w:line="240" w:lineRule="auto"/>
              <w:jc w:val="center"/>
            </w:pPr>
            <w:r>
              <w:t>2011</w:t>
            </w:r>
          </w:p>
        </w:tc>
        <w:tc>
          <w:tcPr>
            <w:tcW w:w="2304" w:type="dxa"/>
            <w:vAlign w:val="center"/>
          </w:tcPr>
          <w:p w:rsidR="000A3938" w:rsidRDefault="00A9653F" w:rsidP="00A9653F">
            <w:pPr>
              <w:pStyle w:val="a1"/>
              <w:spacing w:after="0" w:line="240" w:lineRule="auto"/>
              <w:jc w:val="center"/>
            </w:pPr>
            <w:r>
              <w:t>74.0%</w:t>
            </w:r>
          </w:p>
        </w:tc>
        <w:tc>
          <w:tcPr>
            <w:tcW w:w="2304" w:type="dxa"/>
            <w:vAlign w:val="center"/>
          </w:tcPr>
          <w:p w:rsidR="000A3938" w:rsidRDefault="00C8417D" w:rsidP="00A9653F">
            <w:pPr>
              <w:pStyle w:val="a1"/>
              <w:spacing w:after="0" w:line="240" w:lineRule="auto"/>
              <w:jc w:val="center"/>
            </w:pPr>
            <w:r>
              <w:t>76.7%</w:t>
            </w:r>
          </w:p>
        </w:tc>
      </w:tr>
      <w:tr w:rsidR="000A3938" w:rsidTr="00A9653F">
        <w:tc>
          <w:tcPr>
            <w:tcW w:w="2304" w:type="dxa"/>
            <w:vAlign w:val="center"/>
          </w:tcPr>
          <w:p w:rsidR="000A3938" w:rsidRDefault="000A3938" w:rsidP="00A9653F">
            <w:pPr>
              <w:pStyle w:val="a1"/>
              <w:spacing w:after="0" w:line="240" w:lineRule="auto"/>
              <w:jc w:val="center"/>
            </w:pPr>
            <w:r>
              <w:t>2012</w:t>
            </w:r>
          </w:p>
        </w:tc>
        <w:tc>
          <w:tcPr>
            <w:tcW w:w="2304" w:type="dxa"/>
            <w:vAlign w:val="center"/>
          </w:tcPr>
          <w:p w:rsidR="000A3938" w:rsidRDefault="00A9653F" w:rsidP="00A9653F">
            <w:pPr>
              <w:pStyle w:val="a1"/>
              <w:spacing w:after="0" w:line="240" w:lineRule="auto"/>
              <w:jc w:val="center"/>
            </w:pPr>
            <w:r>
              <w:t>74.4%</w:t>
            </w:r>
          </w:p>
        </w:tc>
        <w:tc>
          <w:tcPr>
            <w:tcW w:w="2304" w:type="dxa"/>
            <w:vAlign w:val="center"/>
          </w:tcPr>
          <w:p w:rsidR="000A3938" w:rsidRDefault="00C8417D" w:rsidP="00A9653F">
            <w:pPr>
              <w:pStyle w:val="a1"/>
              <w:spacing w:after="0" w:line="240" w:lineRule="auto"/>
              <w:jc w:val="center"/>
            </w:pPr>
            <w:r>
              <w:t>77.0%</w:t>
            </w:r>
          </w:p>
        </w:tc>
      </w:tr>
      <w:tr w:rsidR="000A3938" w:rsidTr="00A9653F">
        <w:tc>
          <w:tcPr>
            <w:tcW w:w="2304" w:type="dxa"/>
            <w:vAlign w:val="center"/>
          </w:tcPr>
          <w:p w:rsidR="000A3938" w:rsidRDefault="000A3938" w:rsidP="00A9653F">
            <w:pPr>
              <w:pStyle w:val="a1"/>
              <w:spacing w:after="0" w:line="240" w:lineRule="auto"/>
              <w:jc w:val="center"/>
            </w:pPr>
            <w:r>
              <w:t>2031</w:t>
            </w:r>
          </w:p>
        </w:tc>
        <w:tc>
          <w:tcPr>
            <w:tcW w:w="2304" w:type="dxa"/>
            <w:vAlign w:val="center"/>
          </w:tcPr>
          <w:p w:rsidR="000A3938" w:rsidRDefault="00A9653F" w:rsidP="00A9653F">
            <w:pPr>
              <w:pStyle w:val="a1"/>
              <w:spacing w:after="0" w:line="240" w:lineRule="auto"/>
              <w:jc w:val="center"/>
            </w:pPr>
            <w:r>
              <w:t>74.2%</w:t>
            </w:r>
          </w:p>
        </w:tc>
        <w:tc>
          <w:tcPr>
            <w:tcW w:w="2304" w:type="dxa"/>
            <w:vAlign w:val="center"/>
          </w:tcPr>
          <w:p w:rsidR="000A3938" w:rsidRDefault="00C8417D" w:rsidP="00A9653F">
            <w:pPr>
              <w:pStyle w:val="a1"/>
              <w:spacing w:after="0" w:line="240" w:lineRule="auto"/>
              <w:jc w:val="center"/>
            </w:pPr>
            <w:r>
              <w:t>77.3%</w:t>
            </w:r>
          </w:p>
        </w:tc>
      </w:tr>
      <w:tr w:rsidR="000A3938" w:rsidTr="00A9653F">
        <w:tc>
          <w:tcPr>
            <w:tcW w:w="2304" w:type="dxa"/>
            <w:vAlign w:val="center"/>
          </w:tcPr>
          <w:p w:rsidR="000A3938" w:rsidRDefault="000A3938" w:rsidP="00A9653F">
            <w:pPr>
              <w:pStyle w:val="a1"/>
              <w:spacing w:after="0" w:line="240" w:lineRule="auto"/>
              <w:jc w:val="center"/>
            </w:pPr>
            <w:r>
              <w:t>2014</w:t>
            </w:r>
          </w:p>
        </w:tc>
        <w:tc>
          <w:tcPr>
            <w:tcW w:w="2304" w:type="dxa"/>
            <w:vAlign w:val="center"/>
          </w:tcPr>
          <w:p w:rsidR="000A3938" w:rsidRDefault="00A9653F" w:rsidP="00A9653F">
            <w:pPr>
              <w:pStyle w:val="a1"/>
              <w:spacing w:after="0" w:line="240" w:lineRule="auto"/>
              <w:jc w:val="center"/>
            </w:pPr>
            <w:r>
              <w:t>74.4%</w:t>
            </w:r>
          </w:p>
        </w:tc>
        <w:tc>
          <w:tcPr>
            <w:tcW w:w="2304" w:type="dxa"/>
            <w:vAlign w:val="center"/>
          </w:tcPr>
          <w:p w:rsidR="000A3938" w:rsidRDefault="00C8417D" w:rsidP="00A9653F">
            <w:pPr>
              <w:pStyle w:val="a1"/>
              <w:spacing w:after="0" w:line="240" w:lineRule="auto"/>
              <w:jc w:val="center"/>
            </w:pPr>
            <w:r>
              <w:t>77.6%</w:t>
            </w:r>
          </w:p>
        </w:tc>
      </w:tr>
    </w:tbl>
    <w:p w:rsidR="000A3938" w:rsidRDefault="000A3938" w:rsidP="00092D1A">
      <w:pPr>
        <w:pStyle w:val="a1"/>
      </w:pPr>
    </w:p>
    <w:p w:rsidR="00B57AAA" w:rsidRPr="00092D1A" w:rsidRDefault="00B57AAA" w:rsidP="00B57AAA">
      <w:pPr>
        <w:pStyle w:val="a3"/>
      </w:pPr>
      <w:r>
        <w:t>Figura 7: Evolución de la tasa de población activa en China y en España 2000-2014</w:t>
      </w:r>
    </w:p>
    <w:p w:rsidR="006D3F6B" w:rsidRPr="00881AB8" w:rsidRDefault="009F6C95" w:rsidP="006D3F6B">
      <w:pPr>
        <w:rPr>
          <w:rFonts w:ascii="Times New Roman" w:hAnsi="Times New Roman" w:cs="Times New Roman"/>
          <w:lang w:val="es-ES_tradnl"/>
        </w:rPr>
      </w:pPr>
      <w:r>
        <w:rPr>
          <w:rFonts w:ascii="Times New Roman" w:hAnsi="Times New Roman" w:cs="Times New Roman"/>
          <w:noProof/>
          <w:lang w:val="es-ES" w:eastAsia="es-ES"/>
        </w:rPr>
        <w:drawing>
          <wp:inline distT="0" distB="0" distL="0" distR="0">
            <wp:extent cx="5274310" cy="3076575"/>
            <wp:effectExtent l="0" t="0" r="21590" b="9525"/>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6D3F6B" w:rsidRPr="00881AB8" w:rsidRDefault="00FA39C9" w:rsidP="00B57AAA">
      <w:pPr>
        <w:pStyle w:val="a6"/>
      </w:pPr>
      <w:r w:rsidRPr="00FA39C9">
        <w:rPr>
          <w:rFonts w:hint="eastAsia"/>
        </w:rPr>
        <w:t>Fuente:</w:t>
      </w:r>
      <w:r w:rsidRPr="00FA39C9">
        <w:t xml:space="preserve"> </w:t>
      </w:r>
      <w:r w:rsidR="00D24EAE">
        <w:t>Elaboración propia a partir de l</w:t>
      </w:r>
      <w:r w:rsidR="009F6C95">
        <w:t>os datos del Banco Mundial</w:t>
      </w:r>
      <w:r w:rsidR="00D24EAE">
        <w:rPr>
          <w:color w:val="252525"/>
          <w:shd w:val="clear" w:color="auto" w:fill="FFFFFF"/>
        </w:rPr>
        <w:t>.</w:t>
      </w:r>
    </w:p>
    <w:p w:rsidR="006D3F6B" w:rsidRDefault="00D24EAE" w:rsidP="00B71843">
      <w:pPr>
        <w:pStyle w:val="a1"/>
      </w:pPr>
      <w:r>
        <w:t xml:space="preserve">El porcentaje de población activa es un indicador importante que informa sobre el número </w:t>
      </w:r>
      <w:r w:rsidR="00FB4C4C">
        <w:t xml:space="preserve">y </w:t>
      </w:r>
      <w:r w:rsidR="006D3F6B" w:rsidRPr="00FA39C9">
        <w:t>personas que aportan trabajo para la producción de bienes y servicios</w:t>
      </w:r>
      <w:r w:rsidR="00FB4C4C">
        <w:t>, frente a la proporción de personas</w:t>
      </w:r>
      <w:r w:rsidR="009F6C95">
        <w:t xml:space="preserve"> en edad de trabajar</w:t>
      </w:r>
      <w:r w:rsidR="00FB4C4C">
        <w:t xml:space="preserve"> que no lo hacen</w:t>
      </w:r>
      <w:r w:rsidR="006D3F6B" w:rsidRPr="00FA39C9">
        <w:t xml:space="preserve">. Desde el grafico podemos observar que la tasa de población activa de </w:t>
      </w:r>
      <w:r w:rsidR="009F6C95">
        <w:t xml:space="preserve">China es mayor que la de España, pero que la diferencia se ha ido reduciendo a lo largo de los años. En 2014, la tasa de población activa en China fue del 77,6% y en España fue del 74,4%. </w:t>
      </w:r>
      <w:r w:rsidR="00B71843">
        <w:t xml:space="preserve">La tendencia es a una disminución de la tasa de población activa en China, provocada esencialmente por el cambio de configuración demográfico de la sociedad, con una mayor proporción de personas jubiladas. </w:t>
      </w:r>
    </w:p>
    <w:p w:rsidR="000E7635" w:rsidRPr="00881AB8" w:rsidRDefault="000E7635" w:rsidP="00B71843">
      <w:pPr>
        <w:pStyle w:val="a1"/>
      </w:pPr>
      <w:r w:rsidRPr="000E7635">
        <w:rPr>
          <w:i/>
        </w:rPr>
        <w:lastRenderedPageBreak/>
        <w:t>Conclusión:</w:t>
      </w:r>
      <w:r>
        <w:t xml:space="preserve"> España y China, a pesar de tener una estructura demográfica muy diferente, evolucionan hacia una proporción parecida de población en edad activa, situada aproximadamente el 75% de la poblaci</w:t>
      </w:r>
      <w:r w:rsidR="00842F56">
        <w:t xml:space="preserve">ón total. </w:t>
      </w:r>
      <w:r>
        <w:t>Una tendencia se afirma en los dos países: el aumento del segmento de la población jubilada.</w:t>
      </w:r>
    </w:p>
    <w:p w:rsidR="006D3F6B" w:rsidRPr="00B57AAA" w:rsidRDefault="00750A6F" w:rsidP="00B57AAA">
      <w:pPr>
        <w:pStyle w:val="Heading2"/>
      </w:pPr>
      <w:bookmarkStart w:id="51" w:name="_Toc471215312"/>
      <w:r w:rsidRPr="00567564">
        <w:t>3.</w:t>
      </w:r>
      <w:r w:rsidR="00567564" w:rsidRPr="00567564">
        <w:t>2</w:t>
      </w:r>
      <w:r w:rsidRPr="00567564">
        <w:t>.</w:t>
      </w:r>
      <w:r w:rsidR="005721BD" w:rsidRPr="00567564">
        <w:t xml:space="preserve"> </w:t>
      </w:r>
      <w:r w:rsidR="006D3F6B" w:rsidRPr="00567564">
        <w:t>Población activa, mujeres</w:t>
      </w:r>
      <w:bookmarkEnd w:id="51"/>
    </w:p>
    <w:p w:rsidR="00B8109B" w:rsidRDefault="00B57AAA" w:rsidP="00750A6F">
      <w:pPr>
        <w:pStyle w:val="a1"/>
      </w:pPr>
      <w:r>
        <w:t xml:space="preserve">La integración de las mujeres al mercado laboral ha sido uno de los grandes factores de cambio hacia economías desarrolladas y la optimización de la capacidad productiva de los países. </w:t>
      </w:r>
      <w:r w:rsidR="00750A6F">
        <w:t xml:space="preserve">La Figura </w:t>
      </w:r>
      <w:r w:rsidR="0059312A">
        <w:t>8</w:t>
      </w:r>
      <w:r w:rsidR="00750A6F">
        <w:t xml:space="preserve"> muestra la evolución de la proporción de mujeres dentro de la población activa d</w:t>
      </w:r>
      <w:r w:rsidR="00B8109B">
        <w:t>efinida por el Banco Mundial.</w:t>
      </w:r>
    </w:p>
    <w:tbl>
      <w:tblPr>
        <w:tblStyle w:val="TableGrid"/>
        <w:tblW w:w="0" w:type="auto"/>
        <w:tblLook w:val="04A0" w:firstRow="1" w:lastRow="0" w:firstColumn="1" w:lastColumn="0" w:noHBand="0" w:noVBand="1"/>
      </w:tblPr>
      <w:tblGrid>
        <w:gridCol w:w="2304"/>
        <w:gridCol w:w="2304"/>
        <w:gridCol w:w="2304"/>
      </w:tblGrid>
      <w:tr w:rsidR="00C8417D" w:rsidTr="0008433A">
        <w:tc>
          <w:tcPr>
            <w:tcW w:w="6912" w:type="dxa"/>
            <w:gridSpan w:val="3"/>
            <w:shd w:val="clear" w:color="auto" w:fill="D9D9D9" w:themeFill="background1" w:themeFillShade="D9"/>
            <w:vAlign w:val="center"/>
          </w:tcPr>
          <w:p w:rsidR="00B61B9F" w:rsidRPr="000A3938" w:rsidRDefault="00B61B9F" w:rsidP="00B61B9F">
            <w:pPr>
              <w:pStyle w:val="a1"/>
              <w:spacing w:after="0" w:line="240" w:lineRule="auto"/>
              <w:jc w:val="center"/>
              <w:rPr>
                <w:b/>
              </w:rPr>
            </w:pPr>
            <w:r>
              <w:rPr>
                <w:b/>
              </w:rPr>
              <w:t xml:space="preserve">Población activa, mujeres </w:t>
            </w:r>
          </w:p>
        </w:tc>
      </w:tr>
      <w:tr w:rsidR="00C8417D" w:rsidTr="0008433A">
        <w:tc>
          <w:tcPr>
            <w:tcW w:w="2304" w:type="dxa"/>
            <w:vAlign w:val="center"/>
          </w:tcPr>
          <w:p w:rsidR="00C8417D" w:rsidRPr="00A9653F" w:rsidRDefault="00C8417D" w:rsidP="0008433A">
            <w:pPr>
              <w:pStyle w:val="a1"/>
              <w:spacing w:after="0" w:line="240" w:lineRule="auto"/>
              <w:jc w:val="center"/>
              <w:rPr>
                <w:b/>
              </w:rPr>
            </w:pPr>
            <w:r w:rsidRPr="00A9653F">
              <w:rPr>
                <w:b/>
              </w:rPr>
              <w:t>Año</w:t>
            </w:r>
          </w:p>
        </w:tc>
        <w:tc>
          <w:tcPr>
            <w:tcW w:w="2304" w:type="dxa"/>
            <w:vAlign w:val="center"/>
          </w:tcPr>
          <w:p w:rsidR="00C8417D" w:rsidRPr="00A9653F" w:rsidRDefault="00C8417D" w:rsidP="0008433A">
            <w:pPr>
              <w:pStyle w:val="a1"/>
              <w:spacing w:after="0" w:line="240" w:lineRule="auto"/>
              <w:jc w:val="center"/>
              <w:rPr>
                <w:b/>
              </w:rPr>
            </w:pPr>
            <w:r>
              <w:rPr>
                <w:b/>
              </w:rPr>
              <w:t>España</w:t>
            </w:r>
          </w:p>
        </w:tc>
        <w:tc>
          <w:tcPr>
            <w:tcW w:w="2304" w:type="dxa"/>
            <w:vAlign w:val="center"/>
          </w:tcPr>
          <w:p w:rsidR="00C8417D" w:rsidRPr="00A9653F" w:rsidRDefault="00C8417D" w:rsidP="0008433A">
            <w:pPr>
              <w:pStyle w:val="a1"/>
              <w:spacing w:after="0" w:line="240" w:lineRule="auto"/>
              <w:jc w:val="center"/>
              <w:rPr>
                <w:b/>
              </w:rPr>
            </w:pPr>
            <w:r>
              <w:rPr>
                <w:b/>
              </w:rPr>
              <w:t>China</w:t>
            </w:r>
          </w:p>
        </w:tc>
      </w:tr>
      <w:tr w:rsidR="00C8417D" w:rsidTr="0008433A">
        <w:tc>
          <w:tcPr>
            <w:tcW w:w="2304" w:type="dxa"/>
            <w:vAlign w:val="center"/>
          </w:tcPr>
          <w:p w:rsidR="00C8417D" w:rsidRDefault="00C8417D" w:rsidP="0008433A">
            <w:pPr>
              <w:pStyle w:val="a1"/>
              <w:spacing w:after="0" w:line="240" w:lineRule="auto"/>
              <w:jc w:val="center"/>
            </w:pPr>
            <w:r>
              <w:t>2000</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39,40%</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44,90%</w:t>
            </w:r>
          </w:p>
        </w:tc>
      </w:tr>
      <w:tr w:rsidR="00C8417D" w:rsidTr="0008433A">
        <w:tc>
          <w:tcPr>
            <w:tcW w:w="2304" w:type="dxa"/>
            <w:vAlign w:val="center"/>
          </w:tcPr>
          <w:p w:rsidR="00C8417D" w:rsidRDefault="00C8417D" w:rsidP="0008433A">
            <w:pPr>
              <w:pStyle w:val="a1"/>
              <w:spacing w:after="0" w:line="240" w:lineRule="auto"/>
              <w:jc w:val="center"/>
            </w:pPr>
            <w:r>
              <w:t>2001</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38,90%</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44,90%</w:t>
            </w:r>
          </w:p>
        </w:tc>
      </w:tr>
      <w:tr w:rsidR="00C8417D" w:rsidTr="0008433A">
        <w:tc>
          <w:tcPr>
            <w:tcW w:w="2304" w:type="dxa"/>
            <w:vAlign w:val="center"/>
          </w:tcPr>
          <w:p w:rsidR="00C8417D" w:rsidRDefault="00C8417D" w:rsidP="0008433A">
            <w:pPr>
              <w:pStyle w:val="a1"/>
              <w:spacing w:after="0" w:line="240" w:lineRule="auto"/>
              <w:jc w:val="center"/>
            </w:pPr>
            <w:r>
              <w:t>2002</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39,60%</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44,80%</w:t>
            </w:r>
          </w:p>
        </w:tc>
      </w:tr>
      <w:tr w:rsidR="00C8417D" w:rsidTr="0008433A">
        <w:tc>
          <w:tcPr>
            <w:tcW w:w="2304" w:type="dxa"/>
            <w:vAlign w:val="center"/>
          </w:tcPr>
          <w:p w:rsidR="00C8417D" w:rsidRDefault="00C8417D" w:rsidP="0008433A">
            <w:pPr>
              <w:pStyle w:val="a1"/>
              <w:spacing w:after="0" w:line="240" w:lineRule="auto"/>
              <w:jc w:val="center"/>
            </w:pPr>
            <w:r>
              <w:t>2003</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40,30%</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44,70%</w:t>
            </w:r>
          </w:p>
        </w:tc>
      </w:tr>
      <w:tr w:rsidR="00C8417D" w:rsidTr="0008433A">
        <w:tc>
          <w:tcPr>
            <w:tcW w:w="2304" w:type="dxa"/>
            <w:vAlign w:val="center"/>
          </w:tcPr>
          <w:p w:rsidR="00C8417D" w:rsidRDefault="00C8417D" w:rsidP="0008433A">
            <w:pPr>
              <w:pStyle w:val="a1"/>
              <w:spacing w:after="0" w:line="240" w:lineRule="auto"/>
              <w:jc w:val="center"/>
            </w:pPr>
            <w:r>
              <w:t>2004</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40,80%</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44,60%</w:t>
            </w:r>
          </w:p>
        </w:tc>
      </w:tr>
      <w:tr w:rsidR="00C8417D" w:rsidTr="0008433A">
        <w:tc>
          <w:tcPr>
            <w:tcW w:w="2304" w:type="dxa"/>
            <w:vAlign w:val="center"/>
          </w:tcPr>
          <w:p w:rsidR="00C8417D" w:rsidRDefault="00C8417D" w:rsidP="0008433A">
            <w:pPr>
              <w:pStyle w:val="a1"/>
              <w:spacing w:after="0" w:line="240" w:lineRule="auto"/>
              <w:jc w:val="center"/>
            </w:pPr>
            <w:r>
              <w:t>2005</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41,20%</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44,50%</w:t>
            </w:r>
          </w:p>
        </w:tc>
      </w:tr>
      <w:tr w:rsidR="00C8417D" w:rsidTr="0008433A">
        <w:tc>
          <w:tcPr>
            <w:tcW w:w="2304" w:type="dxa"/>
            <w:vAlign w:val="center"/>
          </w:tcPr>
          <w:p w:rsidR="00C8417D" w:rsidRDefault="00C8417D" w:rsidP="0008433A">
            <w:pPr>
              <w:pStyle w:val="a1"/>
              <w:spacing w:after="0" w:line="240" w:lineRule="auto"/>
              <w:jc w:val="center"/>
            </w:pPr>
            <w:r>
              <w:t>2006</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41,90%</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44,40%</w:t>
            </w:r>
          </w:p>
        </w:tc>
      </w:tr>
      <w:tr w:rsidR="00C8417D" w:rsidTr="0008433A">
        <w:tc>
          <w:tcPr>
            <w:tcW w:w="2304" w:type="dxa"/>
            <w:vAlign w:val="center"/>
          </w:tcPr>
          <w:p w:rsidR="00C8417D" w:rsidRDefault="00C8417D" w:rsidP="0008433A">
            <w:pPr>
              <w:pStyle w:val="a1"/>
              <w:spacing w:after="0" w:line="240" w:lineRule="auto"/>
              <w:jc w:val="center"/>
            </w:pPr>
            <w:r>
              <w:t>2007</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42,20%</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44,30%</w:t>
            </w:r>
          </w:p>
        </w:tc>
      </w:tr>
      <w:tr w:rsidR="00C8417D" w:rsidTr="0008433A">
        <w:tc>
          <w:tcPr>
            <w:tcW w:w="2304" w:type="dxa"/>
            <w:vAlign w:val="center"/>
          </w:tcPr>
          <w:p w:rsidR="00C8417D" w:rsidRDefault="00C8417D" w:rsidP="0008433A">
            <w:pPr>
              <w:pStyle w:val="a1"/>
              <w:spacing w:after="0" w:line="240" w:lineRule="auto"/>
              <w:jc w:val="center"/>
            </w:pPr>
            <w:r>
              <w:t>2008</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42,80%</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44,20%</w:t>
            </w:r>
          </w:p>
        </w:tc>
      </w:tr>
      <w:tr w:rsidR="00C8417D" w:rsidTr="0008433A">
        <w:tc>
          <w:tcPr>
            <w:tcW w:w="2304" w:type="dxa"/>
            <w:vAlign w:val="center"/>
          </w:tcPr>
          <w:p w:rsidR="00C8417D" w:rsidRDefault="00C8417D" w:rsidP="0008433A">
            <w:pPr>
              <w:pStyle w:val="a1"/>
              <w:spacing w:after="0" w:line="240" w:lineRule="auto"/>
              <w:jc w:val="center"/>
            </w:pPr>
            <w:r>
              <w:t>2009</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43,70%</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44,10%</w:t>
            </w:r>
          </w:p>
        </w:tc>
      </w:tr>
      <w:tr w:rsidR="00C8417D" w:rsidTr="0008433A">
        <w:tc>
          <w:tcPr>
            <w:tcW w:w="2304" w:type="dxa"/>
            <w:vAlign w:val="center"/>
          </w:tcPr>
          <w:p w:rsidR="00C8417D" w:rsidRDefault="00C8417D" w:rsidP="0008433A">
            <w:pPr>
              <w:pStyle w:val="a1"/>
              <w:spacing w:after="0" w:line="240" w:lineRule="auto"/>
              <w:jc w:val="center"/>
            </w:pPr>
            <w:r>
              <w:t>2010</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44,20%</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44,00%</w:t>
            </w:r>
          </w:p>
        </w:tc>
      </w:tr>
      <w:tr w:rsidR="00C8417D" w:rsidTr="0008433A">
        <w:tc>
          <w:tcPr>
            <w:tcW w:w="2304" w:type="dxa"/>
            <w:vAlign w:val="center"/>
          </w:tcPr>
          <w:p w:rsidR="00C8417D" w:rsidRDefault="00C8417D" w:rsidP="0008433A">
            <w:pPr>
              <w:pStyle w:val="a1"/>
              <w:spacing w:after="0" w:line="240" w:lineRule="auto"/>
              <w:jc w:val="center"/>
            </w:pPr>
            <w:r>
              <w:t>2011</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44,80%</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43,90%</w:t>
            </w:r>
          </w:p>
        </w:tc>
      </w:tr>
      <w:tr w:rsidR="00C8417D" w:rsidTr="0008433A">
        <w:tc>
          <w:tcPr>
            <w:tcW w:w="2304" w:type="dxa"/>
            <w:vAlign w:val="center"/>
          </w:tcPr>
          <w:p w:rsidR="00C8417D" w:rsidRDefault="00C8417D" w:rsidP="0008433A">
            <w:pPr>
              <w:pStyle w:val="a1"/>
              <w:spacing w:after="0" w:line="240" w:lineRule="auto"/>
              <w:jc w:val="center"/>
            </w:pPr>
            <w:r>
              <w:t>2012</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45,20%</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43,90%</w:t>
            </w:r>
          </w:p>
        </w:tc>
      </w:tr>
      <w:tr w:rsidR="00C8417D" w:rsidTr="0008433A">
        <w:tc>
          <w:tcPr>
            <w:tcW w:w="2304" w:type="dxa"/>
            <w:vAlign w:val="center"/>
          </w:tcPr>
          <w:p w:rsidR="00C8417D" w:rsidRDefault="00C8417D" w:rsidP="0008433A">
            <w:pPr>
              <w:pStyle w:val="a1"/>
              <w:spacing w:after="0" w:line="240" w:lineRule="auto"/>
              <w:jc w:val="center"/>
            </w:pPr>
            <w:r>
              <w:t>2031</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45,50%</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43,90%</w:t>
            </w:r>
          </w:p>
        </w:tc>
      </w:tr>
      <w:tr w:rsidR="00C8417D" w:rsidTr="0008433A">
        <w:tc>
          <w:tcPr>
            <w:tcW w:w="2304" w:type="dxa"/>
            <w:vAlign w:val="center"/>
          </w:tcPr>
          <w:p w:rsidR="00C8417D" w:rsidRDefault="00C8417D" w:rsidP="0008433A">
            <w:pPr>
              <w:pStyle w:val="a1"/>
              <w:spacing w:after="0" w:line="240" w:lineRule="auto"/>
              <w:jc w:val="center"/>
            </w:pPr>
            <w:r>
              <w:t>2014</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45,60%</w:t>
            </w:r>
          </w:p>
        </w:tc>
        <w:tc>
          <w:tcPr>
            <w:tcW w:w="2304" w:type="dxa"/>
            <w:vAlign w:val="center"/>
          </w:tcPr>
          <w:p w:rsidR="00C8417D" w:rsidRPr="00C8417D" w:rsidRDefault="00C8417D" w:rsidP="00C8417D">
            <w:pPr>
              <w:widowControl/>
              <w:jc w:val="center"/>
              <w:rPr>
                <w:rFonts w:ascii="Times New Roman" w:eastAsia="Times New Roman" w:hAnsi="Times New Roman" w:cs="Times New Roman"/>
                <w:color w:val="000000"/>
                <w:kern w:val="0"/>
                <w:sz w:val="22"/>
                <w:lang w:val="es-ES"/>
              </w:rPr>
            </w:pPr>
            <w:r w:rsidRPr="00C8417D">
              <w:rPr>
                <w:rFonts w:ascii="Times New Roman" w:eastAsia="Times New Roman" w:hAnsi="Times New Roman" w:cs="Times New Roman"/>
                <w:color w:val="000000"/>
                <w:kern w:val="0"/>
                <w:sz w:val="22"/>
              </w:rPr>
              <w:t>43,90%</w:t>
            </w:r>
          </w:p>
        </w:tc>
      </w:tr>
    </w:tbl>
    <w:p w:rsidR="004876CF" w:rsidRDefault="004876CF" w:rsidP="00750A6F">
      <w:pPr>
        <w:pStyle w:val="a1"/>
      </w:pPr>
    </w:p>
    <w:p w:rsidR="00B8109B" w:rsidRPr="00092D1A" w:rsidRDefault="00B8109B" w:rsidP="00B8109B">
      <w:pPr>
        <w:pStyle w:val="a3"/>
      </w:pPr>
      <w:r>
        <w:lastRenderedPageBreak/>
        <w:t>Figura 8: P</w:t>
      </w:r>
      <w:r w:rsidR="00750A6F">
        <w:t xml:space="preserve">orcentaje de mujeres </w:t>
      </w:r>
      <w:r>
        <w:t>en la población activa de China y España</w:t>
      </w:r>
    </w:p>
    <w:p w:rsidR="00750A6F" w:rsidRPr="00881AB8" w:rsidRDefault="00750A6F" w:rsidP="00750A6F">
      <w:pPr>
        <w:rPr>
          <w:rFonts w:ascii="Times New Roman" w:hAnsi="Times New Roman" w:cs="Times New Roman"/>
          <w:lang w:val="es-ES_tradnl"/>
        </w:rPr>
      </w:pPr>
      <w:r>
        <w:rPr>
          <w:rFonts w:ascii="Times New Roman" w:hAnsi="Times New Roman" w:cs="Times New Roman"/>
          <w:noProof/>
          <w:lang w:val="es-ES" w:eastAsia="es-ES"/>
        </w:rPr>
        <w:drawing>
          <wp:inline distT="0" distB="0" distL="0" distR="0" wp14:anchorId="1A08133E" wp14:editId="42D6FCAD">
            <wp:extent cx="5274310" cy="3076575"/>
            <wp:effectExtent l="0" t="0" r="21590" b="9525"/>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50A6F" w:rsidRPr="00FA39C9" w:rsidRDefault="00750A6F" w:rsidP="00750A6F">
      <w:pPr>
        <w:pStyle w:val="a6"/>
      </w:pPr>
      <w:r w:rsidRPr="00FA39C9">
        <w:rPr>
          <w:rFonts w:hint="eastAsia"/>
        </w:rPr>
        <w:t>Fuente:</w:t>
      </w:r>
      <w:r w:rsidRPr="00FA39C9">
        <w:t xml:space="preserve"> </w:t>
      </w:r>
      <w:r>
        <w:t>Elaboración propia a partir de los datos del Banco Mundial</w:t>
      </w:r>
      <w:r>
        <w:rPr>
          <w:color w:val="252525"/>
          <w:shd w:val="clear" w:color="auto" w:fill="FFFFFF"/>
        </w:rPr>
        <w:t>.</w:t>
      </w:r>
    </w:p>
    <w:p w:rsidR="00750A6F" w:rsidRPr="00881AB8" w:rsidRDefault="00750A6F" w:rsidP="006D3F6B">
      <w:pPr>
        <w:pStyle w:val="NoSpacing"/>
        <w:rPr>
          <w:rFonts w:ascii="Times New Roman" w:hAnsi="Times New Roman" w:cs="Times New Roman"/>
        </w:rPr>
      </w:pPr>
    </w:p>
    <w:p w:rsidR="006F13E6" w:rsidRDefault="006D3F6B" w:rsidP="000E7635">
      <w:pPr>
        <w:pStyle w:val="a0"/>
      </w:pPr>
      <w:r w:rsidRPr="00640348">
        <w:t>La población activa femenina como porcentaje del total</w:t>
      </w:r>
      <w:r w:rsidR="00BE6CEC">
        <w:t xml:space="preserve"> de la población activa</w:t>
      </w:r>
      <w:r w:rsidRPr="00640348">
        <w:t xml:space="preserve"> muest</w:t>
      </w:r>
      <w:r w:rsidR="00BE6CEC">
        <w:t xml:space="preserve">ra hasta qué punto las mujeres </w:t>
      </w:r>
      <w:r w:rsidR="000E7635">
        <w:t>se integran</w:t>
      </w:r>
      <w:r w:rsidR="00BE6CEC">
        <w:t xml:space="preserve"> en el mercado laboral</w:t>
      </w:r>
      <w:r w:rsidRPr="00640348">
        <w:t xml:space="preserve">. Desde la perspectiva global de la </w:t>
      </w:r>
      <w:r w:rsidR="00061BB4" w:rsidRPr="00640348">
        <w:t>población</w:t>
      </w:r>
      <w:r w:rsidRPr="00640348">
        <w:t xml:space="preserve"> activa, la participación femenina está situada por debajo de 50%, lo que significa que tiene una mayor proporción de hombres que las mujeres. Además, la proporción de la población activa de las mujeres de China está </w:t>
      </w:r>
      <w:r w:rsidR="00B8109B" w:rsidRPr="00640348">
        <w:t>reduciéndo</w:t>
      </w:r>
      <w:r w:rsidR="00B8109B">
        <w:t>se</w:t>
      </w:r>
      <w:r w:rsidRPr="00640348">
        <w:t xml:space="preserve"> gradualmente cada año, de 44,</w:t>
      </w:r>
      <w:r w:rsidR="007C041F">
        <w:t>9</w:t>
      </w:r>
      <w:r w:rsidRPr="00640348">
        <w:t>% en 200</w:t>
      </w:r>
      <w:r w:rsidR="007C041F">
        <w:t>0</w:t>
      </w:r>
      <w:r w:rsidRPr="00640348">
        <w:t xml:space="preserve"> al 43,</w:t>
      </w:r>
      <w:r w:rsidR="007C041F">
        <w:t>9</w:t>
      </w:r>
      <w:r w:rsidRPr="00640348">
        <w:t>% en 201</w:t>
      </w:r>
      <w:r w:rsidR="007C041F">
        <w:t>4</w:t>
      </w:r>
      <w:r w:rsidRPr="00640348">
        <w:t xml:space="preserve">, y con </w:t>
      </w:r>
      <w:r w:rsidRPr="000E7635">
        <w:t>respecto</w:t>
      </w:r>
      <w:r w:rsidRPr="00640348">
        <w:t xml:space="preserve"> de España muestra una t</w:t>
      </w:r>
      <w:r w:rsidR="007C041F">
        <w:t xml:space="preserve">endencia creciente, desde 39,4% en 2000 hasta 45,6% en 2014. </w:t>
      </w:r>
      <w:r w:rsidRPr="00640348">
        <w:t>Antes de 2009, la proporción de la población activa de las mujeres chinas es mayor que la de mujeres españolas, mientras que después de 2009 la proporción de población activa de las mujeres españolas s</w:t>
      </w:r>
      <w:r w:rsidR="00061BB4">
        <w:t>uperó la de las mujeres chinas.</w:t>
      </w:r>
    </w:p>
    <w:p w:rsidR="000E7635" w:rsidRPr="001368DA" w:rsidRDefault="000E7635" w:rsidP="000E7635">
      <w:pPr>
        <w:pStyle w:val="a0"/>
        <w:rPr>
          <w:lang w:val="es-ES"/>
        </w:rPr>
      </w:pPr>
      <w:r w:rsidRPr="000E7635">
        <w:rPr>
          <w:i/>
        </w:rPr>
        <w:t>Conclusión:</w:t>
      </w:r>
      <w:r>
        <w:t xml:space="preserve"> La integración de la mujer al mercado laboral aumentar la proporción de la población activa y permite aprovechar la fuerza productiva del país. </w:t>
      </w:r>
      <w:r w:rsidR="00842F56">
        <w:t xml:space="preserve">Es </w:t>
      </w:r>
      <w:proofErr w:type="gramStart"/>
      <w:r w:rsidR="00842F56">
        <w:t>una</w:t>
      </w:r>
      <w:proofErr w:type="gramEnd"/>
      <w:r w:rsidR="00842F56">
        <w:t xml:space="preserve"> factor importante para hacer frente al envejecimiento de la población y al sostenimiento del sistema de pensiones. </w:t>
      </w:r>
    </w:p>
    <w:p w:rsidR="009E03D3" w:rsidRDefault="009E03D3" w:rsidP="009E03D3">
      <w:pPr>
        <w:pStyle w:val="Heading2"/>
        <w:rPr>
          <w:rFonts w:cs="Times New Roman"/>
        </w:rPr>
      </w:pPr>
      <w:bookmarkStart w:id="52" w:name="_Toc471215313"/>
      <w:r>
        <w:rPr>
          <w:rFonts w:cs="Times New Roman" w:hint="eastAsia"/>
          <w:lang w:val="es-ES_tradnl"/>
        </w:rPr>
        <w:lastRenderedPageBreak/>
        <w:t>3.</w:t>
      </w:r>
      <w:r w:rsidR="007C041F">
        <w:rPr>
          <w:rFonts w:cs="Times New Roman"/>
          <w:lang w:val="es-ES_tradnl"/>
        </w:rPr>
        <w:t>3.</w:t>
      </w:r>
      <w:r>
        <w:rPr>
          <w:rFonts w:cs="Times New Roman" w:hint="eastAsia"/>
          <w:lang w:val="es-ES_tradnl"/>
        </w:rPr>
        <w:t xml:space="preserve"> </w:t>
      </w:r>
      <w:r w:rsidRPr="00136859">
        <w:rPr>
          <w:rFonts w:cs="Times New Roman"/>
        </w:rPr>
        <w:t>Población ocupad</w:t>
      </w:r>
      <w:r w:rsidR="007C041F">
        <w:rPr>
          <w:rFonts w:cs="Times New Roman"/>
        </w:rPr>
        <w:t>a</w:t>
      </w:r>
      <w:r w:rsidRPr="00136859">
        <w:rPr>
          <w:rFonts w:cs="Times New Roman"/>
        </w:rPr>
        <w:t xml:space="preserve"> </w:t>
      </w:r>
      <w:r w:rsidRPr="00136859">
        <w:rPr>
          <w:rFonts w:cs="Times New Roman" w:hint="eastAsia"/>
        </w:rPr>
        <w:t xml:space="preserve">por grupo de </w:t>
      </w:r>
      <w:r w:rsidRPr="00136859">
        <w:rPr>
          <w:rFonts w:cs="Times New Roman"/>
        </w:rPr>
        <w:t>edad (% total empleos)</w:t>
      </w:r>
      <w:bookmarkEnd w:id="52"/>
    </w:p>
    <w:p w:rsidR="00B8109B" w:rsidRPr="00B8109B" w:rsidRDefault="00B8109B" w:rsidP="00B8109B">
      <w:pPr>
        <w:pStyle w:val="a1"/>
      </w:pPr>
      <w:r>
        <w:t xml:space="preserve">Los datos que se muestran en las siguientes tablas indican la repartición de la población ocupada por tramos de edad. </w:t>
      </w:r>
    </w:p>
    <w:p w:rsidR="009E03D3" w:rsidRPr="00136859" w:rsidRDefault="009E03D3" w:rsidP="009E03D3">
      <w:pPr>
        <w:spacing w:line="220" w:lineRule="atLeast"/>
        <w:rPr>
          <w:rFonts w:ascii="Times New Roman" w:hAnsi="Times New Roman" w:cs="Times New Roman"/>
          <w:b/>
          <w:sz w:val="24"/>
          <w:szCs w:val="24"/>
          <w:lang w:val="es-ES"/>
        </w:rPr>
      </w:pPr>
      <w:r w:rsidRPr="00136859">
        <w:rPr>
          <w:rFonts w:ascii="Times New Roman" w:hAnsi="Times New Roman" w:cs="Times New Roman"/>
          <w:b/>
          <w:sz w:val="24"/>
          <w:szCs w:val="24"/>
          <w:lang w:val="es-ES"/>
        </w:rPr>
        <w:t>España:</w:t>
      </w:r>
    </w:p>
    <w:p w:rsidR="008026BD" w:rsidRDefault="009E03D3" w:rsidP="008026BD">
      <w:pPr>
        <w:pStyle w:val="a6"/>
      </w:pPr>
      <w:r>
        <w:rPr>
          <w:noProof/>
          <w:lang w:val="es-ES" w:eastAsia="es-ES"/>
        </w:rPr>
        <w:drawing>
          <wp:inline distT="0" distB="0" distL="0" distR="0" wp14:anchorId="2759EF6E" wp14:editId="4043146B">
            <wp:extent cx="5495925" cy="2600325"/>
            <wp:effectExtent l="19050" t="0" r="9525"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srcRect/>
                    <a:stretch>
                      <a:fillRect/>
                    </a:stretch>
                  </pic:blipFill>
                  <pic:spPr bwMode="auto">
                    <a:xfrm>
                      <a:off x="0" y="0"/>
                      <a:ext cx="5495925" cy="2600325"/>
                    </a:xfrm>
                    <a:prstGeom prst="rect">
                      <a:avLst/>
                    </a:prstGeom>
                    <a:noFill/>
                    <a:ln w="9525">
                      <a:noFill/>
                      <a:miter lim="800000"/>
                      <a:headEnd/>
                      <a:tailEnd/>
                    </a:ln>
                  </pic:spPr>
                </pic:pic>
              </a:graphicData>
            </a:graphic>
          </wp:inline>
        </w:drawing>
      </w:r>
    </w:p>
    <w:p w:rsidR="006F13E6" w:rsidRDefault="009E03D3" w:rsidP="00DC743A">
      <w:pPr>
        <w:pStyle w:val="a6"/>
      </w:pPr>
      <w:r>
        <w:rPr>
          <w:rFonts w:hint="eastAsia"/>
        </w:rPr>
        <w:t>F</w:t>
      </w:r>
      <w:r w:rsidRPr="009E03D3">
        <w:t>uente:</w:t>
      </w:r>
      <w:r w:rsidR="00DC743A">
        <w:t xml:space="preserve"> Elaboración propia a partir de los datos del</w:t>
      </w:r>
      <w:r w:rsidRPr="009E03D3">
        <w:t xml:space="preserve"> Instituto Nacional de Estadística,</w:t>
      </w:r>
      <w:r w:rsidRPr="00136859">
        <w:rPr>
          <w:lang w:val="es-ES"/>
        </w:rPr>
        <w:t xml:space="preserve"> </w:t>
      </w:r>
      <w:r w:rsidRPr="009E03D3">
        <w:t>Ocupados por sexo y grupo de edad. Valores absolutos y porcentajes respecto d</w:t>
      </w:r>
      <w:r w:rsidR="008026BD">
        <w:t>el total de cada sexo 2006-2013</w:t>
      </w:r>
    </w:p>
    <w:p w:rsidR="009E03D3" w:rsidRPr="008026BD" w:rsidRDefault="008026BD" w:rsidP="00086056">
      <w:pPr>
        <w:pStyle w:val="a3"/>
      </w:pPr>
      <w:r>
        <w:t>China:</w:t>
      </w:r>
    </w:p>
    <w:p w:rsidR="008026BD" w:rsidRDefault="008026BD" w:rsidP="008026BD">
      <w:pPr>
        <w:pStyle w:val="a6"/>
      </w:pPr>
      <w:r>
        <w:rPr>
          <w:noProof/>
          <w:lang w:val="es-ES" w:eastAsia="es-ES"/>
        </w:rPr>
        <w:drawing>
          <wp:inline distT="0" distB="0" distL="0" distR="0" wp14:anchorId="62DB1382" wp14:editId="09884390">
            <wp:extent cx="5495925" cy="2343150"/>
            <wp:effectExtent l="0" t="0" r="9525" b="0"/>
            <wp:docPr id="1"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18" cstate="print"/>
                    <a:srcRect t="-1" b="-1344"/>
                    <a:stretch/>
                  </pic:blipFill>
                  <pic:spPr bwMode="auto">
                    <a:xfrm>
                      <a:off x="0" y="0"/>
                      <a:ext cx="5495925" cy="2343150"/>
                    </a:xfrm>
                    <a:prstGeom prst="rect">
                      <a:avLst/>
                    </a:prstGeom>
                    <a:noFill/>
                    <a:ln>
                      <a:noFill/>
                    </a:ln>
                    <a:extLst>
                      <a:ext uri="{53640926-AAD7-44D8-BBD7-CCE9431645EC}">
                        <a14:shadowObscured xmlns:a14="http://schemas.microsoft.com/office/drawing/2010/main"/>
                      </a:ext>
                    </a:extLst>
                  </pic:spPr>
                </pic:pic>
              </a:graphicData>
            </a:graphic>
          </wp:inline>
        </w:drawing>
      </w:r>
    </w:p>
    <w:p w:rsidR="009273F2" w:rsidRPr="00DC743A" w:rsidRDefault="009E03D3" w:rsidP="00DC743A">
      <w:pPr>
        <w:pStyle w:val="a6"/>
      </w:pPr>
      <w:r>
        <w:rPr>
          <w:rFonts w:hint="eastAsia"/>
        </w:rPr>
        <w:t>F</w:t>
      </w:r>
      <w:r w:rsidRPr="009E03D3">
        <w:t xml:space="preserve">uente: </w:t>
      </w:r>
      <w:r w:rsidR="00DC743A">
        <w:t xml:space="preserve">Elaboración propia a partir de los datos de la </w:t>
      </w:r>
      <w:r w:rsidRPr="00136859">
        <w:t>Oficina Nacional de Estadísticas de China</w:t>
      </w:r>
      <w:r w:rsidRPr="009E03D3">
        <w:t>,</w:t>
      </w:r>
      <w:r w:rsidRPr="00136859">
        <w:t xml:space="preserve"> </w:t>
      </w:r>
      <w:r w:rsidR="008026BD">
        <w:t>2006-2013</w:t>
      </w:r>
    </w:p>
    <w:p w:rsidR="006F13E6" w:rsidRDefault="00DC743A" w:rsidP="001368DA">
      <w:pPr>
        <w:pStyle w:val="a0"/>
        <w:rPr>
          <w:shd w:val="clear" w:color="auto" w:fill="FFFFFF"/>
        </w:rPr>
      </w:pPr>
      <w:r>
        <w:rPr>
          <w:shd w:val="clear" w:color="auto" w:fill="FFFFFF"/>
        </w:rPr>
        <w:lastRenderedPageBreak/>
        <w:t>Partiendo de</w:t>
      </w:r>
      <w:r w:rsidR="00506EDA" w:rsidRPr="00061BB4">
        <w:rPr>
          <w:shd w:val="clear" w:color="auto" w:fill="FFFFFF"/>
        </w:rPr>
        <w:t xml:space="preserve">l análisis </w:t>
      </w:r>
      <w:r w:rsidR="00B8109B">
        <w:rPr>
          <w:shd w:val="clear" w:color="auto" w:fill="FFFFFF"/>
        </w:rPr>
        <w:t xml:space="preserve">de </w:t>
      </w:r>
      <w:r w:rsidR="00506EDA" w:rsidRPr="00061BB4">
        <w:rPr>
          <w:shd w:val="clear" w:color="auto" w:fill="FFFFFF"/>
        </w:rPr>
        <w:t>los datos anteriores</w:t>
      </w:r>
      <w:r w:rsidR="001368DA">
        <w:rPr>
          <w:shd w:val="clear" w:color="auto" w:fill="FFFFFF"/>
        </w:rPr>
        <w:t xml:space="preserve"> se puede observar que</w:t>
      </w:r>
      <w:r w:rsidR="00506EDA" w:rsidRPr="00061BB4">
        <w:rPr>
          <w:shd w:val="clear" w:color="auto" w:fill="FFFFFF"/>
        </w:rPr>
        <w:t>, en general, </w:t>
      </w:r>
      <w:r w:rsidR="001368DA">
        <w:rPr>
          <w:shd w:val="clear" w:color="auto" w:fill="FFFFFF"/>
        </w:rPr>
        <w:t>en el grupo de</w:t>
      </w:r>
      <w:r>
        <w:rPr>
          <w:shd w:val="clear" w:color="auto" w:fill="FFFFFF"/>
        </w:rPr>
        <w:t xml:space="preserve"> </w:t>
      </w:r>
      <w:r w:rsidR="00506EDA" w:rsidRPr="00061BB4">
        <w:t>población ocupad</w:t>
      </w:r>
      <w:r>
        <w:t>a</w:t>
      </w:r>
      <w:r w:rsidR="00506EDA" w:rsidRPr="00061BB4">
        <w:t xml:space="preserve"> de edad</w:t>
      </w:r>
      <w:r w:rsidR="00506EDA" w:rsidRPr="00061BB4">
        <w:rPr>
          <w:shd w:val="clear" w:color="auto" w:fill="FFFFFF"/>
        </w:rPr>
        <w:t xml:space="preserve"> </w:t>
      </w:r>
      <w:r w:rsidR="001368DA">
        <w:rPr>
          <w:shd w:val="clear" w:color="auto" w:fill="FFFFFF"/>
        </w:rPr>
        <w:t>menor</w:t>
      </w:r>
      <w:r w:rsidR="00506EDA" w:rsidRPr="00061BB4">
        <w:rPr>
          <w:shd w:val="clear" w:color="auto" w:fill="FFFFFF"/>
        </w:rPr>
        <w:t xml:space="preserve"> de 30</w:t>
      </w:r>
      <w:r>
        <w:rPr>
          <w:shd w:val="clear" w:color="auto" w:fill="FFFFFF"/>
        </w:rPr>
        <w:t xml:space="preserve"> años</w:t>
      </w:r>
      <w:r w:rsidR="00506EDA" w:rsidRPr="00061BB4">
        <w:rPr>
          <w:shd w:val="clear" w:color="auto" w:fill="FFFFFF"/>
        </w:rPr>
        <w:t xml:space="preserve"> y mayor de 60 años, China supera </w:t>
      </w:r>
      <w:r>
        <w:rPr>
          <w:shd w:val="clear" w:color="auto" w:fill="FFFFFF"/>
        </w:rPr>
        <w:t>a</w:t>
      </w:r>
      <w:r w:rsidR="00506EDA" w:rsidRPr="00061BB4">
        <w:rPr>
          <w:shd w:val="clear" w:color="auto" w:fill="FFFFFF"/>
        </w:rPr>
        <w:t xml:space="preserve"> España, pero en la </w:t>
      </w:r>
      <w:r w:rsidR="00506EDA" w:rsidRPr="00061BB4">
        <w:t>población ocupad</w:t>
      </w:r>
      <w:r>
        <w:t>a</w:t>
      </w:r>
      <w:r w:rsidR="00506EDA" w:rsidRPr="00061BB4">
        <w:rPr>
          <w:shd w:val="clear" w:color="auto" w:fill="FFFFFF"/>
        </w:rPr>
        <w:t xml:space="preserve"> de entre los años 30</w:t>
      </w:r>
      <w:r w:rsidR="00061BB4">
        <w:rPr>
          <w:rFonts w:hint="eastAsia"/>
          <w:shd w:val="clear" w:color="auto" w:fill="FFFFFF"/>
        </w:rPr>
        <w:t>-</w:t>
      </w:r>
      <w:r w:rsidR="00506EDA" w:rsidRPr="00061BB4">
        <w:rPr>
          <w:shd w:val="clear" w:color="auto" w:fill="FFFFFF"/>
        </w:rPr>
        <w:t xml:space="preserve">49 representaran más del 50% del total del mercado de trabajo tanto en China como en España. Desde el punto de vista </w:t>
      </w:r>
      <w:r>
        <w:rPr>
          <w:shd w:val="clear" w:color="auto" w:fill="FFFFFF"/>
        </w:rPr>
        <w:t>de las tendencias desde 2006 hasta la actualidad</w:t>
      </w:r>
      <w:r w:rsidR="00506EDA" w:rsidRPr="00061BB4">
        <w:rPr>
          <w:shd w:val="clear" w:color="auto" w:fill="FFFFFF"/>
        </w:rPr>
        <w:t>, la proporción de la </w:t>
      </w:r>
      <w:r w:rsidR="00506EDA" w:rsidRPr="00061BB4">
        <w:t>población ocupad</w:t>
      </w:r>
      <w:r>
        <w:t>a</w:t>
      </w:r>
      <w:r w:rsidR="00506EDA" w:rsidRPr="00061BB4">
        <w:rPr>
          <w:shd w:val="clear" w:color="auto" w:fill="FFFFFF"/>
        </w:rPr>
        <w:t xml:space="preserve"> de España de menores de 35 años se ha </w:t>
      </w:r>
      <w:r w:rsidR="00061BB4">
        <w:rPr>
          <w:shd w:val="clear" w:color="auto" w:fill="FFFFFF"/>
        </w:rPr>
        <w:t>reducido</w:t>
      </w:r>
      <w:r w:rsidR="00506EDA" w:rsidRPr="00061BB4">
        <w:rPr>
          <w:shd w:val="clear" w:color="auto" w:fill="FFFFFF"/>
        </w:rPr>
        <w:t>; de entre 35-65 años la tasa de  </w:t>
      </w:r>
      <w:r w:rsidR="00506EDA" w:rsidRPr="00061BB4">
        <w:t>población ocupad</w:t>
      </w:r>
      <w:r>
        <w:t>a</w:t>
      </w:r>
      <w:r>
        <w:rPr>
          <w:shd w:val="clear" w:color="auto" w:fill="FFFFFF"/>
        </w:rPr>
        <w:t xml:space="preserve"> </w:t>
      </w:r>
      <w:r w:rsidR="00506EDA" w:rsidRPr="00061BB4">
        <w:rPr>
          <w:shd w:val="clear" w:color="auto" w:fill="FFFFFF"/>
        </w:rPr>
        <w:t>ha aument</w:t>
      </w:r>
      <w:r>
        <w:rPr>
          <w:shd w:val="clear" w:color="auto" w:fill="FFFFFF"/>
        </w:rPr>
        <w:t>ado.</w:t>
      </w:r>
      <w:r w:rsidR="00506EDA" w:rsidRPr="00061BB4">
        <w:rPr>
          <w:shd w:val="clear" w:color="auto" w:fill="FFFFFF"/>
        </w:rPr>
        <w:t> En China</w:t>
      </w:r>
      <w:r>
        <w:rPr>
          <w:shd w:val="clear" w:color="auto" w:fill="FFFFFF"/>
        </w:rPr>
        <w:t>,</w:t>
      </w:r>
      <w:r w:rsidR="00506EDA" w:rsidRPr="00061BB4">
        <w:rPr>
          <w:shd w:val="clear" w:color="auto" w:fill="FFFFFF"/>
        </w:rPr>
        <w:t xml:space="preserve"> la proporción de la </w:t>
      </w:r>
      <w:r w:rsidR="00506EDA" w:rsidRPr="00061BB4">
        <w:t>población ocupad</w:t>
      </w:r>
      <w:r>
        <w:t>a</w:t>
      </w:r>
      <w:r w:rsidR="00506EDA" w:rsidRPr="00061BB4">
        <w:t xml:space="preserve"> </w:t>
      </w:r>
      <w:r w:rsidR="00506EDA" w:rsidRPr="00061BB4">
        <w:rPr>
          <w:shd w:val="clear" w:color="auto" w:fill="FFFFFF"/>
        </w:rPr>
        <w:t>de menor de 19 años se ha reducido</w:t>
      </w:r>
      <w:r>
        <w:rPr>
          <w:shd w:val="clear" w:color="auto" w:fill="FFFFFF"/>
        </w:rPr>
        <w:t>, lo que refleja el aumento de los estudios superiores</w:t>
      </w:r>
      <w:r w:rsidR="00506EDA" w:rsidRPr="00061BB4">
        <w:rPr>
          <w:shd w:val="clear" w:color="auto" w:fill="FFFFFF"/>
        </w:rPr>
        <w:t>.</w:t>
      </w:r>
      <w:r w:rsidR="00506EDA" w:rsidRPr="00061BB4">
        <w:t xml:space="preserve"> </w:t>
      </w:r>
      <w:r>
        <w:rPr>
          <w:shd w:val="clear" w:color="auto" w:fill="FFFFFF"/>
        </w:rPr>
        <w:t>En</w:t>
      </w:r>
      <w:r w:rsidR="00506EDA" w:rsidRPr="00061BB4">
        <w:rPr>
          <w:shd w:val="clear" w:color="auto" w:fill="FFFFFF"/>
        </w:rPr>
        <w:t xml:space="preserve"> comparación con 2016,</w:t>
      </w:r>
      <w:r w:rsidR="00061BB4" w:rsidRPr="00061BB4">
        <w:rPr>
          <w:rFonts w:hint="eastAsia"/>
          <w:shd w:val="clear" w:color="auto" w:fill="FFFFFF"/>
        </w:rPr>
        <w:t xml:space="preserve"> </w:t>
      </w:r>
      <w:r w:rsidR="00506EDA" w:rsidRPr="00061BB4">
        <w:rPr>
          <w:shd w:val="clear" w:color="auto" w:fill="FFFFFF"/>
        </w:rPr>
        <w:t xml:space="preserve">la tasa se ha aumento de edad 20-29 años, 40-49 años y mayor de </w:t>
      </w:r>
      <w:r w:rsidR="00061BB4">
        <w:rPr>
          <w:shd w:val="clear" w:color="auto" w:fill="FFFFFF"/>
        </w:rPr>
        <w:t xml:space="preserve">55 </w:t>
      </w:r>
      <w:r w:rsidR="00061BB4" w:rsidRPr="00061BB4">
        <w:rPr>
          <w:shd w:val="clear" w:color="auto" w:fill="FFFFFF"/>
        </w:rPr>
        <w:t>años</w:t>
      </w:r>
      <w:r w:rsidR="00506EDA" w:rsidRPr="00061BB4">
        <w:rPr>
          <w:shd w:val="clear" w:color="auto" w:fill="FFFFFF"/>
        </w:rPr>
        <w:t>.</w:t>
      </w:r>
    </w:p>
    <w:p w:rsidR="001368DA" w:rsidRPr="008026BD" w:rsidRDefault="001368DA" w:rsidP="001368DA">
      <w:pPr>
        <w:pStyle w:val="a0"/>
        <w:rPr>
          <w:shd w:val="clear" w:color="auto" w:fill="FFFFFF"/>
        </w:rPr>
      </w:pPr>
      <w:r w:rsidRPr="001368DA">
        <w:rPr>
          <w:i/>
          <w:shd w:val="clear" w:color="auto" w:fill="FFFFFF"/>
        </w:rPr>
        <w:t>Conclusión:</w:t>
      </w:r>
      <w:r>
        <w:rPr>
          <w:shd w:val="clear" w:color="auto" w:fill="FFFFFF"/>
        </w:rPr>
        <w:t xml:space="preserve"> La mayor parte de la población ocupada, tanto en China como España, se concentra en los tramas de edad entre los 30 y 49 años. La proporción de la población menor de 30 años ocupada tiende a aumentar en España mientras disminuye en China. Es posible que esta última tendencia sea un efecto de las políticas institucionales en España que ofrecen incentivos a la contratación de jóvenes para intentar paliar las altas tasas de desempleo en este segmento de la población activa.</w:t>
      </w:r>
    </w:p>
    <w:p w:rsidR="006D3F6B" w:rsidRDefault="00F5729C" w:rsidP="00F5729C">
      <w:pPr>
        <w:pStyle w:val="Heading2"/>
        <w:rPr>
          <w:rFonts w:cs="Times New Roman"/>
          <w:lang w:val="es-ES_tradnl"/>
        </w:rPr>
      </w:pPr>
      <w:bookmarkStart w:id="53" w:name="_Toc471215314"/>
      <w:r>
        <w:rPr>
          <w:rFonts w:cs="Times New Roman" w:hint="eastAsia"/>
          <w:lang w:val="es-ES_tradnl"/>
        </w:rPr>
        <w:t xml:space="preserve">3.3 </w:t>
      </w:r>
      <w:r w:rsidR="006D3F6B" w:rsidRPr="00F5729C">
        <w:rPr>
          <w:rFonts w:cs="Times New Roman"/>
          <w:lang w:val="es-ES_tradnl"/>
        </w:rPr>
        <w:t xml:space="preserve">Mercado laboral </w:t>
      </w:r>
      <w:r w:rsidR="00DC743A">
        <w:rPr>
          <w:rFonts w:cs="Times New Roman"/>
          <w:lang w:val="es-ES_tradnl"/>
        </w:rPr>
        <w:t>por</w:t>
      </w:r>
      <w:r w:rsidR="006D3F6B" w:rsidRPr="00F5729C">
        <w:rPr>
          <w:rFonts w:cs="Times New Roman"/>
          <w:lang w:val="es-ES_tradnl"/>
        </w:rPr>
        <w:t xml:space="preserve"> sectores</w:t>
      </w:r>
      <w:r w:rsidR="00DC743A">
        <w:rPr>
          <w:rFonts w:cs="Times New Roman"/>
          <w:lang w:val="es-ES_tradnl"/>
        </w:rPr>
        <w:t xml:space="preserve"> de actividad</w:t>
      </w:r>
      <w:bookmarkEnd w:id="53"/>
    </w:p>
    <w:p w:rsidR="00B8109B" w:rsidRPr="00B8109B" w:rsidRDefault="00B8109B" w:rsidP="00B8109B">
      <w:pPr>
        <w:pStyle w:val="a1"/>
      </w:pPr>
      <w:r>
        <w:t xml:space="preserve">En este apartado se analiza la repartición de la fuerza laboral de China y </w:t>
      </w:r>
      <w:r w:rsidR="001368DA">
        <w:t xml:space="preserve">de </w:t>
      </w:r>
      <w:r>
        <w:t xml:space="preserve">España en función de los tres principales sectores de actividad: el sector primario (principalmente agricultura, pero también </w:t>
      </w:r>
      <w:r w:rsidR="0059312A">
        <w:t>industrias extractivas), el sector secundario (industria y manufactura, incluye también la energía), el sector terciario (servicios).</w:t>
      </w:r>
    </w:p>
    <w:p w:rsidR="006D3F6B" w:rsidRPr="006F13E6" w:rsidRDefault="0059312A" w:rsidP="0059312A">
      <w:pPr>
        <w:pStyle w:val="a3"/>
        <w:rPr>
          <w:sz w:val="28"/>
        </w:rPr>
      </w:pPr>
      <w:r>
        <w:lastRenderedPageBreak/>
        <w:t xml:space="preserve">Figura 8: </w:t>
      </w:r>
      <w:r w:rsidR="006D3F6B" w:rsidRPr="00F5729C">
        <w:t>Empleos en los tres sectores</w:t>
      </w:r>
      <w:r w:rsidR="00061BB4">
        <w:rPr>
          <w:rFonts w:hint="eastAsia"/>
        </w:rPr>
        <w:t xml:space="preserve"> </w:t>
      </w:r>
      <w:r w:rsidR="006D3F6B" w:rsidRPr="00F5729C">
        <w:t>(% del total) CHINA</w:t>
      </w:r>
    </w:p>
    <w:p w:rsidR="006D3F6B" w:rsidRPr="00881AB8" w:rsidRDefault="006D3F6B" w:rsidP="006D3F6B">
      <w:pPr>
        <w:rPr>
          <w:rFonts w:ascii="Times New Roman" w:hAnsi="Times New Roman" w:cs="Times New Roman"/>
          <w:lang w:val="es-ES_tradnl"/>
        </w:rPr>
      </w:pPr>
      <w:r w:rsidRPr="00881AB8">
        <w:rPr>
          <w:rFonts w:ascii="Times New Roman" w:hAnsi="Times New Roman" w:cs="Times New Roman"/>
          <w:noProof/>
          <w:lang w:val="es-ES" w:eastAsia="es-ES"/>
        </w:rPr>
        <w:drawing>
          <wp:inline distT="0" distB="0" distL="0" distR="0" wp14:anchorId="2BCA18AD" wp14:editId="0321752D">
            <wp:extent cx="5465379" cy="3920359"/>
            <wp:effectExtent l="0" t="0" r="21590" b="23495"/>
            <wp:docPr id="22"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D3F6B" w:rsidRPr="00881AB8" w:rsidRDefault="008026BD" w:rsidP="0059312A">
      <w:pPr>
        <w:pStyle w:val="a6"/>
      </w:pPr>
      <w:r>
        <w:t>Fuente: Elaboración propia a partir de los datos del Banco Mundial.</w:t>
      </w:r>
    </w:p>
    <w:p w:rsidR="006F13E6" w:rsidRPr="00881AB8" w:rsidRDefault="00274041" w:rsidP="001368DA">
      <w:pPr>
        <w:pStyle w:val="a0"/>
      </w:pPr>
      <w:r>
        <w:t>Los datos de</w:t>
      </w:r>
      <w:r w:rsidR="00DC743A">
        <w:t xml:space="preserve"> la figura anterior muestran la evolución de la estructura del mercado laboral chin</w:t>
      </w:r>
      <w:r w:rsidR="001368DA">
        <w:t>o</w:t>
      </w:r>
      <w:r w:rsidR="00DC743A">
        <w:t xml:space="preserve"> por la repartición de la fuerza laboral entre los tres sectores de actividad principales. En el año 2006, la agricultura y el sector primario era todavía mayoritario con un 42,6% del empleo. Con la modernización del sistema de producción agrícola</w:t>
      </w:r>
      <w:r w:rsidR="001368DA">
        <w:t>,</w:t>
      </w:r>
      <w:r w:rsidR="00DC743A">
        <w:t xml:space="preserve"> ha aumentado la eficiencia y ha disminuido la fuerza laboral ocupada en </w:t>
      </w:r>
      <w:r w:rsidR="001368DA">
        <w:t>el sector primario</w:t>
      </w:r>
      <w:r w:rsidR="00DC743A">
        <w:t xml:space="preserve"> hasta un 31,7%. Esta cifra todavía es demasiado importante y muestra un problema estructural de eficiencia en la producción agrícola. El sector segundario, con la industria, ha aumentado sensiblemente hasta situarse en el 29,2%. El sector terciario de los servicios ha experimentado un crecimiento pasando de </w:t>
      </w:r>
      <w:r w:rsidR="00F52D0A">
        <w:t>32,2% en 2006 a 39,1</w:t>
      </w:r>
      <w:r w:rsidR="00DC743A">
        <w:t xml:space="preserve">% en </w:t>
      </w:r>
      <w:r w:rsidR="00F52D0A">
        <w:t>2013. Estos datos reflejan el cambio progresivo de estructura social y económica del país, con un mayor peso de la clase media urbana y el aumento del consumo de servicios, d</w:t>
      </w:r>
      <w:r w:rsidR="006D3F6B" w:rsidRPr="00881AB8">
        <w:t xml:space="preserve">ebido a la mejora </w:t>
      </w:r>
      <w:r w:rsidR="00F52D0A">
        <w:t xml:space="preserve">de los salarios, </w:t>
      </w:r>
      <w:r w:rsidR="006D3F6B" w:rsidRPr="00881AB8">
        <w:t>del nivel de vida, los avances en la tecnología de Internet, los</w:t>
      </w:r>
      <w:r w:rsidR="00F52D0A">
        <w:t xml:space="preserve"> intercambios internacionales, </w:t>
      </w:r>
      <w:r w:rsidR="006D3F6B" w:rsidRPr="00881AB8">
        <w:t xml:space="preserve">entre otros factores. </w:t>
      </w:r>
      <w:r w:rsidR="00F52D0A">
        <w:t xml:space="preserve">Sin embargo, la repartición de la </w:t>
      </w:r>
      <w:r w:rsidR="00F52D0A">
        <w:lastRenderedPageBreak/>
        <w:t xml:space="preserve">fuerza laboral entre los tres sectores es característica de un país emergente con un peso todavía muy importante de la agricultura y de la industria. </w:t>
      </w:r>
    </w:p>
    <w:p w:rsidR="006D3F6B" w:rsidRPr="00061BB4" w:rsidRDefault="0059312A" w:rsidP="0059312A">
      <w:pPr>
        <w:pStyle w:val="a3"/>
      </w:pPr>
      <w:r>
        <w:t xml:space="preserve">Figura 9: </w:t>
      </w:r>
      <w:r w:rsidR="00F52D0A" w:rsidRPr="00F5729C">
        <w:t>Empleos en los tres sectores</w:t>
      </w:r>
      <w:r w:rsidR="00F52D0A">
        <w:rPr>
          <w:rFonts w:hint="eastAsia"/>
        </w:rPr>
        <w:t xml:space="preserve"> </w:t>
      </w:r>
      <w:r w:rsidR="00F52D0A" w:rsidRPr="00F5729C">
        <w:t xml:space="preserve">(% del total) </w:t>
      </w:r>
      <w:r w:rsidR="00F52D0A">
        <w:t>ESPAÑA</w:t>
      </w:r>
    </w:p>
    <w:p w:rsidR="006D3F6B" w:rsidRPr="00881AB8" w:rsidRDefault="006D3F6B" w:rsidP="006D3F6B">
      <w:pPr>
        <w:pStyle w:val="NoSpacing"/>
        <w:rPr>
          <w:rFonts w:ascii="Times New Roman" w:hAnsi="Times New Roman" w:cs="Times New Roman"/>
        </w:rPr>
      </w:pPr>
      <w:r w:rsidRPr="00881AB8">
        <w:rPr>
          <w:rFonts w:ascii="Times New Roman" w:hAnsi="Times New Roman" w:cs="Times New Roman"/>
          <w:noProof/>
          <w:lang w:eastAsia="es-ES"/>
        </w:rPr>
        <w:drawing>
          <wp:inline distT="0" distB="0" distL="0" distR="0" wp14:anchorId="3598E809" wp14:editId="460A6CF3">
            <wp:extent cx="5286703" cy="3247696"/>
            <wp:effectExtent l="0" t="0" r="9525" b="10160"/>
            <wp:docPr id="23"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F52D0A" w:rsidRPr="00881AB8" w:rsidRDefault="00F52D0A" w:rsidP="00F52D0A">
      <w:pPr>
        <w:pStyle w:val="a6"/>
      </w:pPr>
      <w:r>
        <w:t>Fuente: Elaboración propia a partir de los datos del Banco Mundial.</w:t>
      </w:r>
    </w:p>
    <w:p w:rsidR="006F5FBC" w:rsidRDefault="00F52D0A" w:rsidP="00214148">
      <w:pPr>
        <w:pStyle w:val="a1"/>
      </w:pPr>
      <w:r>
        <w:t>La repartición de la fuerza laboral entre los tres sectores principales de España muestra una situación muy diferente. El sector primario emplea a menos del 5% de los trabajadores. Este dato refleja una doble realidad, por una parte la alta eficiencia de la agricultura española y, por otra parte, la ausencia de materias primas extractivas</w:t>
      </w:r>
      <w:r w:rsidR="001368DA">
        <w:t xml:space="preserve"> en el país</w:t>
      </w:r>
      <w:r>
        <w:t>. El sector de la industria ha sufrido una pérdida importante de fuerza laboral, pasando de 29,5% en 2006 a 19,5% en 2013. Estos datos reflejan el problema de la desindustrialización de España. Finalmente, el sector de los servicios ha crecido hasta agrupar al 76% de los trabajadores del país. La</w:t>
      </w:r>
      <w:r w:rsidRPr="00F52D0A">
        <w:t xml:space="preserve"> repartición de la fuerza laboral entre los tres sectores es característica de un país </w:t>
      </w:r>
      <w:r>
        <w:t>desarrollado con el predomino del sector de los servicios. Sin embargo, la perdida de tejido industrial es un fenómeno muy inquietante en España y se relaciona también con las altas tasas de desempleo que sufre el país</w:t>
      </w:r>
      <w:r w:rsidRPr="00F52D0A">
        <w:t>.</w:t>
      </w:r>
      <w:r w:rsidR="00455A79">
        <w:t xml:space="preserve"> </w:t>
      </w:r>
      <w:r w:rsidR="00455A79">
        <w:lastRenderedPageBreak/>
        <w:t xml:space="preserve">Finalmente, como señala </w:t>
      </w:r>
      <w:r w:rsidR="00455A79" w:rsidRPr="00455A79">
        <w:t xml:space="preserve">Cuadrado </w:t>
      </w:r>
      <w:proofErr w:type="spellStart"/>
      <w:r w:rsidR="00455A79" w:rsidRPr="00455A79">
        <w:t>Roura</w:t>
      </w:r>
      <w:proofErr w:type="spellEnd"/>
      <w:r w:rsidR="00455A79">
        <w:t xml:space="preserve"> (2016)</w:t>
      </w:r>
      <w:r w:rsidR="001368DA">
        <w:rPr>
          <w:rStyle w:val="FootnoteReference"/>
        </w:rPr>
        <w:footnoteReference w:id="38"/>
      </w:r>
      <w:r w:rsidR="00455A79">
        <w:t>, la desindustrialización en España también refleja la externalización, como servicios, de muchas funciones de producción las empresas en un entorno cada vez más complejo y globalizado; y también es consecuencia de un factor de convergencia entre las actividades industriales y de servicios: puesto que la “</w:t>
      </w:r>
      <w:r w:rsidR="00455A79" w:rsidRPr="00455A79">
        <w:t>diferencia entre producto y servicio se ha hecho y se está haciendo cada vez menos evidente</w:t>
      </w:r>
      <w:r w:rsidR="00455A79">
        <w:t>” (</w:t>
      </w:r>
      <w:r w:rsidR="00455A79" w:rsidRPr="00455A79">
        <w:t xml:space="preserve">Cuadrado </w:t>
      </w:r>
      <w:proofErr w:type="spellStart"/>
      <w:r w:rsidR="00455A79" w:rsidRPr="00455A79">
        <w:t>Roura</w:t>
      </w:r>
      <w:proofErr w:type="spellEnd"/>
      <w:r w:rsidR="00455A79">
        <w:t xml:space="preserve">, 2016: 15). </w:t>
      </w:r>
    </w:p>
    <w:p w:rsidR="00A14628" w:rsidRPr="006F5FBC" w:rsidRDefault="00A14628" w:rsidP="00214148">
      <w:pPr>
        <w:pStyle w:val="a1"/>
      </w:pPr>
      <w:r>
        <w:t xml:space="preserve">Las siguientes figuras muestran la evolución de la ocupación de la fuerza laboral en los dos países, en cada uno de los tres sectores de actividad. </w:t>
      </w:r>
    </w:p>
    <w:p w:rsidR="006D3F6B" w:rsidRPr="00061BB4" w:rsidRDefault="0059312A" w:rsidP="0059312A">
      <w:pPr>
        <w:pStyle w:val="a3"/>
      </w:pPr>
      <w:r>
        <w:t xml:space="preserve">Figura 10: </w:t>
      </w:r>
      <w:r w:rsidR="006D3F6B" w:rsidRPr="00F5729C">
        <w:t>Empleos en agricultura</w:t>
      </w:r>
      <w:r>
        <w:t xml:space="preserve"> (% del total de empleos)</w:t>
      </w:r>
    </w:p>
    <w:p w:rsidR="00214148" w:rsidRPr="00214148" w:rsidRDefault="006D3F6B" w:rsidP="00214148">
      <w:pPr>
        <w:pStyle w:val="NoSpacing"/>
        <w:rPr>
          <w:rFonts w:ascii="Times New Roman" w:hAnsi="Times New Roman" w:cs="Times New Roman"/>
        </w:rPr>
      </w:pPr>
      <w:r w:rsidRPr="00881AB8">
        <w:rPr>
          <w:rFonts w:ascii="Times New Roman" w:hAnsi="Times New Roman" w:cs="Times New Roman"/>
          <w:noProof/>
          <w:lang w:eastAsia="es-ES"/>
        </w:rPr>
        <w:drawing>
          <wp:inline distT="0" distB="0" distL="0" distR="0" wp14:anchorId="1902824B" wp14:editId="104D2CD3">
            <wp:extent cx="5457825" cy="3181350"/>
            <wp:effectExtent l="0" t="0" r="9525" b="19050"/>
            <wp:docPr id="24"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6D3F6B" w:rsidRPr="00881AB8" w:rsidRDefault="00214148" w:rsidP="00214148">
      <w:pPr>
        <w:pStyle w:val="a6"/>
      </w:pPr>
      <w:r w:rsidRPr="00214148">
        <w:t>Fuente: Elaboración propia a partir de los datos del Banco Mundial.</w:t>
      </w:r>
    </w:p>
    <w:p w:rsidR="006D3F6B" w:rsidRDefault="006D3F6B" w:rsidP="008F267D">
      <w:pPr>
        <w:pStyle w:val="a0"/>
      </w:pPr>
      <w:r w:rsidRPr="00F5729C">
        <w:t xml:space="preserve">China </w:t>
      </w:r>
      <w:r w:rsidR="008F267D">
        <w:t>es un país emergente que todavía conserva estructuras del pasado, entre ellas, un sistema de producción agrícola que no ha completado la modernización. Se estima que cerca del 30% de los trabajadores del campo no producen para vender en el mercado sino para autoconsumo, con un modelo de agricultura de subsistencia.</w:t>
      </w:r>
      <w:r w:rsidRPr="00F5729C">
        <w:t xml:space="preserve"> </w:t>
      </w:r>
      <w:r w:rsidR="008F267D">
        <w:t xml:space="preserve">A lo largo de los </w:t>
      </w:r>
      <w:r w:rsidR="008F267D">
        <w:lastRenderedPageBreak/>
        <w:t>últimos años, c</w:t>
      </w:r>
      <w:r w:rsidRPr="00F5729C">
        <w:t xml:space="preserve">on el desarrollo de la sociedad, la innovación de las maquinarias, la creciente importación y exportación, cada vez más personas abandonan el empleo agrícola y se </w:t>
      </w:r>
      <w:r w:rsidR="008F267D">
        <w:t xml:space="preserve">trasladan a </w:t>
      </w:r>
      <w:r w:rsidRPr="00F5729C">
        <w:t>otros sectores</w:t>
      </w:r>
      <w:r w:rsidR="00A14628">
        <w:t xml:space="preserve">. Podemos observar </w:t>
      </w:r>
      <w:r w:rsidRPr="00F5729C">
        <w:t xml:space="preserve">en el </w:t>
      </w:r>
      <w:r w:rsidR="00A14628">
        <w:t>grá</w:t>
      </w:r>
      <w:r w:rsidRPr="00F5729C">
        <w:t>fico que</w:t>
      </w:r>
      <w:r w:rsidR="00A14628">
        <w:t>,</w:t>
      </w:r>
      <w:r w:rsidRPr="00F5729C">
        <w:t xml:space="preserve"> entre estos </w:t>
      </w:r>
      <w:r w:rsidR="008F267D">
        <w:t>ocho</w:t>
      </w:r>
      <w:r w:rsidRPr="00F5729C">
        <w:t xml:space="preserve"> años, </w:t>
      </w:r>
      <w:r w:rsidR="008F267D">
        <w:t>la proporción d</w:t>
      </w:r>
      <w:r w:rsidRPr="00F5729C">
        <w:t>el empleo agrícola de China disminuy</w:t>
      </w:r>
      <w:r w:rsidR="008F267D">
        <w:t>ó</w:t>
      </w:r>
      <w:r w:rsidR="00A14628">
        <w:t xml:space="preserve"> 11,1 puntos porcentuales</w:t>
      </w:r>
      <w:r w:rsidRPr="00F5729C">
        <w:t xml:space="preserve">, y mientras que en España </w:t>
      </w:r>
      <w:r w:rsidR="00A14628">
        <w:t>se mantiene a un nivel bajo relativamente estable, inferior al 5%</w:t>
      </w:r>
      <w:r w:rsidRPr="00F5729C">
        <w:t>.</w:t>
      </w:r>
    </w:p>
    <w:p w:rsidR="00367C64" w:rsidRPr="00061BB4" w:rsidRDefault="00455A79" w:rsidP="00367C64">
      <w:pPr>
        <w:pStyle w:val="a0"/>
      </w:pPr>
      <w:r>
        <w:t>En España, el sector agrícola recibe subvenciones de los fondos Europeos de la PAC, principalmente en modalidad de pago único desacoplado</w:t>
      </w:r>
      <w:r w:rsidR="00367C64">
        <w:t xml:space="preserve"> (</w:t>
      </w:r>
      <w:proofErr w:type="spellStart"/>
      <w:r w:rsidR="00367C64">
        <w:t>Compés</w:t>
      </w:r>
      <w:proofErr w:type="spellEnd"/>
      <w:r w:rsidR="00367C64">
        <w:t xml:space="preserve"> &amp; García, 2009)</w:t>
      </w:r>
      <w:r w:rsidR="00A14628">
        <w:rPr>
          <w:rStyle w:val="FootnoteReference"/>
        </w:rPr>
        <w:footnoteReference w:id="39"/>
      </w:r>
      <w:r w:rsidR="00367C64">
        <w:t xml:space="preserve">. Esto significa que la atribución de las subvenciones no está sometida a la producción. </w:t>
      </w:r>
    </w:p>
    <w:p w:rsidR="006D3F6B" w:rsidRPr="0059312A" w:rsidRDefault="0059312A" w:rsidP="0059312A">
      <w:pPr>
        <w:pStyle w:val="a3"/>
      </w:pPr>
      <w:r w:rsidRPr="0059312A">
        <w:t>Figura 11:</w:t>
      </w:r>
      <w:r w:rsidR="001572ED" w:rsidRPr="0059312A">
        <w:rPr>
          <w:rFonts w:hint="eastAsia"/>
        </w:rPr>
        <w:t xml:space="preserve"> </w:t>
      </w:r>
      <w:r w:rsidR="006D3F6B" w:rsidRPr="0059312A">
        <w:t>Emp</w:t>
      </w:r>
      <w:r w:rsidRPr="0059312A">
        <w:t xml:space="preserve">leo </w:t>
      </w:r>
      <w:r w:rsidR="006D3F6B" w:rsidRPr="0059312A">
        <w:t>en industria</w:t>
      </w:r>
      <w:r w:rsidRPr="0059312A">
        <w:t xml:space="preserve"> (% del total de empleos)</w:t>
      </w:r>
    </w:p>
    <w:p w:rsidR="006D3F6B" w:rsidRPr="00881AB8" w:rsidRDefault="006D3F6B" w:rsidP="006D3F6B">
      <w:pPr>
        <w:pStyle w:val="NoSpacing"/>
        <w:rPr>
          <w:rFonts w:ascii="Times New Roman" w:hAnsi="Times New Roman" w:cs="Times New Roman"/>
        </w:rPr>
      </w:pPr>
      <w:r w:rsidRPr="00881AB8">
        <w:rPr>
          <w:rFonts w:ascii="Times New Roman" w:hAnsi="Times New Roman" w:cs="Times New Roman"/>
          <w:noProof/>
          <w:lang w:eastAsia="es-ES"/>
        </w:rPr>
        <w:drawing>
          <wp:inline distT="0" distB="0" distL="0" distR="0" wp14:anchorId="7BBD4941" wp14:editId="27B04211">
            <wp:extent cx="5276850" cy="2905125"/>
            <wp:effectExtent l="0" t="0" r="19050" b="9525"/>
            <wp:docPr id="25"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6D3F6B" w:rsidRPr="00881AB8" w:rsidRDefault="008F267D" w:rsidP="008F267D">
      <w:pPr>
        <w:pStyle w:val="a6"/>
      </w:pPr>
      <w:r w:rsidRPr="008F267D">
        <w:t>Fuente: Elaboración propia a partir de los datos del Banco Mundial.</w:t>
      </w:r>
    </w:p>
    <w:p w:rsidR="006F13E6" w:rsidRPr="006F13E6" w:rsidRDefault="00A14628" w:rsidP="005425F0">
      <w:pPr>
        <w:pStyle w:val="a0"/>
      </w:pPr>
      <w:r>
        <w:t>Con los datos expuestos en el gráfico</w:t>
      </w:r>
      <w:r w:rsidR="006D3F6B" w:rsidRPr="00640348">
        <w:t xml:space="preserve"> podemos ver que el empleo industrial en ambos países </w:t>
      </w:r>
      <w:r>
        <w:t xml:space="preserve">si sitúa entre el 20 y </w:t>
      </w:r>
      <w:r w:rsidR="006D3F6B" w:rsidRPr="00640348">
        <w:t xml:space="preserve">30%. Pero el de España está cayendo interanualmente, del </w:t>
      </w:r>
      <w:r w:rsidR="005425F0">
        <w:t xml:space="preserve">29,5% en 2006 a 19,5% en 2013, </w:t>
      </w:r>
      <w:r w:rsidR="006D3F6B" w:rsidRPr="00640348">
        <w:t xml:space="preserve">una disminución de aproximadamente </w:t>
      </w:r>
      <w:r w:rsidR="005425F0">
        <w:t xml:space="preserve">el </w:t>
      </w:r>
      <w:r>
        <w:t>10 puntos porcentuales</w:t>
      </w:r>
      <w:r w:rsidR="005425F0">
        <w:t xml:space="preserve"> que refleja la acelerada desindustrialización del país</w:t>
      </w:r>
      <w:r w:rsidR="006D3F6B" w:rsidRPr="00640348">
        <w:t xml:space="preserve">. Mientras que en </w:t>
      </w:r>
      <w:r w:rsidR="006D3F6B" w:rsidRPr="00640348">
        <w:lastRenderedPageBreak/>
        <w:t>China, del 2006 hasta 2012 está aume</w:t>
      </w:r>
      <w:r>
        <w:t>ntando poco a poco, aumentando entre 0,4</w:t>
      </w:r>
      <w:r w:rsidR="006D3F6B" w:rsidRPr="00640348">
        <w:t xml:space="preserve"> </w:t>
      </w:r>
      <w:r>
        <w:t>y 1,3 puntos porcentuales</w:t>
      </w:r>
      <w:r w:rsidR="006D3F6B" w:rsidRPr="00640348">
        <w:t xml:space="preserve"> anualmente. </w:t>
      </w:r>
    </w:p>
    <w:p w:rsidR="006D3F6B" w:rsidRPr="005425F0" w:rsidRDefault="0059312A" w:rsidP="0059312A">
      <w:pPr>
        <w:pStyle w:val="a3"/>
        <w:rPr>
          <w:rFonts w:cs="SimSun"/>
        </w:rPr>
      </w:pPr>
      <w:r>
        <w:t xml:space="preserve">Figura 12: </w:t>
      </w:r>
      <w:r w:rsidR="006D3F6B" w:rsidRPr="001572ED">
        <w:t>Empleo en servicios</w:t>
      </w:r>
      <w:r>
        <w:t xml:space="preserve"> (% del total de empleos)</w:t>
      </w:r>
    </w:p>
    <w:p w:rsidR="006D3F6B" w:rsidRPr="00061BB4" w:rsidRDefault="006D3F6B" w:rsidP="006D3F6B">
      <w:pPr>
        <w:pStyle w:val="NoSpacing"/>
        <w:rPr>
          <w:rFonts w:ascii="Times New Roman" w:hAnsi="Times New Roman" w:cs="Times New Roman"/>
          <w:lang w:val="es-ES_tradnl"/>
        </w:rPr>
      </w:pPr>
      <w:r w:rsidRPr="00881AB8">
        <w:rPr>
          <w:rFonts w:ascii="Times New Roman" w:hAnsi="Times New Roman" w:cs="Times New Roman"/>
          <w:noProof/>
          <w:lang w:eastAsia="es-ES"/>
        </w:rPr>
        <w:drawing>
          <wp:inline distT="0" distB="0" distL="0" distR="0" wp14:anchorId="2FE35EF8" wp14:editId="40BF0CF0">
            <wp:extent cx="5328744" cy="2900855"/>
            <wp:effectExtent l="0" t="0" r="24765" b="13970"/>
            <wp:docPr id="26"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6D3F6B" w:rsidRPr="00881AB8" w:rsidRDefault="006C025E" w:rsidP="006C025E">
      <w:pPr>
        <w:pStyle w:val="a6"/>
      </w:pPr>
      <w:r w:rsidRPr="006C025E">
        <w:t>Fuente: Elaboración propia a partir de los datos del Banco Mundial.</w:t>
      </w:r>
    </w:p>
    <w:p w:rsidR="00061BB4" w:rsidRPr="00881AB8" w:rsidRDefault="006C540C" w:rsidP="00A73282">
      <w:pPr>
        <w:pStyle w:val="a0"/>
      </w:pPr>
      <w:r>
        <w:t>Frente al declive del sector industrial, el sector de los servicios ocupa en España una proporción cada vez más importante de los trabajadores, especialmente el turismo</w:t>
      </w:r>
      <w:r w:rsidR="00A73282">
        <w:t xml:space="preserve"> que es un sector de actividad</w:t>
      </w:r>
      <w:r>
        <w:t xml:space="preserve"> fundamental para la economía española</w:t>
      </w:r>
      <w:r w:rsidR="00A73282">
        <w:t xml:space="preserve"> desde los años sesenta del siglo XX</w:t>
      </w:r>
      <w:r>
        <w:t>.</w:t>
      </w:r>
    </w:p>
    <w:p w:rsidR="006D3F6B" w:rsidRPr="00881AB8" w:rsidRDefault="006D3F6B" w:rsidP="00A73282">
      <w:pPr>
        <w:pStyle w:val="a0"/>
      </w:pPr>
      <w:r w:rsidRPr="00881AB8">
        <w:t xml:space="preserve">Así que podemos observar </w:t>
      </w:r>
      <w:r w:rsidR="00A73282">
        <w:t>con los datos de</w:t>
      </w:r>
      <w:r w:rsidRPr="00881AB8">
        <w:t xml:space="preserve"> este gráfico que el número de empleo del sector servicios representa la mayor parte del total en </w:t>
      </w:r>
      <w:r w:rsidR="006C025E">
        <w:t>el mercado laboral español</w:t>
      </w:r>
      <w:r w:rsidR="00554242">
        <w:t>, y cada año</w:t>
      </w:r>
      <w:r w:rsidRPr="00881AB8">
        <w:t xml:space="preserve"> está aumentando sustancialmente. En el año 2013, el empleo en el sector servicios ha alcanzado el 76% del empleo total, en comparación con </w:t>
      </w:r>
      <w:r w:rsidR="00554242">
        <w:t xml:space="preserve">el año 2006 </w:t>
      </w:r>
      <w:r w:rsidR="00A73282">
        <w:t>ha aumentado en</w:t>
      </w:r>
      <w:r w:rsidRPr="00881AB8">
        <w:t xml:space="preserve"> 11,7</w:t>
      </w:r>
      <w:r w:rsidR="00A73282">
        <w:t xml:space="preserve"> puntos porcentuales</w:t>
      </w:r>
      <w:r w:rsidRPr="00881AB8">
        <w:t>.</w:t>
      </w:r>
      <w:r w:rsidR="00554242">
        <w:t xml:space="preserve"> Por su parte,</w:t>
      </w:r>
      <w:r w:rsidRPr="00881AB8">
        <w:t xml:space="preserve"> China</w:t>
      </w:r>
      <w:r w:rsidR="00554242">
        <w:t xml:space="preserve"> muestra las características de un país emergente con el sector servicio que</w:t>
      </w:r>
      <w:r w:rsidR="00A73282">
        <w:t xml:space="preserve"> tienen una proporción menor pero que</w:t>
      </w:r>
      <w:r w:rsidR="00554242">
        <w:t xml:space="preserve"> va teniendo cada vez más importancia conforme aumentan los salarios y el nivel de vida. En </w:t>
      </w:r>
      <w:r w:rsidRPr="00881AB8">
        <w:t>los últimos años el sector servicios se ha desarrollado rápidamente hasta 2013 que creció un 7%, pero todavía muy por debajo de España en casi la mitad.</w:t>
      </w:r>
    </w:p>
    <w:p w:rsidR="00C06EB2" w:rsidRPr="00530B42" w:rsidRDefault="00691940" w:rsidP="00C06EB2">
      <w:pPr>
        <w:pStyle w:val="a1"/>
      </w:pPr>
      <w:r>
        <w:lastRenderedPageBreak/>
        <w:t>A continuación, l</w:t>
      </w:r>
      <w:r w:rsidR="00C06EB2">
        <w:t xml:space="preserve">as </w:t>
      </w:r>
      <w:r>
        <w:t xml:space="preserve">dos </w:t>
      </w:r>
      <w:r w:rsidR="00C06EB2">
        <w:t>siguientes tablas muestran los datos en la repartición de los empleos por sectores y por género, con dos años de referencia, 200</w:t>
      </w:r>
      <w:r w:rsidR="00367C64">
        <w:t>6</w:t>
      </w:r>
      <w:r w:rsidR="00C06EB2">
        <w:t xml:space="preserve"> y 2013. </w:t>
      </w:r>
    </w:p>
    <w:p w:rsidR="006D3F6B" w:rsidRPr="00061BB4" w:rsidRDefault="00691940" w:rsidP="00691940">
      <w:pPr>
        <w:pStyle w:val="a3"/>
      </w:pPr>
      <w:r>
        <w:t>AÑO 2006</w:t>
      </w:r>
    </w:p>
    <w:tbl>
      <w:tblPr>
        <w:tblStyle w:val="MediumShading1-Accent3"/>
        <w:tblW w:w="0" w:type="auto"/>
        <w:tblLook w:val="06A0" w:firstRow="1" w:lastRow="0" w:firstColumn="1" w:lastColumn="0" w:noHBand="1" w:noVBand="1"/>
      </w:tblPr>
      <w:tblGrid>
        <w:gridCol w:w="1420"/>
        <w:gridCol w:w="1420"/>
        <w:gridCol w:w="1420"/>
        <w:gridCol w:w="1420"/>
        <w:gridCol w:w="1421"/>
        <w:gridCol w:w="1421"/>
      </w:tblGrid>
      <w:tr w:rsidR="006D3F6B" w:rsidRPr="00881AB8" w:rsidTr="00021F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60" w:type="dxa"/>
            <w:gridSpan w:val="3"/>
          </w:tcPr>
          <w:p w:rsidR="006D3F6B" w:rsidRPr="00881AB8" w:rsidRDefault="006D3F6B" w:rsidP="00C06EB2">
            <w:pPr>
              <w:spacing w:line="360" w:lineRule="auto"/>
              <w:jc w:val="center"/>
              <w:rPr>
                <w:rFonts w:ascii="Times New Roman" w:hAnsi="Times New Roman" w:cs="Times New Roman"/>
                <w:lang w:val="es-ES_tradnl"/>
              </w:rPr>
            </w:pPr>
            <w:r w:rsidRPr="00881AB8">
              <w:rPr>
                <w:rFonts w:ascii="Times New Roman" w:hAnsi="Times New Roman" w:cs="Times New Roman"/>
                <w:sz w:val="32"/>
                <w:lang w:val="es-ES_tradnl"/>
              </w:rPr>
              <w:t>China</w:t>
            </w:r>
          </w:p>
        </w:tc>
        <w:tc>
          <w:tcPr>
            <w:tcW w:w="4262" w:type="dxa"/>
            <w:gridSpan w:val="3"/>
          </w:tcPr>
          <w:p w:rsidR="006D3F6B" w:rsidRPr="00881AB8" w:rsidRDefault="006D3F6B" w:rsidP="00021F4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32"/>
                <w:szCs w:val="32"/>
                <w:lang w:val="es-ES_tradnl"/>
              </w:rPr>
            </w:pPr>
            <w:r w:rsidRPr="00881AB8">
              <w:rPr>
                <w:rFonts w:ascii="Times New Roman" w:hAnsi="Times New Roman" w:cs="Times New Roman"/>
                <w:sz w:val="32"/>
                <w:szCs w:val="32"/>
                <w:lang w:val="es-ES_tradnl"/>
              </w:rPr>
              <w:t>España</w:t>
            </w:r>
          </w:p>
        </w:tc>
      </w:tr>
      <w:tr w:rsidR="006D3F6B" w:rsidRPr="00881AB8" w:rsidTr="00AC468B">
        <w:tc>
          <w:tcPr>
            <w:cnfStyle w:val="001000000000" w:firstRow="0" w:lastRow="0" w:firstColumn="1" w:lastColumn="0" w:oddVBand="0" w:evenVBand="0" w:oddHBand="0" w:evenHBand="0" w:firstRowFirstColumn="0" w:firstRowLastColumn="0" w:lastRowFirstColumn="0" w:lastRowLastColumn="0"/>
            <w:tcW w:w="1420" w:type="dxa"/>
          </w:tcPr>
          <w:p w:rsidR="006D3F6B" w:rsidRPr="00881AB8" w:rsidRDefault="006D3F6B" w:rsidP="00021F4E">
            <w:pPr>
              <w:spacing w:line="220" w:lineRule="atLeast"/>
              <w:rPr>
                <w:rFonts w:ascii="Times New Roman" w:hAnsi="Times New Roman" w:cs="Times New Roman"/>
                <w:lang w:val="es-ES_tradnl"/>
              </w:rPr>
            </w:pPr>
          </w:p>
        </w:tc>
        <w:tc>
          <w:tcPr>
            <w:tcW w:w="1420" w:type="dxa"/>
          </w:tcPr>
          <w:p w:rsidR="006D3F6B" w:rsidRPr="00881AB8" w:rsidRDefault="006D3F6B" w:rsidP="00021F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lang w:val="es-ES_tradnl"/>
              </w:rPr>
            </w:pPr>
            <w:r w:rsidRPr="00881AB8">
              <w:rPr>
                <w:rFonts w:ascii="Times New Roman" w:hAnsi="Times New Roman" w:cs="Times New Roman"/>
                <w:b/>
                <w:lang w:val="es-ES_tradnl"/>
              </w:rPr>
              <w:t>Masculino</w:t>
            </w:r>
          </w:p>
        </w:tc>
        <w:tc>
          <w:tcPr>
            <w:tcW w:w="1420" w:type="dxa"/>
          </w:tcPr>
          <w:p w:rsidR="006D3F6B" w:rsidRPr="00881AB8" w:rsidRDefault="006D3F6B" w:rsidP="00021F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lang w:val="es-ES_tradnl"/>
              </w:rPr>
            </w:pPr>
            <w:r w:rsidRPr="00881AB8">
              <w:rPr>
                <w:rFonts w:ascii="Times New Roman" w:hAnsi="Times New Roman" w:cs="Times New Roman"/>
                <w:b/>
                <w:lang w:val="es-ES_tradnl"/>
              </w:rPr>
              <w:t>Femenino</w:t>
            </w:r>
          </w:p>
        </w:tc>
        <w:tc>
          <w:tcPr>
            <w:tcW w:w="1420" w:type="dxa"/>
          </w:tcPr>
          <w:p w:rsidR="006D3F6B" w:rsidRPr="00881AB8" w:rsidRDefault="006D3F6B" w:rsidP="00021F4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lang w:val="es-ES_tradnl"/>
              </w:rPr>
            </w:pPr>
          </w:p>
        </w:tc>
        <w:tc>
          <w:tcPr>
            <w:tcW w:w="1421" w:type="dxa"/>
          </w:tcPr>
          <w:p w:rsidR="006D3F6B" w:rsidRPr="00881AB8" w:rsidRDefault="006D3F6B" w:rsidP="00021F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lang w:val="es-ES_tradnl"/>
              </w:rPr>
            </w:pPr>
            <w:r w:rsidRPr="00881AB8">
              <w:rPr>
                <w:rFonts w:ascii="Times New Roman" w:hAnsi="Times New Roman" w:cs="Times New Roman"/>
                <w:b/>
                <w:lang w:val="es-ES_tradnl"/>
              </w:rPr>
              <w:t>Masculino</w:t>
            </w:r>
          </w:p>
        </w:tc>
        <w:tc>
          <w:tcPr>
            <w:tcW w:w="1421" w:type="dxa"/>
          </w:tcPr>
          <w:p w:rsidR="006D3F6B" w:rsidRPr="00881AB8" w:rsidRDefault="006D3F6B" w:rsidP="00021F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lang w:val="es-ES_tradnl"/>
              </w:rPr>
            </w:pPr>
            <w:r w:rsidRPr="00881AB8">
              <w:rPr>
                <w:rFonts w:ascii="Times New Roman" w:hAnsi="Times New Roman" w:cs="Times New Roman"/>
                <w:b/>
                <w:lang w:val="es-ES_tradnl"/>
              </w:rPr>
              <w:t>Femenino</w:t>
            </w:r>
          </w:p>
        </w:tc>
      </w:tr>
      <w:tr w:rsidR="006D3F6B" w:rsidRPr="00881AB8" w:rsidTr="00AC468B">
        <w:tc>
          <w:tcPr>
            <w:cnfStyle w:val="001000000000" w:firstRow="0" w:lastRow="0" w:firstColumn="1" w:lastColumn="0" w:oddVBand="0" w:evenVBand="0" w:oddHBand="0" w:evenHBand="0" w:firstRowFirstColumn="0" w:firstRowLastColumn="0" w:lastRowFirstColumn="0" w:lastRowLastColumn="0"/>
            <w:tcW w:w="1420" w:type="dxa"/>
          </w:tcPr>
          <w:p w:rsidR="006D3F6B" w:rsidRPr="00881AB8" w:rsidRDefault="006D3F6B" w:rsidP="00021F4E">
            <w:pPr>
              <w:spacing w:line="220" w:lineRule="atLeast"/>
              <w:jc w:val="center"/>
              <w:rPr>
                <w:rFonts w:ascii="Times New Roman" w:hAnsi="Times New Roman" w:cs="Times New Roman"/>
                <w:lang w:val="es-ES_tradnl"/>
              </w:rPr>
            </w:pPr>
            <w:r w:rsidRPr="00881AB8">
              <w:rPr>
                <w:rFonts w:ascii="Times New Roman" w:hAnsi="Times New Roman" w:cs="Times New Roman"/>
                <w:lang w:val="es-ES_tradnl"/>
              </w:rPr>
              <w:t>Tasa de empleo</w:t>
            </w:r>
          </w:p>
        </w:tc>
        <w:tc>
          <w:tcPr>
            <w:tcW w:w="1420" w:type="dxa"/>
          </w:tcPr>
          <w:p w:rsidR="006D3F6B" w:rsidRPr="00881AB8" w:rsidRDefault="006D3F6B" w:rsidP="00021F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55.9%</w:t>
            </w:r>
          </w:p>
        </w:tc>
        <w:tc>
          <w:tcPr>
            <w:tcW w:w="1420" w:type="dxa"/>
          </w:tcPr>
          <w:p w:rsidR="006D3F6B" w:rsidRPr="00881AB8" w:rsidRDefault="006D3F6B" w:rsidP="00021F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44.1%</w:t>
            </w:r>
          </w:p>
        </w:tc>
        <w:tc>
          <w:tcPr>
            <w:tcW w:w="1420" w:type="dxa"/>
          </w:tcPr>
          <w:p w:rsidR="006D3F6B" w:rsidRPr="00881AB8" w:rsidRDefault="006D3F6B" w:rsidP="00021F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lang w:val="es-ES_tradnl"/>
              </w:rPr>
            </w:pPr>
            <w:r w:rsidRPr="00881AB8">
              <w:rPr>
                <w:rFonts w:ascii="Times New Roman" w:hAnsi="Times New Roman" w:cs="Times New Roman"/>
                <w:b/>
                <w:lang w:val="es-ES_tradnl"/>
              </w:rPr>
              <w:t>Tasa de empleo</w:t>
            </w:r>
          </w:p>
        </w:tc>
        <w:tc>
          <w:tcPr>
            <w:tcW w:w="1421" w:type="dxa"/>
          </w:tcPr>
          <w:p w:rsidR="006D3F6B" w:rsidRPr="00881AB8" w:rsidRDefault="006D3F6B" w:rsidP="00021F4E">
            <w:pPr>
              <w:tabs>
                <w:tab w:val="left" w:pos="876"/>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58%</w:t>
            </w:r>
          </w:p>
        </w:tc>
        <w:tc>
          <w:tcPr>
            <w:tcW w:w="1421" w:type="dxa"/>
          </w:tcPr>
          <w:p w:rsidR="006D3F6B" w:rsidRPr="00881AB8" w:rsidRDefault="006D3F6B" w:rsidP="00021F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42%</w:t>
            </w:r>
          </w:p>
        </w:tc>
      </w:tr>
      <w:tr w:rsidR="006D3F6B" w:rsidRPr="00881AB8" w:rsidTr="00AC468B">
        <w:tc>
          <w:tcPr>
            <w:cnfStyle w:val="001000000000" w:firstRow="0" w:lastRow="0" w:firstColumn="1" w:lastColumn="0" w:oddVBand="0" w:evenVBand="0" w:oddHBand="0" w:evenHBand="0" w:firstRowFirstColumn="0" w:firstRowLastColumn="0" w:lastRowFirstColumn="0" w:lastRowLastColumn="0"/>
            <w:tcW w:w="1420" w:type="dxa"/>
          </w:tcPr>
          <w:p w:rsidR="006D3F6B" w:rsidRPr="00881AB8" w:rsidRDefault="00AC468B" w:rsidP="00AC468B">
            <w:pPr>
              <w:spacing w:line="220" w:lineRule="atLeast"/>
              <w:jc w:val="center"/>
              <w:rPr>
                <w:rFonts w:ascii="Times New Roman" w:hAnsi="Times New Roman" w:cs="Times New Roman"/>
                <w:lang w:val="es-ES_tradnl"/>
              </w:rPr>
            </w:pPr>
            <w:r>
              <w:rPr>
                <w:rFonts w:ascii="Times New Roman" w:hAnsi="Times New Roman" w:cs="Times New Roman"/>
                <w:lang w:val="es-ES_tradnl"/>
              </w:rPr>
              <w:t>Agricultura</w:t>
            </w:r>
          </w:p>
        </w:tc>
        <w:tc>
          <w:tcPr>
            <w:tcW w:w="1420" w:type="dxa"/>
          </w:tcPr>
          <w:p w:rsidR="006D3F6B" w:rsidRPr="00881AB8" w:rsidRDefault="006D3F6B" w:rsidP="00021F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41.7%</w:t>
            </w:r>
          </w:p>
        </w:tc>
        <w:tc>
          <w:tcPr>
            <w:tcW w:w="1420" w:type="dxa"/>
          </w:tcPr>
          <w:p w:rsidR="006D3F6B" w:rsidRPr="00881AB8" w:rsidRDefault="00AC468B" w:rsidP="00AC468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Pr>
                <w:rFonts w:ascii="Times New Roman" w:hAnsi="Times New Roman" w:cs="Times New Roman"/>
                <w:lang w:val="es-ES_tradnl"/>
              </w:rPr>
              <w:t>39.2%</w:t>
            </w:r>
          </w:p>
        </w:tc>
        <w:tc>
          <w:tcPr>
            <w:tcW w:w="1420" w:type="dxa"/>
          </w:tcPr>
          <w:p w:rsidR="006D3F6B" w:rsidRPr="00881AB8" w:rsidRDefault="00AC468B" w:rsidP="00AC468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lang w:val="es-ES_tradnl"/>
              </w:rPr>
            </w:pPr>
            <w:r>
              <w:rPr>
                <w:rFonts w:ascii="Times New Roman" w:hAnsi="Times New Roman" w:cs="Times New Roman"/>
                <w:b/>
                <w:lang w:val="es-ES_tradnl"/>
              </w:rPr>
              <w:t>Agricultura</w:t>
            </w:r>
          </w:p>
        </w:tc>
        <w:tc>
          <w:tcPr>
            <w:tcW w:w="1421" w:type="dxa"/>
          </w:tcPr>
          <w:p w:rsidR="006D3F6B" w:rsidRPr="00881AB8" w:rsidRDefault="006D3F6B" w:rsidP="00021F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5.8%</w:t>
            </w:r>
          </w:p>
        </w:tc>
        <w:tc>
          <w:tcPr>
            <w:tcW w:w="1421" w:type="dxa"/>
          </w:tcPr>
          <w:p w:rsidR="006D3F6B" w:rsidRPr="00881AB8" w:rsidRDefault="006D3F6B" w:rsidP="00021F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3.2%</w:t>
            </w:r>
          </w:p>
        </w:tc>
      </w:tr>
      <w:tr w:rsidR="006D3F6B" w:rsidRPr="00881AB8" w:rsidTr="00AC468B">
        <w:tc>
          <w:tcPr>
            <w:cnfStyle w:val="001000000000" w:firstRow="0" w:lastRow="0" w:firstColumn="1" w:lastColumn="0" w:oddVBand="0" w:evenVBand="0" w:oddHBand="0" w:evenHBand="0" w:firstRowFirstColumn="0" w:firstRowLastColumn="0" w:lastRowFirstColumn="0" w:lastRowLastColumn="0"/>
            <w:tcW w:w="1420" w:type="dxa"/>
          </w:tcPr>
          <w:p w:rsidR="006D3F6B" w:rsidRPr="00881AB8" w:rsidRDefault="006D3F6B" w:rsidP="00021F4E">
            <w:pPr>
              <w:spacing w:line="220" w:lineRule="atLeast"/>
              <w:jc w:val="center"/>
              <w:rPr>
                <w:rFonts w:ascii="Times New Roman" w:hAnsi="Times New Roman" w:cs="Times New Roman"/>
                <w:lang w:val="es-ES_tradnl"/>
              </w:rPr>
            </w:pPr>
            <w:r w:rsidRPr="00881AB8">
              <w:rPr>
                <w:rFonts w:ascii="Times New Roman" w:hAnsi="Times New Roman" w:cs="Times New Roman"/>
                <w:lang w:val="es-ES_tradnl"/>
              </w:rPr>
              <w:t>Industria</w:t>
            </w:r>
          </w:p>
          <w:p w:rsidR="006D3F6B" w:rsidRPr="00881AB8" w:rsidRDefault="006D3F6B" w:rsidP="00021F4E">
            <w:pPr>
              <w:spacing w:line="220" w:lineRule="atLeast"/>
              <w:jc w:val="center"/>
              <w:rPr>
                <w:rFonts w:ascii="Times New Roman" w:hAnsi="Times New Roman" w:cs="Times New Roman"/>
                <w:lang w:val="es-ES_tradnl"/>
              </w:rPr>
            </w:pPr>
          </w:p>
        </w:tc>
        <w:tc>
          <w:tcPr>
            <w:tcW w:w="1420" w:type="dxa"/>
          </w:tcPr>
          <w:p w:rsidR="006D3F6B" w:rsidRPr="00881AB8" w:rsidRDefault="006D3F6B" w:rsidP="00021F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32.2%</w:t>
            </w:r>
          </w:p>
        </w:tc>
        <w:tc>
          <w:tcPr>
            <w:tcW w:w="1420" w:type="dxa"/>
          </w:tcPr>
          <w:p w:rsidR="006D3F6B" w:rsidRPr="00881AB8" w:rsidRDefault="006D3F6B" w:rsidP="00021F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21.3%</w:t>
            </w:r>
          </w:p>
        </w:tc>
        <w:tc>
          <w:tcPr>
            <w:tcW w:w="1420" w:type="dxa"/>
          </w:tcPr>
          <w:p w:rsidR="006D3F6B" w:rsidRPr="00881AB8" w:rsidRDefault="006D3F6B" w:rsidP="00AC468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lang w:val="es-ES_tradnl"/>
              </w:rPr>
            </w:pPr>
            <w:r w:rsidRPr="00881AB8">
              <w:rPr>
                <w:rFonts w:ascii="Times New Roman" w:hAnsi="Times New Roman" w:cs="Times New Roman"/>
                <w:b/>
                <w:lang w:val="es-ES_tradnl"/>
              </w:rPr>
              <w:t>Indu</w:t>
            </w:r>
            <w:r w:rsidR="00AC468B">
              <w:rPr>
                <w:rFonts w:ascii="Times New Roman" w:hAnsi="Times New Roman" w:cs="Times New Roman"/>
                <w:b/>
                <w:lang w:val="es-ES_tradnl"/>
              </w:rPr>
              <w:t>stria</w:t>
            </w:r>
          </w:p>
        </w:tc>
        <w:tc>
          <w:tcPr>
            <w:tcW w:w="1421" w:type="dxa"/>
          </w:tcPr>
          <w:p w:rsidR="006D3F6B" w:rsidRPr="00881AB8" w:rsidRDefault="006D3F6B" w:rsidP="00021F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41.8%</w:t>
            </w:r>
          </w:p>
        </w:tc>
        <w:tc>
          <w:tcPr>
            <w:tcW w:w="1421" w:type="dxa"/>
          </w:tcPr>
          <w:p w:rsidR="006D3F6B" w:rsidRPr="00881AB8" w:rsidRDefault="006D3F6B" w:rsidP="00021F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11.6%</w:t>
            </w:r>
          </w:p>
        </w:tc>
      </w:tr>
      <w:tr w:rsidR="006D3F6B" w:rsidRPr="00881AB8" w:rsidTr="00AC468B">
        <w:tc>
          <w:tcPr>
            <w:cnfStyle w:val="001000000000" w:firstRow="0" w:lastRow="0" w:firstColumn="1" w:lastColumn="0" w:oddVBand="0" w:evenVBand="0" w:oddHBand="0" w:evenHBand="0" w:firstRowFirstColumn="0" w:firstRowLastColumn="0" w:lastRowFirstColumn="0" w:lastRowLastColumn="0"/>
            <w:tcW w:w="1420" w:type="dxa"/>
          </w:tcPr>
          <w:p w:rsidR="006D3F6B" w:rsidRPr="00881AB8" w:rsidRDefault="00C06EB2" w:rsidP="00C06EB2">
            <w:pPr>
              <w:spacing w:line="220" w:lineRule="atLeast"/>
              <w:jc w:val="center"/>
              <w:rPr>
                <w:rFonts w:ascii="Times New Roman" w:hAnsi="Times New Roman" w:cs="Times New Roman"/>
                <w:lang w:val="es-ES_tradnl"/>
              </w:rPr>
            </w:pPr>
            <w:r>
              <w:rPr>
                <w:rFonts w:ascii="Times New Roman" w:hAnsi="Times New Roman" w:cs="Times New Roman"/>
                <w:lang w:val="es-ES_tradnl"/>
              </w:rPr>
              <w:t>Servicios</w:t>
            </w:r>
          </w:p>
        </w:tc>
        <w:tc>
          <w:tcPr>
            <w:tcW w:w="1420" w:type="dxa"/>
          </w:tcPr>
          <w:p w:rsidR="006D3F6B" w:rsidRPr="00881AB8" w:rsidRDefault="006D3F6B" w:rsidP="00021F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26.1%</w:t>
            </w:r>
          </w:p>
        </w:tc>
        <w:tc>
          <w:tcPr>
            <w:tcW w:w="1420" w:type="dxa"/>
          </w:tcPr>
          <w:p w:rsidR="006D3F6B" w:rsidRPr="00881AB8" w:rsidRDefault="006D3F6B" w:rsidP="00021F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39.5%</w:t>
            </w:r>
          </w:p>
        </w:tc>
        <w:tc>
          <w:tcPr>
            <w:tcW w:w="1420" w:type="dxa"/>
          </w:tcPr>
          <w:p w:rsidR="006D3F6B" w:rsidRPr="00881AB8" w:rsidRDefault="00AC468B" w:rsidP="00AC468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lang w:val="es-ES_tradnl"/>
              </w:rPr>
            </w:pPr>
            <w:r>
              <w:rPr>
                <w:rFonts w:ascii="Times New Roman" w:hAnsi="Times New Roman" w:cs="Times New Roman"/>
                <w:b/>
                <w:lang w:val="es-ES_tradnl"/>
              </w:rPr>
              <w:t>Servicios</w:t>
            </w:r>
          </w:p>
        </w:tc>
        <w:tc>
          <w:tcPr>
            <w:tcW w:w="1421" w:type="dxa"/>
          </w:tcPr>
          <w:p w:rsidR="006D3F6B" w:rsidRPr="00881AB8" w:rsidRDefault="006D3F6B" w:rsidP="00021F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52.4%</w:t>
            </w:r>
          </w:p>
        </w:tc>
        <w:tc>
          <w:tcPr>
            <w:tcW w:w="1421" w:type="dxa"/>
          </w:tcPr>
          <w:p w:rsidR="006D3F6B" w:rsidRPr="00881AB8" w:rsidRDefault="006D3F6B" w:rsidP="00021F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85.2%</w:t>
            </w:r>
          </w:p>
        </w:tc>
      </w:tr>
    </w:tbl>
    <w:p w:rsidR="006D3F6B" w:rsidRPr="00A51112" w:rsidRDefault="00C06EB2" w:rsidP="00C06EB2">
      <w:pPr>
        <w:pStyle w:val="a6"/>
      </w:pPr>
      <w:r>
        <w:t>Fuente: Elaboración propia a partir de los datos del Instituto N</w:t>
      </w:r>
      <w:r w:rsidR="006D3F6B" w:rsidRPr="00A51112">
        <w:t xml:space="preserve">acional de estadística de </w:t>
      </w:r>
      <w:r w:rsidR="00061BB4" w:rsidRPr="00A51112">
        <w:t>España 2006</w:t>
      </w:r>
      <w:r w:rsidR="006D3F6B" w:rsidRPr="00A51112">
        <w:t>,</w:t>
      </w:r>
      <w:r w:rsidR="00A51112" w:rsidRPr="00A51112">
        <w:rPr>
          <w:lang w:val="es-ES"/>
        </w:rPr>
        <w:t xml:space="preserve"> </w:t>
      </w:r>
      <w:r>
        <w:rPr>
          <w:lang w:val="es-ES"/>
        </w:rPr>
        <w:t xml:space="preserve">y de la </w:t>
      </w:r>
      <w:r w:rsidR="00A51112" w:rsidRPr="00A51112">
        <w:rPr>
          <w:lang w:val="es-ES"/>
        </w:rPr>
        <w:t>Oficina Nacional de Estadísticas de China</w:t>
      </w:r>
      <w:r w:rsidR="00A51112" w:rsidRPr="00A51112">
        <w:t xml:space="preserve"> </w:t>
      </w:r>
      <w:r w:rsidR="00061BB4" w:rsidRPr="00A51112">
        <w:t>2006</w:t>
      </w:r>
      <w:r>
        <w:t>.</w:t>
      </w:r>
    </w:p>
    <w:p w:rsidR="006D3F6B" w:rsidRPr="00881AB8" w:rsidRDefault="006D3F6B" w:rsidP="006D3F6B">
      <w:pPr>
        <w:spacing w:line="220" w:lineRule="atLeast"/>
        <w:rPr>
          <w:rFonts w:ascii="Times New Roman" w:hAnsi="Times New Roman" w:cs="Times New Roman"/>
          <w:lang w:val="es-ES_tradnl"/>
        </w:rPr>
      </w:pPr>
    </w:p>
    <w:p w:rsidR="006D3F6B" w:rsidRPr="00C06EB2" w:rsidRDefault="00691940" w:rsidP="00691940">
      <w:pPr>
        <w:pStyle w:val="a3"/>
      </w:pPr>
      <w:r>
        <w:t>AÑO 2013</w:t>
      </w:r>
    </w:p>
    <w:p w:rsidR="00530B42" w:rsidRPr="00881AB8" w:rsidRDefault="00530B42" w:rsidP="006D3F6B">
      <w:pPr>
        <w:spacing w:line="220" w:lineRule="atLeast"/>
        <w:rPr>
          <w:rFonts w:ascii="Times New Roman" w:hAnsi="Times New Roman" w:cs="Times New Roman"/>
          <w:lang w:val="es-ES_tradnl"/>
        </w:rPr>
      </w:pPr>
      <w:r>
        <w:rPr>
          <w:rFonts w:ascii="Times New Roman" w:hAnsi="Times New Roman" w:cs="Times New Roman"/>
          <w:noProof/>
          <w:lang w:val="es-ES" w:eastAsia="es-ES"/>
        </w:rPr>
        <w:drawing>
          <wp:inline distT="0" distB="0" distL="0" distR="0" wp14:anchorId="7C60198B" wp14:editId="0DC0D8D8">
            <wp:extent cx="5274310" cy="2936122"/>
            <wp:effectExtent l="19050" t="0" r="2540" b="0"/>
            <wp:docPr id="1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cstate="print"/>
                    <a:srcRect/>
                    <a:stretch>
                      <a:fillRect/>
                    </a:stretch>
                  </pic:blipFill>
                  <pic:spPr bwMode="auto">
                    <a:xfrm>
                      <a:off x="0" y="0"/>
                      <a:ext cx="5274310" cy="2936122"/>
                    </a:xfrm>
                    <a:prstGeom prst="rect">
                      <a:avLst/>
                    </a:prstGeom>
                    <a:noFill/>
                    <a:ln w="9525">
                      <a:noFill/>
                      <a:miter lim="800000"/>
                      <a:headEnd/>
                      <a:tailEnd/>
                    </a:ln>
                  </pic:spPr>
                </pic:pic>
              </a:graphicData>
            </a:graphic>
          </wp:inline>
        </w:drawing>
      </w:r>
    </w:p>
    <w:p w:rsidR="006D3F6B" w:rsidRPr="00554242" w:rsidRDefault="00554242" w:rsidP="00554242">
      <w:pPr>
        <w:pStyle w:val="a6"/>
      </w:pPr>
      <w:r w:rsidRPr="00554242">
        <w:t>F</w:t>
      </w:r>
      <w:r w:rsidR="006D3F6B" w:rsidRPr="00554242">
        <w:t xml:space="preserve">uente: </w:t>
      </w:r>
      <w:r w:rsidRPr="00554242">
        <w:t xml:space="preserve">Elaboración propia a partir de los datos del </w:t>
      </w:r>
      <w:r w:rsidR="006D3F6B" w:rsidRPr="00554242">
        <w:t xml:space="preserve">Instituto </w:t>
      </w:r>
      <w:r w:rsidRPr="00554242">
        <w:t>N</w:t>
      </w:r>
      <w:r w:rsidR="006D3F6B" w:rsidRPr="00554242">
        <w:t xml:space="preserve">acional de </w:t>
      </w:r>
      <w:r w:rsidRPr="00554242">
        <w:t>E</w:t>
      </w:r>
      <w:r w:rsidR="006D3F6B" w:rsidRPr="00554242">
        <w:t xml:space="preserve">stadística de </w:t>
      </w:r>
      <w:r w:rsidR="00061BB4" w:rsidRPr="00554242">
        <w:t>España 2013</w:t>
      </w:r>
      <w:r w:rsidRPr="00554242">
        <w:t xml:space="preserve"> y de la </w:t>
      </w:r>
      <w:r w:rsidR="00A51112" w:rsidRPr="00554242">
        <w:t>Oficina Nacional de Estadísticas de China</w:t>
      </w:r>
      <w:r w:rsidR="00061BB4" w:rsidRPr="00554242">
        <w:t xml:space="preserve"> 2013</w:t>
      </w:r>
      <w:r>
        <w:t>.</w:t>
      </w:r>
    </w:p>
    <w:p w:rsidR="00FA39C9" w:rsidRPr="00881AB8" w:rsidRDefault="00FA39C9" w:rsidP="006D3F6B">
      <w:pPr>
        <w:spacing w:line="220" w:lineRule="atLeast"/>
        <w:rPr>
          <w:rFonts w:ascii="Times New Roman" w:hAnsi="Times New Roman" w:cs="Times New Roman"/>
          <w:lang w:val="es-ES_tradnl"/>
        </w:rPr>
      </w:pPr>
    </w:p>
    <w:p w:rsidR="00C06EB2" w:rsidRDefault="00C06EB2" w:rsidP="00C06EB2">
      <w:pPr>
        <w:pStyle w:val="a0"/>
      </w:pPr>
      <w:r>
        <w:t>Los datos obtenidos se resumen en las Figuras 1</w:t>
      </w:r>
      <w:r w:rsidR="00AC468B">
        <w:t>3</w:t>
      </w:r>
      <w:r>
        <w:t xml:space="preserve"> y 1</w:t>
      </w:r>
      <w:r w:rsidR="00AC468B">
        <w:t>4</w:t>
      </w:r>
      <w:r>
        <w:t>.</w:t>
      </w:r>
    </w:p>
    <w:p w:rsidR="00C06EB2" w:rsidRPr="00881AB8" w:rsidRDefault="00C06EB2" w:rsidP="00C06EB2">
      <w:pPr>
        <w:pStyle w:val="a3"/>
      </w:pPr>
      <w:r>
        <w:lastRenderedPageBreak/>
        <w:t>Figura 1</w:t>
      </w:r>
      <w:r w:rsidR="00AC468B">
        <w:t>3</w:t>
      </w:r>
      <w:r>
        <w:t xml:space="preserve">: </w:t>
      </w:r>
      <w:r w:rsidRPr="00C06EB2">
        <w:t xml:space="preserve">Empleos por sector económico y </w:t>
      </w:r>
      <w:r>
        <w:t>género en China y España</w:t>
      </w:r>
      <w:r w:rsidRPr="00C06EB2">
        <w:t xml:space="preserve"> (2006)</w:t>
      </w:r>
    </w:p>
    <w:p w:rsidR="00C06EB2" w:rsidRPr="00881AB8" w:rsidRDefault="00C06EB2" w:rsidP="00C06EB2">
      <w:pPr>
        <w:spacing w:line="220" w:lineRule="atLeast"/>
        <w:rPr>
          <w:rFonts w:ascii="Times New Roman" w:hAnsi="Times New Roman" w:cs="Times New Roman"/>
          <w:lang w:val="es-ES_tradnl"/>
        </w:rPr>
      </w:pPr>
      <w:r w:rsidRPr="00881AB8">
        <w:rPr>
          <w:rFonts w:ascii="Times New Roman" w:hAnsi="Times New Roman" w:cs="Times New Roman"/>
          <w:noProof/>
          <w:lang w:val="es-ES" w:eastAsia="es-ES"/>
        </w:rPr>
        <w:drawing>
          <wp:inline distT="0" distB="0" distL="0" distR="0" wp14:anchorId="45B09BA8" wp14:editId="23505C51">
            <wp:extent cx="5295900" cy="3286125"/>
            <wp:effectExtent l="0" t="0" r="19050" b="9525"/>
            <wp:docPr id="27"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C06EB2" w:rsidRPr="00554242" w:rsidRDefault="00C06EB2" w:rsidP="00C06EB2">
      <w:pPr>
        <w:pStyle w:val="a6"/>
      </w:pPr>
      <w:r w:rsidRPr="00554242">
        <w:t>Fuente: Elaboración propia a partir de los datos del Instituto Nacional de Estadística de España 2013 y de la Oficina Nacional de Estadísticas de China 2013</w:t>
      </w:r>
      <w:r>
        <w:t>.</w:t>
      </w:r>
    </w:p>
    <w:p w:rsidR="00C06EB2" w:rsidRPr="00061BB4" w:rsidRDefault="00C06EB2" w:rsidP="00C06EB2">
      <w:pPr>
        <w:pStyle w:val="a3"/>
      </w:pPr>
      <w:r>
        <w:t>Figura 1</w:t>
      </w:r>
      <w:r w:rsidR="00AC468B">
        <w:t>4</w:t>
      </w:r>
      <w:r>
        <w:t xml:space="preserve">: </w:t>
      </w:r>
      <w:r w:rsidRPr="00C06EB2">
        <w:t xml:space="preserve">Empleos por sector económico y </w:t>
      </w:r>
      <w:r>
        <w:t>género en China y España</w:t>
      </w:r>
      <w:r w:rsidRPr="00C06EB2">
        <w:t xml:space="preserve"> (20</w:t>
      </w:r>
      <w:r>
        <w:t>13</w:t>
      </w:r>
      <w:r w:rsidRPr="00C06EB2">
        <w:t>)</w:t>
      </w:r>
    </w:p>
    <w:p w:rsidR="00C06EB2" w:rsidRPr="00881AB8" w:rsidRDefault="00C06EB2" w:rsidP="00C06EB2">
      <w:pPr>
        <w:spacing w:line="220" w:lineRule="atLeast"/>
        <w:rPr>
          <w:rFonts w:ascii="Times New Roman" w:hAnsi="Times New Roman" w:cs="Times New Roman"/>
          <w:lang w:val="es-ES_tradnl"/>
        </w:rPr>
      </w:pPr>
      <w:r w:rsidRPr="00881AB8">
        <w:rPr>
          <w:rFonts w:ascii="Times New Roman" w:hAnsi="Times New Roman" w:cs="Times New Roman"/>
          <w:noProof/>
          <w:lang w:val="es-ES" w:eastAsia="es-ES"/>
        </w:rPr>
        <w:drawing>
          <wp:inline distT="0" distB="0" distL="0" distR="0" wp14:anchorId="5CF2528F" wp14:editId="57562E8F">
            <wp:extent cx="5274310" cy="3076575"/>
            <wp:effectExtent l="19050" t="0" r="21590" b="0"/>
            <wp:docPr id="14" name="图表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06EB2" w:rsidRPr="00554242" w:rsidRDefault="00C06EB2" w:rsidP="00C06EB2">
      <w:pPr>
        <w:pStyle w:val="a6"/>
      </w:pPr>
      <w:r w:rsidRPr="00554242">
        <w:t>Fuente: Elaboración propia a partir de los datos del Instituto Nacional de Estadística de España</w:t>
      </w:r>
      <w:r>
        <w:t xml:space="preserve"> 2006</w:t>
      </w:r>
      <w:r w:rsidRPr="00554242">
        <w:t xml:space="preserve"> y de la Oficina Nacional de Estadísticas de China 20</w:t>
      </w:r>
      <w:r>
        <w:t>06.</w:t>
      </w:r>
    </w:p>
    <w:p w:rsidR="00C06EB2" w:rsidRDefault="00C06EB2" w:rsidP="00C06EB2">
      <w:pPr>
        <w:pStyle w:val="a0"/>
      </w:pPr>
    </w:p>
    <w:p w:rsidR="00C4253A" w:rsidRDefault="00A73282" w:rsidP="00A73282">
      <w:pPr>
        <w:pStyle w:val="a1"/>
      </w:pPr>
      <w:r>
        <w:lastRenderedPageBreak/>
        <w:t xml:space="preserve">Los datos sobre repartición por género de la población ocupada por sector de actividad muestran las principales tendencias de la evolución de la estructura del mercado laboral. </w:t>
      </w:r>
    </w:p>
    <w:p w:rsidR="00A73282" w:rsidRDefault="00A73282" w:rsidP="00A73282">
      <w:pPr>
        <w:pStyle w:val="a1"/>
      </w:pPr>
      <w:r>
        <w:t xml:space="preserve">En el año 2006, en China, el sector primario es el que suma más mano de obra masculina y también una parte importante de la mano de obra femenina, n este caso casi igual que el empleo en los servicios. Esta estructura es propia de un país que todavía no ha completado la transición hacia una economía desarrollada. Ocho años más tarde, en 2013, hay una importante disminución de la ocupación de mano de obra, tanto masculina como femenina, en el sector primario. Estos datos muestran la tendencia hacia un modelo de producción más desarrollado. </w:t>
      </w:r>
    </w:p>
    <w:p w:rsidR="00C4253A" w:rsidRDefault="00DD296E" w:rsidP="00A73282">
      <w:pPr>
        <w:pStyle w:val="a1"/>
      </w:pPr>
      <w:r>
        <w:t xml:space="preserve">En España, en el año 2006, los ocupados varones del sector industrial representaban </w:t>
      </w:r>
      <w:r w:rsidR="00A73282">
        <w:t xml:space="preserve"> </w:t>
      </w:r>
      <w:r>
        <w:t>el</w:t>
      </w:r>
      <w:r w:rsidR="00A73282">
        <w:t xml:space="preserve"> 41,8% </w:t>
      </w:r>
      <w:r>
        <w:t xml:space="preserve">y </w:t>
      </w:r>
      <w:r w:rsidR="00A73282">
        <w:t xml:space="preserve">solamente el 11,6% </w:t>
      </w:r>
      <w:r>
        <w:t>para las mujeres</w:t>
      </w:r>
      <w:r w:rsidR="00A73282">
        <w:t xml:space="preserve">. </w:t>
      </w:r>
      <w:r>
        <w:t xml:space="preserve">Ocho años más tarde, </w:t>
      </w:r>
      <w:r w:rsidR="000052F5">
        <w:t xml:space="preserve">las proporciones del sector industrial han bajado </w:t>
      </w:r>
      <w:r w:rsidR="00C4253A">
        <w:t xml:space="preserve">al 28,9% para los hombres y al 8,2% para las mujeres. La pérdida de empleo en el sector industrial español ha afectado con más dureza al segmento de los hombres, con una disminución de 13,1 puntos porcentuales. </w:t>
      </w:r>
    </w:p>
    <w:p w:rsidR="00C4253A" w:rsidRDefault="00C4253A" w:rsidP="00A73282">
      <w:pPr>
        <w:pStyle w:val="a1"/>
      </w:pPr>
      <w:r>
        <w:t>El sector de los servicios ha crecido de manera importante en China y en España entre los dos segmentos masculinos y femeninos. Se observa una importante feminización de la actividad de los servicios en España, con casi el 90% de las mujeres que están ocupadas en el tercer sector. En Chin</w:t>
      </w:r>
      <w:r w:rsidR="00402FCA">
        <w:t>a</w:t>
      </w:r>
      <w:r>
        <w:t xml:space="preserve">, se observa la tendencia a un fenómeno similar, con más del 75% de las mujeres ocupadas en el tercer sector. </w:t>
      </w:r>
    </w:p>
    <w:p w:rsidR="006D3F6B" w:rsidRDefault="00A73282" w:rsidP="00BE0393">
      <w:pPr>
        <w:pStyle w:val="a1"/>
      </w:pPr>
      <w:r w:rsidRPr="000052F5">
        <w:rPr>
          <w:i/>
        </w:rPr>
        <w:t>Conclusión</w:t>
      </w:r>
      <w:r>
        <w:t xml:space="preserve">: </w:t>
      </w:r>
      <w:r w:rsidR="000052F5">
        <w:t>D</w:t>
      </w:r>
      <w:r w:rsidR="00B42874">
        <w:t>e los datos comparativos</w:t>
      </w:r>
      <w:r w:rsidR="006D3F6B" w:rsidRPr="00881AB8">
        <w:t xml:space="preserve"> podemos </w:t>
      </w:r>
      <w:r w:rsidR="00BE0393">
        <w:t>definir</w:t>
      </w:r>
      <w:r w:rsidR="006D3F6B" w:rsidRPr="00881AB8">
        <w:t xml:space="preserve"> </w:t>
      </w:r>
      <w:r w:rsidR="00BE0393">
        <w:t>las siguientes tendencias:</w:t>
      </w:r>
    </w:p>
    <w:p w:rsidR="00BE0393" w:rsidRDefault="00BE0393" w:rsidP="00BE0393">
      <w:pPr>
        <w:pStyle w:val="a1"/>
        <w:numPr>
          <w:ilvl w:val="0"/>
          <w:numId w:val="47"/>
        </w:numPr>
      </w:pPr>
      <w:r>
        <w:t>La rápida transferencia de mano de obra del sector agrícola chino hacia la industria y, sobre todo, los servicios. Como se ha comentado ya, China es un país con un sector agrícola en proceso de modernización, lo que conlleva la aparición de un excedente de mano de obra mientras se va mejorando la eficiencia de la producción. En el año 2006, el sector agrícola representaba la mayor actividad para la población activa masculina, y la segunda para la población activa femenina.</w:t>
      </w:r>
      <w:r w:rsidR="006966F8">
        <w:t xml:space="preserve"> Ocho años más tarde, ha disminuido muy </w:t>
      </w:r>
      <w:r w:rsidR="006966F8">
        <w:lastRenderedPageBreak/>
        <w:t>significativamente la tasa de ocupación de este sector, lo que demuestra un cambio de modelo productivo característico de un país emergente.</w:t>
      </w:r>
    </w:p>
    <w:p w:rsidR="00BE0393" w:rsidRPr="006966F8" w:rsidRDefault="002E20FE" w:rsidP="006D3F6B">
      <w:pPr>
        <w:pStyle w:val="a1"/>
        <w:numPr>
          <w:ilvl w:val="0"/>
          <w:numId w:val="47"/>
        </w:numPr>
      </w:pPr>
      <w:r>
        <w:t>El aumento del sector de los servicios. La tendencia hacia la “</w:t>
      </w:r>
      <w:proofErr w:type="spellStart"/>
      <w:r>
        <w:t>tercia</w:t>
      </w:r>
      <w:r w:rsidR="00B86DBD">
        <w:t>ri</w:t>
      </w:r>
      <w:r>
        <w:t>zación</w:t>
      </w:r>
      <w:proofErr w:type="spellEnd"/>
      <w:r>
        <w:t xml:space="preserve">” </w:t>
      </w:r>
      <w:r w:rsidR="00B86DBD">
        <w:t>(</w:t>
      </w:r>
      <w:r w:rsidR="00B86DBD" w:rsidRPr="00B86DBD">
        <w:t xml:space="preserve">Cuadrado </w:t>
      </w:r>
      <w:proofErr w:type="spellStart"/>
      <w:r w:rsidR="00B86DBD" w:rsidRPr="00B86DBD">
        <w:t>Roura</w:t>
      </w:r>
      <w:proofErr w:type="spellEnd"/>
      <w:r w:rsidR="00B86DBD">
        <w:t>, 2016)</w:t>
      </w:r>
      <w:r w:rsidR="00F37445">
        <w:rPr>
          <w:rStyle w:val="FootnoteReference"/>
        </w:rPr>
        <w:footnoteReference w:id="40"/>
      </w:r>
      <w:r w:rsidR="00B86DBD">
        <w:t xml:space="preserve"> </w:t>
      </w:r>
      <w:r>
        <w:t xml:space="preserve">de la economía es muy evidente en España y también </w:t>
      </w:r>
      <w:r w:rsidR="00410319">
        <w:t xml:space="preserve">es un fenómeno que empieza a ser visible en China. La integración de las mujeres al mercado laboral español se ha realizado principalmente en el sector de los servicios. </w:t>
      </w:r>
      <w:r w:rsidR="006966F8">
        <w:t>España es un país que ha perdido mucho tejido industrial y que basa gran parte de su desarrollo económico en el sector de los servicios.</w:t>
      </w:r>
    </w:p>
    <w:p w:rsidR="006D3F6B" w:rsidRDefault="006D3F6B" w:rsidP="00AE3F80">
      <w:pPr>
        <w:pStyle w:val="Heading2"/>
        <w:rPr>
          <w:lang w:val="es-ES_tradnl"/>
        </w:rPr>
      </w:pPr>
      <w:bookmarkStart w:id="54" w:name="_Toc471215315"/>
      <w:r w:rsidRPr="00881AB8">
        <w:rPr>
          <w:lang w:val="es-ES_tradnl"/>
        </w:rPr>
        <w:t>3.</w:t>
      </w:r>
      <w:r w:rsidR="001572ED">
        <w:rPr>
          <w:rFonts w:hint="eastAsia"/>
          <w:lang w:val="es-ES_tradnl"/>
        </w:rPr>
        <w:t>4</w:t>
      </w:r>
      <w:r w:rsidR="000B258E">
        <w:rPr>
          <w:rFonts w:hint="eastAsia"/>
          <w:lang w:val="es-ES_tradnl"/>
        </w:rPr>
        <w:t>.</w:t>
      </w:r>
      <w:r w:rsidR="00530B42">
        <w:rPr>
          <w:lang w:val="es-ES_tradnl"/>
        </w:rPr>
        <w:t xml:space="preserve"> </w:t>
      </w:r>
      <w:r w:rsidRPr="00881AB8">
        <w:rPr>
          <w:lang w:val="es-ES_tradnl"/>
        </w:rPr>
        <w:t>La relación de población activa con nivel de estudio</w:t>
      </w:r>
      <w:bookmarkEnd w:id="54"/>
    </w:p>
    <w:p w:rsidR="00410319" w:rsidRDefault="00410319" w:rsidP="00410319">
      <w:pPr>
        <w:pStyle w:val="a1"/>
      </w:pPr>
      <w:r>
        <w:t>La cualificación de los trabajadores es un factor fundamental para la eficiencia del mercado laboral y también para el aumentar el poder de negociación en los salarios.</w:t>
      </w:r>
      <w:r w:rsidR="00E90AE2">
        <w:t xml:space="preserve"> </w:t>
      </w:r>
      <w:proofErr w:type="spellStart"/>
      <w:r w:rsidR="00E90AE2">
        <w:t>Meng</w:t>
      </w:r>
      <w:proofErr w:type="spellEnd"/>
      <w:r w:rsidR="00E90AE2">
        <w:t xml:space="preserve">, </w:t>
      </w:r>
      <w:proofErr w:type="spellStart"/>
      <w:r w:rsidR="00E90AE2">
        <w:t>Shen</w:t>
      </w:r>
      <w:proofErr w:type="spellEnd"/>
      <w:r w:rsidR="00E90AE2">
        <w:t xml:space="preserve"> &amp; </w:t>
      </w:r>
      <w:proofErr w:type="spellStart"/>
      <w:r w:rsidR="00E90AE2">
        <w:t>Xue</w:t>
      </w:r>
      <w:proofErr w:type="spellEnd"/>
      <w:r w:rsidR="00E90AE2">
        <w:t xml:space="preserve"> (2013)</w:t>
      </w:r>
      <w:r w:rsidR="003C5082">
        <w:rPr>
          <w:rStyle w:val="FootnoteReference"/>
        </w:rPr>
        <w:footnoteReference w:id="41"/>
      </w:r>
      <w:r w:rsidR="00E90AE2">
        <w:t xml:space="preserve"> relacionan el desarrollo educativo y el mayor número de graduados universitarios con el desarrollo económico alcanzado en las zonas urbanas de China a lo largo de las dos últimas décadas.</w:t>
      </w:r>
    </w:p>
    <w:p w:rsidR="00410319" w:rsidRPr="00410319" w:rsidRDefault="00410319" w:rsidP="00410319">
      <w:pPr>
        <w:pStyle w:val="a1"/>
      </w:pPr>
      <w:r>
        <w:t>A continuación, las tablas muestran la repartición de la fuerza laboral de China y España en función del nivel de estudio.</w:t>
      </w:r>
    </w:p>
    <w:p w:rsidR="006D3F6B" w:rsidRPr="00061BB4" w:rsidRDefault="006D3F6B" w:rsidP="009F7B6B">
      <w:pPr>
        <w:pStyle w:val="a3"/>
      </w:pPr>
      <w:r w:rsidRPr="00061BB4">
        <w:t>Espa</w:t>
      </w:r>
      <w:r w:rsidR="009F7B6B">
        <w:t>ña</w:t>
      </w:r>
    </w:p>
    <w:tbl>
      <w:tblPr>
        <w:tblStyle w:val="MediumGrid3-Accent6"/>
        <w:tblW w:w="0" w:type="auto"/>
        <w:tblLook w:val="04A0" w:firstRow="1" w:lastRow="0" w:firstColumn="1" w:lastColumn="0" w:noHBand="0" w:noVBand="1"/>
      </w:tblPr>
      <w:tblGrid>
        <w:gridCol w:w="2660"/>
        <w:gridCol w:w="850"/>
        <w:gridCol w:w="851"/>
        <w:gridCol w:w="850"/>
        <w:gridCol w:w="851"/>
        <w:gridCol w:w="850"/>
        <w:gridCol w:w="825"/>
        <w:gridCol w:w="785"/>
      </w:tblGrid>
      <w:tr w:rsidR="006D3F6B" w:rsidRPr="00881AB8" w:rsidTr="009F7B6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6D3F6B" w:rsidRPr="00881AB8" w:rsidRDefault="006D3F6B" w:rsidP="00021F4E">
            <w:pPr>
              <w:rPr>
                <w:rFonts w:ascii="Times New Roman" w:hAnsi="Times New Roman" w:cs="Times New Roman"/>
                <w:lang w:val="es-ES_tradnl"/>
              </w:rPr>
            </w:pPr>
          </w:p>
        </w:tc>
        <w:tc>
          <w:tcPr>
            <w:tcW w:w="850" w:type="dxa"/>
          </w:tcPr>
          <w:p w:rsidR="006D3F6B" w:rsidRPr="00881AB8" w:rsidRDefault="006D3F6B" w:rsidP="00021F4E">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2006</w:t>
            </w:r>
          </w:p>
        </w:tc>
        <w:tc>
          <w:tcPr>
            <w:tcW w:w="851" w:type="dxa"/>
          </w:tcPr>
          <w:p w:rsidR="006D3F6B" w:rsidRPr="00881AB8" w:rsidRDefault="006D3F6B" w:rsidP="00021F4E">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2007</w:t>
            </w:r>
          </w:p>
        </w:tc>
        <w:tc>
          <w:tcPr>
            <w:tcW w:w="850" w:type="dxa"/>
          </w:tcPr>
          <w:p w:rsidR="006D3F6B" w:rsidRPr="00881AB8" w:rsidRDefault="006D3F6B" w:rsidP="00021F4E">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2008</w:t>
            </w:r>
          </w:p>
        </w:tc>
        <w:tc>
          <w:tcPr>
            <w:tcW w:w="851" w:type="dxa"/>
          </w:tcPr>
          <w:p w:rsidR="006D3F6B" w:rsidRPr="00881AB8" w:rsidRDefault="006D3F6B" w:rsidP="00021F4E">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2009</w:t>
            </w:r>
          </w:p>
        </w:tc>
        <w:tc>
          <w:tcPr>
            <w:tcW w:w="850" w:type="dxa"/>
          </w:tcPr>
          <w:p w:rsidR="006D3F6B" w:rsidRPr="00881AB8" w:rsidRDefault="006D3F6B" w:rsidP="00021F4E">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2010</w:t>
            </w:r>
          </w:p>
        </w:tc>
        <w:tc>
          <w:tcPr>
            <w:tcW w:w="825" w:type="dxa"/>
          </w:tcPr>
          <w:p w:rsidR="006D3F6B" w:rsidRPr="00881AB8" w:rsidRDefault="006D3F6B" w:rsidP="00021F4E">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2011</w:t>
            </w:r>
          </w:p>
        </w:tc>
        <w:tc>
          <w:tcPr>
            <w:tcW w:w="785" w:type="dxa"/>
          </w:tcPr>
          <w:p w:rsidR="006D3F6B" w:rsidRPr="00881AB8" w:rsidRDefault="006D3F6B" w:rsidP="00021F4E">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2012</w:t>
            </w:r>
          </w:p>
        </w:tc>
      </w:tr>
      <w:tr w:rsidR="006D3F6B" w:rsidRPr="00881AB8" w:rsidTr="009F7B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6D3F6B" w:rsidRPr="00881AB8" w:rsidRDefault="006D3F6B" w:rsidP="00021F4E">
            <w:pPr>
              <w:rPr>
                <w:rFonts w:ascii="Times New Roman" w:hAnsi="Times New Roman" w:cs="Times New Roman"/>
                <w:lang w:val="es-ES_tradnl"/>
              </w:rPr>
            </w:pPr>
            <w:r w:rsidRPr="00881AB8">
              <w:rPr>
                <w:rFonts w:ascii="Times New Roman" w:hAnsi="Times New Roman" w:cs="Times New Roman"/>
                <w:lang w:val="es-ES_tradnl"/>
              </w:rPr>
              <w:t>educación primaria</w:t>
            </w:r>
            <w:r w:rsidR="009F7B6B">
              <w:rPr>
                <w:rFonts w:ascii="Times New Roman" w:hAnsi="Times New Roman" w:cs="Times New Roman"/>
                <w:lang w:val="es-ES_tradnl"/>
              </w:rPr>
              <w:t xml:space="preserve"> y educación segundario de primera etapa</w:t>
            </w:r>
          </w:p>
        </w:tc>
        <w:tc>
          <w:tcPr>
            <w:tcW w:w="850" w:type="dxa"/>
          </w:tcPr>
          <w:p w:rsidR="006D3F6B" w:rsidRPr="009F7B6B"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9F7B6B">
              <w:rPr>
                <w:rFonts w:ascii="Times New Roman" w:hAnsi="Times New Roman" w:cs="Times New Roman"/>
                <w:lang w:val="es-ES_tradnl"/>
              </w:rPr>
              <w:t>45.2%</w:t>
            </w:r>
          </w:p>
        </w:tc>
        <w:tc>
          <w:tcPr>
            <w:tcW w:w="851" w:type="dxa"/>
          </w:tcPr>
          <w:p w:rsidR="006D3F6B" w:rsidRPr="009F7B6B"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9F7B6B">
              <w:rPr>
                <w:rFonts w:ascii="Times New Roman" w:hAnsi="Times New Roman" w:cs="Times New Roman"/>
                <w:lang w:val="es-ES_tradnl"/>
              </w:rPr>
              <w:t>44.6%</w:t>
            </w:r>
          </w:p>
        </w:tc>
        <w:tc>
          <w:tcPr>
            <w:tcW w:w="850" w:type="dxa"/>
          </w:tcPr>
          <w:p w:rsidR="006D3F6B" w:rsidRPr="009F7B6B"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9F7B6B">
              <w:rPr>
                <w:rFonts w:ascii="Times New Roman" w:hAnsi="Times New Roman" w:cs="Times New Roman"/>
                <w:lang w:val="es-ES_tradnl"/>
              </w:rPr>
              <w:t>44.5%</w:t>
            </w:r>
          </w:p>
        </w:tc>
        <w:tc>
          <w:tcPr>
            <w:tcW w:w="851" w:type="dxa"/>
          </w:tcPr>
          <w:p w:rsidR="006D3F6B" w:rsidRPr="009F7B6B"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9F7B6B">
              <w:rPr>
                <w:rFonts w:ascii="Times New Roman" w:hAnsi="Times New Roman" w:cs="Times New Roman"/>
                <w:lang w:val="es-ES_tradnl"/>
              </w:rPr>
              <w:t>44.2%</w:t>
            </w:r>
          </w:p>
        </w:tc>
        <w:tc>
          <w:tcPr>
            <w:tcW w:w="850" w:type="dxa"/>
          </w:tcPr>
          <w:p w:rsidR="006D3F6B" w:rsidRPr="009F7B6B"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9F7B6B">
              <w:rPr>
                <w:rFonts w:ascii="Times New Roman" w:hAnsi="Times New Roman" w:cs="Times New Roman"/>
                <w:lang w:val="es-ES_tradnl"/>
              </w:rPr>
              <w:t>43.3%</w:t>
            </w:r>
          </w:p>
        </w:tc>
        <w:tc>
          <w:tcPr>
            <w:tcW w:w="825" w:type="dxa"/>
          </w:tcPr>
          <w:p w:rsidR="006D3F6B" w:rsidRPr="009F7B6B"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9F7B6B">
              <w:rPr>
                <w:rFonts w:ascii="Times New Roman" w:hAnsi="Times New Roman" w:cs="Times New Roman"/>
                <w:lang w:val="es-ES_tradnl"/>
              </w:rPr>
              <w:t>42.2%</w:t>
            </w:r>
          </w:p>
        </w:tc>
        <w:tc>
          <w:tcPr>
            <w:tcW w:w="785" w:type="dxa"/>
          </w:tcPr>
          <w:p w:rsidR="006D3F6B" w:rsidRPr="009F7B6B"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9F7B6B">
              <w:rPr>
                <w:rFonts w:ascii="Times New Roman" w:hAnsi="Times New Roman" w:cs="Times New Roman"/>
                <w:lang w:val="es-ES_tradnl"/>
              </w:rPr>
              <w:t>41.6%</w:t>
            </w:r>
          </w:p>
        </w:tc>
      </w:tr>
      <w:tr w:rsidR="006D3F6B" w:rsidRPr="00881AB8" w:rsidTr="009F7B6B">
        <w:tc>
          <w:tcPr>
            <w:cnfStyle w:val="001000000000" w:firstRow="0" w:lastRow="0" w:firstColumn="1" w:lastColumn="0" w:oddVBand="0" w:evenVBand="0" w:oddHBand="0" w:evenHBand="0" w:firstRowFirstColumn="0" w:firstRowLastColumn="0" w:lastRowFirstColumn="0" w:lastRowLastColumn="0"/>
            <w:tcW w:w="2660" w:type="dxa"/>
          </w:tcPr>
          <w:p w:rsidR="006D3F6B" w:rsidRPr="00881AB8" w:rsidRDefault="006D3F6B" w:rsidP="00021F4E">
            <w:pPr>
              <w:rPr>
                <w:rFonts w:ascii="Times New Roman" w:hAnsi="Times New Roman" w:cs="Times New Roman"/>
                <w:lang w:val="es-ES_tradnl"/>
              </w:rPr>
            </w:pPr>
            <w:r w:rsidRPr="00881AB8">
              <w:rPr>
                <w:rFonts w:ascii="Times New Roman" w:hAnsi="Times New Roman" w:cs="Times New Roman"/>
                <w:lang w:val="es-ES_tradnl"/>
              </w:rPr>
              <w:t>educación secundaria</w:t>
            </w:r>
            <w:r w:rsidR="009F7B6B">
              <w:rPr>
                <w:rFonts w:ascii="Times New Roman" w:hAnsi="Times New Roman" w:cs="Times New Roman"/>
                <w:lang w:val="es-ES_tradnl"/>
              </w:rPr>
              <w:t xml:space="preserve"> de segunda etapa</w:t>
            </w:r>
          </w:p>
        </w:tc>
        <w:tc>
          <w:tcPr>
            <w:tcW w:w="850" w:type="dxa"/>
          </w:tcPr>
          <w:p w:rsidR="006D3F6B" w:rsidRPr="00881AB8" w:rsidRDefault="006D3F6B" w:rsidP="00021F4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23.3%</w:t>
            </w:r>
          </w:p>
        </w:tc>
        <w:tc>
          <w:tcPr>
            <w:tcW w:w="851" w:type="dxa"/>
          </w:tcPr>
          <w:p w:rsidR="006D3F6B" w:rsidRPr="00881AB8" w:rsidRDefault="006D3F6B" w:rsidP="00021F4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23.6%</w:t>
            </w:r>
          </w:p>
        </w:tc>
        <w:tc>
          <w:tcPr>
            <w:tcW w:w="850" w:type="dxa"/>
          </w:tcPr>
          <w:p w:rsidR="006D3F6B" w:rsidRPr="00881AB8" w:rsidRDefault="006D3F6B" w:rsidP="00021F4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23.7%</w:t>
            </w:r>
          </w:p>
        </w:tc>
        <w:tc>
          <w:tcPr>
            <w:tcW w:w="851" w:type="dxa"/>
          </w:tcPr>
          <w:p w:rsidR="006D3F6B" w:rsidRPr="00881AB8" w:rsidRDefault="006D3F6B" w:rsidP="00021F4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23.7%</w:t>
            </w:r>
          </w:p>
        </w:tc>
        <w:tc>
          <w:tcPr>
            <w:tcW w:w="850" w:type="dxa"/>
          </w:tcPr>
          <w:p w:rsidR="006D3F6B" w:rsidRPr="00881AB8" w:rsidRDefault="006D3F6B" w:rsidP="00021F4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23.7%</w:t>
            </w:r>
          </w:p>
        </w:tc>
        <w:tc>
          <w:tcPr>
            <w:tcW w:w="825" w:type="dxa"/>
          </w:tcPr>
          <w:p w:rsidR="006D3F6B" w:rsidRPr="00881AB8" w:rsidRDefault="006D3F6B" w:rsidP="00021F4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23.8%</w:t>
            </w:r>
          </w:p>
        </w:tc>
        <w:tc>
          <w:tcPr>
            <w:tcW w:w="785" w:type="dxa"/>
          </w:tcPr>
          <w:p w:rsidR="006D3F6B" w:rsidRPr="00881AB8" w:rsidRDefault="006D3F6B" w:rsidP="00021F4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23.6%</w:t>
            </w:r>
          </w:p>
        </w:tc>
      </w:tr>
      <w:tr w:rsidR="006D3F6B" w:rsidRPr="00881AB8" w:rsidTr="009F7B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6D3F6B" w:rsidRPr="00881AB8" w:rsidRDefault="006D3F6B" w:rsidP="00021F4E">
            <w:pPr>
              <w:rPr>
                <w:rFonts w:ascii="Times New Roman" w:hAnsi="Times New Roman" w:cs="Times New Roman"/>
                <w:lang w:val="es-ES_tradnl"/>
              </w:rPr>
            </w:pPr>
            <w:r w:rsidRPr="00881AB8">
              <w:rPr>
                <w:rFonts w:ascii="Times New Roman" w:hAnsi="Times New Roman" w:cs="Times New Roman"/>
                <w:lang w:val="es-ES_tradnl"/>
              </w:rPr>
              <w:t>educación terciaria</w:t>
            </w:r>
          </w:p>
        </w:tc>
        <w:tc>
          <w:tcPr>
            <w:tcW w:w="850" w:type="dxa"/>
          </w:tcPr>
          <w:p w:rsidR="006D3F6B" w:rsidRPr="00881AB8"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31.5%</w:t>
            </w:r>
          </w:p>
        </w:tc>
        <w:tc>
          <w:tcPr>
            <w:tcW w:w="851" w:type="dxa"/>
          </w:tcPr>
          <w:p w:rsidR="006D3F6B" w:rsidRPr="00881AB8"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31.8%</w:t>
            </w:r>
          </w:p>
        </w:tc>
        <w:tc>
          <w:tcPr>
            <w:tcW w:w="850" w:type="dxa"/>
          </w:tcPr>
          <w:p w:rsidR="006D3F6B" w:rsidRPr="00881AB8"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31.7%</w:t>
            </w:r>
          </w:p>
        </w:tc>
        <w:tc>
          <w:tcPr>
            <w:tcW w:w="851" w:type="dxa"/>
          </w:tcPr>
          <w:p w:rsidR="006D3F6B" w:rsidRPr="00881AB8"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32.1%</w:t>
            </w:r>
          </w:p>
        </w:tc>
        <w:tc>
          <w:tcPr>
            <w:tcW w:w="850" w:type="dxa"/>
          </w:tcPr>
          <w:p w:rsidR="006D3F6B" w:rsidRPr="00881AB8"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33.1%</w:t>
            </w:r>
          </w:p>
        </w:tc>
        <w:tc>
          <w:tcPr>
            <w:tcW w:w="825" w:type="dxa"/>
          </w:tcPr>
          <w:p w:rsidR="006D3F6B" w:rsidRPr="00881AB8"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34%</w:t>
            </w:r>
          </w:p>
        </w:tc>
        <w:tc>
          <w:tcPr>
            <w:tcW w:w="785" w:type="dxa"/>
          </w:tcPr>
          <w:p w:rsidR="006D3F6B" w:rsidRPr="00881AB8"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34.8%</w:t>
            </w:r>
          </w:p>
        </w:tc>
      </w:tr>
    </w:tbl>
    <w:p w:rsidR="006D3F6B" w:rsidRPr="00881AB8" w:rsidRDefault="006D3F6B" w:rsidP="006D3F6B">
      <w:pPr>
        <w:rPr>
          <w:rFonts w:ascii="Times New Roman" w:hAnsi="Times New Roman" w:cs="Times New Roman"/>
          <w:lang w:val="es-ES_tradnl"/>
        </w:rPr>
      </w:pPr>
    </w:p>
    <w:p w:rsidR="006D3F6B" w:rsidRPr="00061BB4" w:rsidRDefault="009F7B6B" w:rsidP="009F7B6B">
      <w:pPr>
        <w:pStyle w:val="a3"/>
      </w:pPr>
      <w:r>
        <w:lastRenderedPageBreak/>
        <w:t>China</w:t>
      </w:r>
    </w:p>
    <w:tbl>
      <w:tblPr>
        <w:tblStyle w:val="MediumGrid3-Accent6"/>
        <w:tblW w:w="0" w:type="auto"/>
        <w:tblLook w:val="04A0" w:firstRow="1" w:lastRow="0" w:firstColumn="1" w:lastColumn="0" w:noHBand="0" w:noVBand="1"/>
      </w:tblPr>
      <w:tblGrid>
        <w:gridCol w:w="1243"/>
        <w:gridCol w:w="1065"/>
        <w:gridCol w:w="1065"/>
        <w:gridCol w:w="1065"/>
        <w:gridCol w:w="1065"/>
        <w:gridCol w:w="1065"/>
        <w:gridCol w:w="1066"/>
        <w:gridCol w:w="1066"/>
      </w:tblGrid>
      <w:tr w:rsidR="006D3F6B" w:rsidRPr="00881AB8" w:rsidTr="00021F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5" w:type="dxa"/>
          </w:tcPr>
          <w:p w:rsidR="006D3F6B" w:rsidRPr="00881AB8" w:rsidRDefault="006D3F6B" w:rsidP="00021F4E">
            <w:pPr>
              <w:rPr>
                <w:rFonts w:ascii="Times New Roman" w:hAnsi="Times New Roman" w:cs="Times New Roman"/>
                <w:lang w:val="es-ES_tradnl"/>
              </w:rPr>
            </w:pPr>
          </w:p>
        </w:tc>
        <w:tc>
          <w:tcPr>
            <w:tcW w:w="1065" w:type="dxa"/>
          </w:tcPr>
          <w:p w:rsidR="006D3F6B" w:rsidRPr="00881AB8" w:rsidRDefault="006D3F6B" w:rsidP="00021F4E">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2006</w:t>
            </w:r>
          </w:p>
        </w:tc>
        <w:tc>
          <w:tcPr>
            <w:tcW w:w="1065" w:type="dxa"/>
          </w:tcPr>
          <w:p w:rsidR="006D3F6B" w:rsidRPr="00881AB8" w:rsidRDefault="006D3F6B" w:rsidP="00021F4E">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2007</w:t>
            </w:r>
          </w:p>
        </w:tc>
        <w:tc>
          <w:tcPr>
            <w:tcW w:w="1065" w:type="dxa"/>
          </w:tcPr>
          <w:p w:rsidR="006D3F6B" w:rsidRPr="00881AB8" w:rsidRDefault="006D3F6B" w:rsidP="00021F4E">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2008</w:t>
            </w:r>
          </w:p>
        </w:tc>
        <w:tc>
          <w:tcPr>
            <w:tcW w:w="1065" w:type="dxa"/>
          </w:tcPr>
          <w:p w:rsidR="006D3F6B" w:rsidRPr="00881AB8" w:rsidRDefault="006D3F6B" w:rsidP="00021F4E">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2009</w:t>
            </w:r>
          </w:p>
        </w:tc>
        <w:tc>
          <w:tcPr>
            <w:tcW w:w="1065" w:type="dxa"/>
          </w:tcPr>
          <w:p w:rsidR="006D3F6B" w:rsidRPr="00881AB8" w:rsidRDefault="006D3F6B" w:rsidP="00021F4E">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2010</w:t>
            </w:r>
          </w:p>
        </w:tc>
        <w:tc>
          <w:tcPr>
            <w:tcW w:w="1066" w:type="dxa"/>
          </w:tcPr>
          <w:p w:rsidR="006D3F6B" w:rsidRPr="00881AB8" w:rsidRDefault="006D3F6B" w:rsidP="00021F4E">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2011</w:t>
            </w:r>
          </w:p>
        </w:tc>
        <w:tc>
          <w:tcPr>
            <w:tcW w:w="1066" w:type="dxa"/>
          </w:tcPr>
          <w:p w:rsidR="006D3F6B" w:rsidRPr="00881AB8" w:rsidRDefault="006D3F6B" w:rsidP="00021F4E">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2012</w:t>
            </w:r>
          </w:p>
        </w:tc>
      </w:tr>
      <w:tr w:rsidR="006D3F6B" w:rsidRPr="00881AB8" w:rsidTr="00021F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5" w:type="dxa"/>
          </w:tcPr>
          <w:p w:rsidR="006D3F6B" w:rsidRPr="00881AB8" w:rsidRDefault="006D3F6B" w:rsidP="00021F4E">
            <w:pPr>
              <w:rPr>
                <w:rFonts w:ascii="Times New Roman" w:hAnsi="Times New Roman" w:cs="Times New Roman"/>
                <w:lang w:val="es-ES_tradnl"/>
              </w:rPr>
            </w:pPr>
            <w:r w:rsidRPr="00881AB8">
              <w:rPr>
                <w:rFonts w:ascii="Times New Roman" w:hAnsi="Times New Roman" w:cs="Times New Roman"/>
                <w:lang w:val="es-ES_tradnl"/>
              </w:rPr>
              <w:t>educación primaria</w:t>
            </w:r>
          </w:p>
        </w:tc>
        <w:tc>
          <w:tcPr>
            <w:tcW w:w="1065" w:type="dxa"/>
          </w:tcPr>
          <w:p w:rsidR="006D3F6B" w:rsidRPr="00881AB8"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36.6%</w:t>
            </w:r>
          </w:p>
        </w:tc>
        <w:tc>
          <w:tcPr>
            <w:tcW w:w="1065" w:type="dxa"/>
          </w:tcPr>
          <w:p w:rsidR="006D3F6B" w:rsidRPr="00881AB8"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32.6%</w:t>
            </w:r>
          </w:p>
        </w:tc>
        <w:tc>
          <w:tcPr>
            <w:tcW w:w="1065" w:type="dxa"/>
          </w:tcPr>
          <w:p w:rsidR="006D3F6B" w:rsidRPr="00881AB8"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31.4%</w:t>
            </w:r>
          </w:p>
        </w:tc>
        <w:tc>
          <w:tcPr>
            <w:tcW w:w="1065" w:type="dxa"/>
          </w:tcPr>
          <w:p w:rsidR="006D3F6B" w:rsidRPr="00881AB8"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30.4%</w:t>
            </w:r>
          </w:p>
        </w:tc>
        <w:tc>
          <w:tcPr>
            <w:tcW w:w="1065" w:type="dxa"/>
          </w:tcPr>
          <w:p w:rsidR="006D3F6B" w:rsidRPr="00881AB8"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30.1%</w:t>
            </w:r>
          </w:p>
        </w:tc>
        <w:tc>
          <w:tcPr>
            <w:tcW w:w="1066" w:type="dxa"/>
          </w:tcPr>
          <w:p w:rsidR="006D3F6B" w:rsidRPr="00881AB8"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27.7%</w:t>
            </w:r>
          </w:p>
        </w:tc>
        <w:tc>
          <w:tcPr>
            <w:tcW w:w="1066" w:type="dxa"/>
          </w:tcPr>
          <w:p w:rsidR="006D3F6B" w:rsidRPr="00881AB8"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27.1%</w:t>
            </w:r>
          </w:p>
        </w:tc>
      </w:tr>
      <w:tr w:rsidR="006D3F6B" w:rsidRPr="00881AB8" w:rsidTr="00021F4E">
        <w:tc>
          <w:tcPr>
            <w:cnfStyle w:val="001000000000" w:firstRow="0" w:lastRow="0" w:firstColumn="1" w:lastColumn="0" w:oddVBand="0" w:evenVBand="0" w:oddHBand="0" w:evenHBand="0" w:firstRowFirstColumn="0" w:firstRowLastColumn="0" w:lastRowFirstColumn="0" w:lastRowLastColumn="0"/>
            <w:tcW w:w="1065" w:type="dxa"/>
          </w:tcPr>
          <w:p w:rsidR="006D3F6B" w:rsidRPr="00881AB8" w:rsidRDefault="006D3F6B" w:rsidP="00021F4E">
            <w:pPr>
              <w:rPr>
                <w:rFonts w:ascii="Times New Roman" w:hAnsi="Times New Roman" w:cs="Times New Roman"/>
                <w:lang w:val="es-ES_tradnl"/>
              </w:rPr>
            </w:pPr>
            <w:r w:rsidRPr="00881AB8">
              <w:rPr>
                <w:rFonts w:ascii="Times New Roman" w:hAnsi="Times New Roman" w:cs="Times New Roman"/>
                <w:lang w:val="es-ES_tradnl"/>
              </w:rPr>
              <w:t>educación secundaria</w:t>
            </w:r>
          </w:p>
        </w:tc>
        <w:tc>
          <w:tcPr>
            <w:tcW w:w="1065" w:type="dxa"/>
          </w:tcPr>
          <w:p w:rsidR="006D3F6B" w:rsidRPr="00881AB8" w:rsidRDefault="006D3F6B" w:rsidP="00021F4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56.8%</w:t>
            </w:r>
          </w:p>
        </w:tc>
        <w:tc>
          <w:tcPr>
            <w:tcW w:w="1065" w:type="dxa"/>
          </w:tcPr>
          <w:p w:rsidR="006D3F6B" w:rsidRPr="00881AB8" w:rsidRDefault="006D3F6B" w:rsidP="00021F4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60.4%</w:t>
            </w:r>
          </w:p>
        </w:tc>
        <w:tc>
          <w:tcPr>
            <w:tcW w:w="1065" w:type="dxa"/>
          </w:tcPr>
          <w:p w:rsidR="006D3F6B" w:rsidRPr="00881AB8" w:rsidRDefault="006D3F6B" w:rsidP="00021F4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61.3%</w:t>
            </w:r>
          </w:p>
        </w:tc>
        <w:tc>
          <w:tcPr>
            <w:tcW w:w="1065" w:type="dxa"/>
          </w:tcPr>
          <w:p w:rsidR="006D3F6B" w:rsidRPr="00881AB8" w:rsidRDefault="006D3F6B" w:rsidP="00021F4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61.5%</w:t>
            </w:r>
          </w:p>
        </w:tc>
        <w:tc>
          <w:tcPr>
            <w:tcW w:w="1065" w:type="dxa"/>
          </w:tcPr>
          <w:p w:rsidR="006D3F6B" w:rsidRPr="00881AB8" w:rsidRDefault="006D3F6B" w:rsidP="00021F4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60.6%</w:t>
            </w:r>
          </w:p>
        </w:tc>
        <w:tc>
          <w:tcPr>
            <w:tcW w:w="1066" w:type="dxa"/>
          </w:tcPr>
          <w:p w:rsidR="006D3F6B" w:rsidRPr="00881AB8" w:rsidRDefault="006D3F6B" w:rsidP="00021F4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61.3%</w:t>
            </w:r>
          </w:p>
        </w:tc>
        <w:tc>
          <w:tcPr>
            <w:tcW w:w="1066" w:type="dxa"/>
          </w:tcPr>
          <w:p w:rsidR="006D3F6B" w:rsidRPr="00881AB8" w:rsidRDefault="006D3F6B" w:rsidP="00021F4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59.3%</w:t>
            </w:r>
          </w:p>
        </w:tc>
      </w:tr>
      <w:tr w:rsidR="006D3F6B" w:rsidRPr="00881AB8" w:rsidTr="00021F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5" w:type="dxa"/>
          </w:tcPr>
          <w:p w:rsidR="006D3F6B" w:rsidRPr="00881AB8" w:rsidRDefault="006D3F6B" w:rsidP="00021F4E">
            <w:pPr>
              <w:rPr>
                <w:rFonts w:ascii="Times New Roman" w:hAnsi="Times New Roman" w:cs="Times New Roman"/>
                <w:lang w:val="es-ES_tradnl"/>
              </w:rPr>
            </w:pPr>
            <w:r w:rsidRPr="00881AB8">
              <w:rPr>
                <w:rFonts w:ascii="Times New Roman" w:hAnsi="Times New Roman" w:cs="Times New Roman"/>
                <w:lang w:val="es-ES_tradnl"/>
              </w:rPr>
              <w:t>educación terciaria</w:t>
            </w:r>
          </w:p>
        </w:tc>
        <w:tc>
          <w:tcPr>
            <w:tcW w:w="1065" w:type="dxa"/>
          </w:tcPr>
          <w:p w:rsidR="006D3F6B" w:rsidRPr="00881AB8"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6.6%</w:t>
            </w:r>
          </w:p>
        </w:tc>
        <w:tc>
          <w:tcPr>
            <w:tcW w:w="1065" w:type="dxa"/>
          </w:tcPr>
          <w:p w:rsidR="006D3F6B" w:rsidRPr="00881AB8"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7%</w:t>
            </w:r>
          </w:p>
        </w:tc>
        <w:tc>
          <w:tcPr>
            <w:tcW w:w="1065" w:type="dxa"/>
          </w:tcPr>
          <w:p w:rsidR="006D3F6B" w:rsidRPr="00881AB8"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7.3%</w:t>
            </w:r>
          </w:p>
        </w:tc>
        <w:tc>
          <w:tcPr>
            <w:tcW w:w="1065" w:type="dxa"/>
          </w:tcPr>
          <w:p w:rsidR="006D3F6B" w:rsidRPr="00881AB8"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8.1%</w:t>
            </w:r>
          </w:p>
        </w:tc>
        <w:tc>
          <w:tcPr>
            <w:tcW w:w="1065" w:type="dxa"/>
          </w:tcPr>
          <w:p w:rsidR="006D3F6B" w:rsidRPr="00881AB8"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9.3%</w:t>
            </w:r>
          </w:p>
        </w:tc>
        <w:tc>
          <w:tcPr>
            <w:tcW w:w="1066" w:type="dxa"/>
          </w:tcPr>
          <w:p w:rsidR="006D3F6B" w:rsidRPr="00881AB8"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11%</w:t>
            </w:r>
          </w:p>
        </w:tc>
        <w:tc>
          <w:tcPr>
            <w:tcW w:w="1066" w:type="dxa"/>
          </w:tcPr>
          <w:p w:rsidR="006D3F6B" w:rsidRPr="00881AB8" w:rsidRDefault="006D3F6B" w:rsidP="00021F4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881AB8">
              <w:rPr>
                <w:rFonts w:ascii="Times New Roman" w:hAnsi="Times New Roman" w:cs="Times New Roman"/>
                <w:lang w:val="es-ES_tradnl"/>
              </w:rPr>
              <w:t>13.6%</w:t>
            </w:r>
          </w:p>
        </w:tc>
      </w:tr>
    </w:tbl>
    <w:p w:rsidR="009F7B6B" w:rsidRDefault="009F7B6B" w:rsidP="00FE5279">
      <w:pPr>
        <w:pStyle w:val="a0"/>
      </w:pPr>
    </w:p>
    <w:p w:rsidR="0098740A" w:rsidRPr="000B258E" w:rsidRDefault="0040753C" w:rsidP="00FE5279">
      <w:pPr>
        <w:pStyle w:val="a0"/>
      </w:pPr>
      <w:r>
        <w:t>A partir de</w:t>
      </w:r>
      <w:r w:rsidR="006D3F6B" w:rsidRPr="00530B42">
        <w:t xml:space="preserve"> </w:t>
      </w:r>
      <w:r w:rsidR="009F7B6B">
        <w:t>los datos</w:t>
      </w:r>
      <w:r w:rsidR="006D3F6B" w:rsidRPr="00530B42">
        <w:t xml:space="preserve"> podemos </w:t>
      </w:r>
      <w:r>
        <w:t>observar</w:t>
      </w:r>
      <w:r w:rsidR="006966F8">
        <w:t xml:space="preserve"> que, gracias a</w:t>
      </w:r>
      <w:r w:rsidR="006D3F6B" w:rsidRPr="00530B42">
        <w:t xml:space="preserve">l desarrollo de la educación y la sociedad, la población activa </w:t>
      </w:r>
      <w:r w:rsidR="009F7B6B">
        <w:t>tiene cada vez mejor formación, y este factor aumenta la productividad así como el poder de negociación de los trabajadores</w:t>
      </w:r>
      <w:r w:rsidR="006D3F6B" w:rsidRPr="00530B42">
        <w:t xml:space="preserve">. La proporción de la población activa </w:t>
      </w:r>
      <w:r w:rsidR="009F7B6B">
        <w:t>con nivel de</w:t>
      </w:r>
      <w:r w:rsidR="006D3F6B" w:rsidRPr="00530B42">
        <w:t xml:space="preserve"> educación primaria está disminuyendo anualmente sobre el número total de la población activa</w:t>
      </w:r>
      <w:r w:rsidR="0098740A">
        <w:t>, tanto en China como en España</w:t>
      </w:r>
      <w:r w:rsidR="006D3F6B" w:rsidRPr="00530B42">
        <w:t>.</w:t>
      </w:r>
      <w:r w:rsidR="009F7B6B">
        <w:t xml:space="preserve"> La proporción </w:t>
      </w:r>
      <w:r w:rsidR="009F7B6B" w:rsidRPr="00530B42">
        <w:t xml:space="preserve">de la población activa </w:t>
      </w:r>
      <w:r w:rsidR="009F7B6B">
        <w:t>con nivel de</w:t>
      </w:r>
      <w:r w:rsidR="009F7B6B" w:rsidRPr="00530B42">
        <w:t xml:space="preserve"> educación</w:t>
      </w:r>
      <w:r w:rsidR="00481560">
        <w:t xml:space="preserve"> segundari</w:t>
      </w:r>
      <w:r w:rsidR="0098740A">
        <w:t>a</w:t>
      </w:r>
      <w:r w:rsidR="00481560">
        <w:t xml:space="preserve"> se mantiene muy estable en España, mientras sube ligeramente en China.</w:t>
      </w:r>
      <w:r w:rsidR="009F7B6B">
        <w:t xml:space="preserve"> </w:t>
      </w:r>
      <w:r w:rsidR="00481560">
        <w:t>Sin embargo, l</w:t>
      </w:r>
      <w:r w:rsidR="009F7B6B">
        <w:t>os datos en estos dos tramos educativo</w:t>
      </w:r>
      <w:r w:rsidR="00481560">
        <w:t>s</w:t>
      </w:r>
      <w:r w:rsidR="009F7B6B">
        <w:t xml:space="preserve"> no son </w:t>
      </w:r>
      <w:r w:rsidR="0098740A">
        <w:t xml:space="preserve">directamente </w:t>
      </w:r>
      <w:r w:rsidR="009F7B6B">
        <w:t xml:space="preserve">comparables entre los dos países, por diferencia de enfoque </w:t>
      </w:r>
      <w:r w:rsidR="00481560">
        <w:t xml:space="preserve">metodológico: </w:t>
      </w:r>
      <w:r w:rsidR="0098740A">
        <w:t xml:space="preserve">en efecto, </w:t>
      </w:r>
      <w:r w:rsidR="00481560">
        <w:t>las estadísticas españolas agrupan el nivel primario con la primera etapa del nivel segundario.</w:t>
      </w:r>
      <w:r w:rsidR="0098740A">
        <w:t xml:space="preserve"> El siguiente gráfico muestra la evolución comparativa de la proporción de la población activa con educación terciaria en España y en China. </w:t>
      </w:r>
    </w:p>
    <w:p w:rsidR="006D3F6B" w:rsidRPr="00AE3F80" w:rsidRDefault="00FE5279" w:rsidP="00FE5279">
      <w:pPr>
        <w:pStyle w:val="a3"/>
      </w:pPr>
      <w:r>
        <w:lastRenderedPageBreak/>
        <w:t>Figura 1</w:t>
      </w:r>
      <w:r w:rsidR="00783B57">
        <w:t>5</w:t>
      </w:r>
      <w:r>
        <w:t xml:space="preserve">: </w:t>
      </w:r>
      <w:r w:rsidR="006D3F6B" w:rsidRPr="00FC4931">
        <w:t xml:space="preserve">Población </w:t>
      </w:r>
      <w:r>
        <w:t xml:space="preserve">activa con educación terciaria </w:t>
      </w:r>
      <w:r w:rsidR="006D3F6B" w:rsidRPr="00FC4931">
        <w:t>(% del total)</w:t>
      </w:r>
    </w:p>
    <w:p w:rsidR="006D3F6B" w:rsidRPr="00881AB8" w:rsidRDefault="006D3F6B" w:rsidP="00FE5279">
      <w:pPr>
        <w:pStyle w:val="a5"/>
      </w:pPr>
      <w:r w:rsidRPr="00881AB8">
        <w:rPr>
          <w:noProof/>
          <w:lang w:val="es-ES" w:eastAsia="es-ES"/>
        </w:rPr>
        <w:drawing>
          <wp:inline distT="0" distB="0" distL="0" distR="0" wp14:anchorId="269E23DE" wp14:editId="1BD2C515">
            <wp:extent cx="5407572" cy="2664372"/>
            <wp:effectExtent l="0" t="0" r="22225" b="22225"/>
            <wp:docPr id="31"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6D3F6B" w:rsidRPr="00A51112" w:rsidRDefault="00FE5279" w:rsidP="00783B57">
      <w:pPr>
        <w:pStyle w:val="a6"/>
      </w:pPr>
      <w:r>
        <w:t xml:space="preserve">Fuente: Elaboración propia a partir de los datos del </w:t>
      </w:r>
      <w:r w:rsidRPr="00A51112">
        <w:t xml:space="preserve">Instituto nacional de estadística de España, </w:t>
      </w:r>
      <w:r>
        <w:t xml:space="preserve">y de la </w:t>
      </w:r>
      <w:r w:rsidRPr="00A51112">
        <w:rPr>
          <w:lang w:val="es-ES"/>
        </w:rPr>
        <w:t>Oficina Nacional de Estadísticas de China</w:t>
      </w:r>
      <w:r>
        <w:t>.</w:t>
      </w:r>
    </w:p>
    <w:p w:rsidR="006D3F6B" w:rsidRDefault="00783B57" w:rsidP="00FE5279">
      <w:pPr>
        <w:pStyle w:val="a0"/>
      </w:pPr>
      <w:r>
        <w:t>La proporción</w:t>
      </w:r>
      <w:r w:rsidRPr="00783B57">
        <w:t xml:space="preserve"> de la población activa con nivel de educación</w:t>
      </w:r>
      <w:r>
        <w:t xml:space="preserve"> terciaria es mucho más importante en España que en China. Este indicador está subiendo en España y, más rápidamente, en China. </w:t>
      </w:r>
      <w:r w:rsidR="00D74E0A">
        <w:t>El sistema universitario chino todavía no tiene suficiente capacidad para acoger a una gran proporción de los jóvenes del país y el examen de entrada (</w:t>
      </w:r>
      <w:proofErr w:type="spellStart"/>
      <w:r w:rsidR="00D74E0A" w:rsidRPr="00D74E0A">
        <w:rPr>
          <w:i/>
        </w:rPr>
        <w:t>gaokao</w:t>
      </w:r>
      <w:proofErr w:type="spellEnd"/>
      <w:r w:rsidR="00D74E0A">
        <w:t xml:space="preserve">) es extremadamente competitivo. </w:t>
      </w:r>
      <w:r w:rsidR="00225638">
        <w:t xml:space="preserve">En todo caso, se puede observar como la proporción de ocupados con educación terciaria está aumentado muy rápidamente, especialmente desde el año 2010. </w:t>
      </w:r>
    </w:p>
    <w:p w:rsidR="00D74E0A" w:rsidRDefault="00D74E0A" w:rsidP="00FE5279">
      <w:pPr>
        <w:pStyle w:val="a0"/>
      </w:pPr>
      <w:r w:rsidRPr="00225638">
        <w:rPr>
          <w:i/>
        </w:rPr>
        <w:t>Conclusión:</w:t>
      </w:r>
      <w:r>
        <w:t xml:space="preserve"> </w:t>
      </w:r>
      <w:r w:rsidR="00225638">
        <w:t xml:space="preserve">La distribución del nivel educativo se relaciona con la estructura del mercado laboral. Conforme el país se desarrolla y emplea más personas en el sector terciario aumenta la necesidad de graduados universitarios. China, todavía tiene un déficit de población con educación terciaria, pero la situación </w:t>
      </w:r>
      <w:r w:rsidR="00182625">
        <w:t xml:space="preserve">está mejorando con una buena tendencia. </w:t>
      </w:r>
    </w:p>
    <w:p w:rsidR="0008433A" w:rsidRPr="00640348" w:rsidRDefault="0008433A" w:rsidP="00FE5279">
      <w:pPr>
        <w:pStyle w:val="a0"/>
      </w:pPr>
    </w:p>
    <w:p w:rsidR="000B258E" w:rsidRDefault="001572ED" w:rsidP="00A51112">
      <w:pPr>
        <w:pStyle w:val="Heading2"/>
        <w:rPr>
          <w:lang w:val="es-ES_tradnl"/>
        </w:rPr>
      </w:pPr>
      <w:bookmarkStart w:id="55" w:name="_Toc471215316"/>
      <w:r>
        <w:rPr>
          <w:rFonts w:hint="eastAsia"/>
          <w:lang w:val="es-ES_tradnl"/>
        </w:rPr>
        <w:lastRenderedPageBreak/>
        <w:t>3.5</w:t>
      </w:r>
      <w:r w:rsidR="000B258E">
        <w:rPr>
          <w:rFonts w:hint="eastAsia"/>
          <w:lang w:val="es-ES_tradnl"/>
        </w:rPr>
        <w:t>.</w:t>
      </w:r>
      <w:r>
        <w:rPr>
          <w:rFonts w:hint="eastAsia"/>
          <w:lang w:val="es-ES_tradnl"/>
        </w:rPr>
        <w:t xml:space="preserve"> </w:t>
      </w:r>
      <w:r w:rsidR="006D3F6B" w:rsidRPr="001572ED">
        <w:rPr>
          <w:lang w:val="es-ES_tradnl"/>
        </w:rPr>
        <w:t>Salario</w:t>
      </w:r>
      <w:r w:rsidR="00FE5279">
        <w:rPr>
          <w:lang w:val="es-ES_tradnl"/>
        </w:rPr>
        <w:t>s</w:t>
      </w:r>
      <w:bookmarkEnd w:id="55"/>
    </w:p>
    <w:p w:rsidR="00783B57" w:rsidRPr="00783B57" w:rsidRDefault="00783B57" w:rsidP="00783B57">
      <w:pPr>
        <w:pStyle w:val="a1"/>
      </w:pPr>
      <w:r>
        <w:t xml:space="preserve">Los salarios representan la remuneración del factor trabajo. Inciden directamente en los costes de producción y en la capacidad de consumo de las familias. </w:t>
      </w:r>
    </w:p>
    <w:p w:rsidR="000B258E" w:rsidRPr="000B258E" w:rsidRDefault="001572ED" w:rsidP="001572ED">
      <w:pPr>
        <w:pStyle w:val="Heading3"/>
        <w:rPr>
          <w:rFonts w:eastAsiaTheme="minorEastAsia"/>
          <w:lang w:val="es-ES_tradnl"/>
        </w:rPr>
      </w:pPr>
      <w:bookmarkStart w:id="56" w:name="_Toc471215317"/>
      <w:r>
        <w:rPr>
          <w:lang w:val="es-ES_tradnl"/>
        </w:rPr>
        <w:t>3.</w:t>
      </w:r>
      <w:r>
        <w:rPr>
          <w:rFonts w:hint="eastAsia"/>
          <w:lang w:val="es-ES_tradnl"/>
        </w:rPr>
        <w:t>5</w:t>
      </w:r>
      <w:r w:rsidR="00FC4931" w:rsidRPr="00FC4931">
        <w:rPr>
          <w:lang w:val="es-ES_tradnl"/>
        </w:rPr>
        <w:t>.1</w:t>
      </w:r>
      <w:r w:rsidR="000B258E">
        <w:rPr>
          <w:rFonts w:eastAsiaTheme="minorEastAsia" w:hint="eastAsia"/>
          <w:lang w:val="es-ES_tradnl"/>
        </w:rPr>
        <w:t>.</w:t>
      </w:r>
      <w:r w:rsidR="006D3F6B" w:rsidRPr="00FC4931">
        <w:rPr>
          <w:lang w:val="es-ES_tradnl"/>
        </w:rPr>
        <w:t xml:space="preserve"> </w:t>
      </w:r>
      <w:r>
        <w:rPr>
          <w:rFonts w:eastAsiaTheme="minorEastAsia" w:hint="eastAsia"/>
          <w:lang w:val="es-ES_tradnl"/>
        </w:rPr>
        <w:t xml:space="preserve"> </w:t>
      </w:r>
      <w:r w:rsidR="006D3F6B" w:rsidRPr="00FC4931">
        <w:rPr>
          <w:lang w:val="es-ES_tradnl"/>
        </w:rPr>
        <w:t>El salario medio de los empleados urbanos (Anual)</w:t>
      </w:r>
      <w:bookmarkEnd w:id="56"/>
    </w:p>
    <w:tbl>
      <w:tblPr>
        <w:tblStyle w:val="TableGrid"/>
        <w:tblW w:w="8075" w:type="dxa"/>
        <w:tblLook w:val="04A0" w:firstRow="1" w:lastRow="0" w:firstColumn="1" w:lastColumn="0" w:noHBand="0" w:noVBand="1"/>
      </w:tblPr>
      <w:tblGrid>
        <w:gridCol w:w="951"/>
        <w:gridCol w:w="3562"/>
        <w:gridCol w:w="3562"/>
      </w:tblGrid>
      <w:tr w:rsidR="00DA167E" w:rsidRPr="0008433A" w:rsidTr="00DA167E">
        <w:trPr>
          <w:trHeight w:val="302"/>
        </w:trPr>
        <w:tc>
          <w:tcPr>
            <w:tcW w:w="8075" w:type="dxa"/>
            <w:gridSpan w:val="3"/>
            <w:shd w:val="clear" w:color="auto" w:fill="D9D9D9" w:themeFill="background1" w:themeFillShade="D9"/>
          </w:tcPr>
          <w:p w:rsidR="00DA167E" w:rsidRPr="00AC468B" w:rsidRDefault="00DA167E" w:rsidP="00DA167E">
            <w:pPr>
              <w:spacing w:line="220" w:lineRule="atLeast"/>
              <w:jc w:val="center"/>
              <w:rPr>
                <w:rFonts w:ascii="Times New Roman" w:hAnsi="Times New Roman" w:cs="Times New Roman"/>
                <w:b/>
                <w:lang w:val="es-ES_tradnl"/>
              </w:rPr>
            </w:pPr>
            <w:r>
              <w:rPr>
                <w:rFonts w:ascii="Times New Roman" w:hAnsi="Times New Roman" w:cs="Times New Roman"/>
                <w:b/>
                <w:lang w:val="es-ES_tradnl"/>
              </w:rPr>
              <w:t>S</w:t>
            </w:r>
            <w:r w:rsidRPr="00DA167E">
              <w:rPr>
                <w:rFonts w:ascii="Times New Roman" w:hAnsi="Times New Roman" w:cs="Times New Roman"/>
                <w:b/>
                <w:lang w:val="es-ES_tradnl"/>
              </w:rPr>
              <w:t>alario</w:t>
            </w:r>
            <w:r>
              <w:rPr>
                <w:rFonts w:ascii="Times New Roman" w:hAnsi="Times New Roman" w:cs="Times New Roman"/>
                <w:b/>
                <w:lang w:val="es-ES_tradnl"/>
              </w:rPr>
              <w:t xml:space="preserve"> anual medio de los empleados urbanos</w:t>
            </w:r>
          </w:p>
        </w:tc>
      </w:tr>
      <w:tr w:rsidR="002D501C" w:rsidRPr="000B258E" w:rsidTr="002D501C">
        <w:trPr>
          <w:trHeight w:val="302"/>
        </w:trPr>
        <w:tc>
          <w:tcPr>
            <w:tcW w:w="951" w:type="dxa"/>
          </w:tcPr>
          <w:p w:rsidR="002D501C" w:rsidRPr="00881AB8" w:rsidRDefault="002D501C" w:rsidP="00021F4E">
            <w:pPr>
              <w:spacing w:line="220" w:lineRule="atLeast"/>
              <w:rPr>
                <w:rFonts w:ascii="Times New Roman" w:hAnsi="Times New Roman" w:cs="Times New Roman"/>
                <w:lang w:val="es-ES_tradnl"/>
              </w:rPr>
            </w:pPr>
            <w:r>
              <w:rPr>
                <w:rFonts w:ascii="Times New Roman" w:hAnsi="Times New Roman" w:cs="Times New Roman"/>
                <w:lang w:val="es-ES_tradnl"/>
              </w:rPr>
              <w:t>Año</w:t>
            </w:r>
          </w:p>
        </w:tc>
        <w:tc>
          <w:tcPr>
            <w:tcW w:w="3562" w:type="dxa"/>
          </w:tcPr>
          <w:p w:rsidR="002D501C" w:rsidRPr="00AC468B" w:rsidRDefault="002D501C" w:rsidP="00021F4E">
            <w:pPr>
              <w:spacing w:line="220" w:lineRule="atLeast"/>
              <w:jc w:val="center"/>
              <w:rPr>
                <w:rFonts w:ascii="Times New Roman" w:hAnsi="Times New Roman" w:cs="Times New Roman"/>
                <w:b/>
                <w:lang w:val="es-ES_tradnl"/>
              </w:rPr>
            </w:pPr>
            <w:r w:rsidRPr="00AC468B">
              <w:rPr>
                <w:rFonts w:ascii="Times New Roman" w:hAnsi="Times New Roman" w:cs="Times New Roman"/>
                <w:b/>
                <w:lang w:val="es-ES_tradnl"/>
              </w:rPr>
              <w:t>España (EURO)</w:t>
            </w:r>
          </w:p>
        </w:tc>
        <w:tc>
          <w:tcPr>
            <w:tcW w:w="3562" w:type="dxa"/>
          </w:tcPr>
          <w:p w:rsidR="002D501C" w:rsidRPr="00AC468B" w:rsidRDefault="002D501C" w:rsidP="0008433A">
            <w:pPr>
              <w:spacing w:line="220" w:lineRule="atLeast"/>
              <w:jc w:val="center"/>
              <w:rPr>
                <w:rFonts w:ascii="Times New Roman" w:hAnsi="Times New Roman" w:cs="Times New Roman"/>
                <w:b/>
                <w:lang w:val="es-ES_tradnl"/>
              </w:rPr>
            </w:pPr>
            <w:r w:rsidRPr="00AC468B">
              <w:rPr>
                <w:rFonts w:ascii="Times New Roman" w:hAnsi="Times New Roman" w:cs="Times New Roman"/>
                <w:b/>
                <w:lang w:val="es-ES_tradnl"/>
              </w:rPr>
              <w:t>China (RMB)</w:t>
            </w:r>
          </w:p>
        </w:tc>
      </w:tr>
      <w:tr w:rsidR="002D501C" w:rsidRPr="000B258E" w:rsidTr="002D501C">
        <w:trPr>
          <w:trHeight w:val="317"/>
        </w:trPr>
        <w:tc>
          <w:tcPr>
            <w:tcW w:w="951" w:type="dxa"/>
          </w:tcPr>
          <w:p w:rsidR="002D501C" w:rsidRPr="00881AB8" w:rsidRDefault="002D501C" w:rsidP="00021F4E">
            <w:pPr>
              <w:spacing w:line="220" w:lineRule="atLeast"/>
              <w:rPr>
                <w:rFonts w:ascii="Times New Roman" w:hAnsi="Times New Roman" w:cs="Times New Roman"/>
                <w:lang w:val="es-ES_tradnl"/>
              </w:rPr>
            </w:pPr>
            <w:r w:rsidRPr="00881AB8">
              <w:rPr>
                <w:rFonts w:ascii="Times New Roman" w:hAnsi="Times New Roman" w:cs="Times New Roman"/>
                <w:lang w:val="es-ES_tradnl"/>
              </w:rPr>
              <w:t>2006</w:t>
            </w:r>
          </w:p>
        </w:tc>
        <w:tc>
          <w:tcPr>
            <w:tcW w:w="3562" w:type="dxa"/>
          </w:tcPr>
          <w:p w:rsidR="002D501C" w:rsidRPr="00881AB8" w:rsidRDefault="002D501C" w:rsidP="00021F4E">
            <w:pPr>
              <w:spacing w:line="220" w:lineRule="atLeast"/>
              <w:jc w:val="center"/>
              <w:rPr>
                <w:rFonts w:ascii="Times New Roman" w:hAnsi="Times New Roman" w:cs="Times New Roman"/>
                <w:lang w:val="es-ES_tradnl"/>
              </w:rPr>
            </w:pPr>
            <w:r w:rsidRPr="00881AB8">
              <w:rPr>
                <w:rFonts w:ascii="Times New Roman" w:hAnsi="Times New Roman" w:cs="Times New Roman"/>
                <w:lang w:val="es-ES_tradnl"/>
              </w:rPr>
              <w:t>19680.88</w:t>
            </w:r>
          </w:p>
        </w:tc>
        <w:tc>
          <w:tcPr>
            <w:tcW w:w="3562" w:type="dxa"/>
          </w:tcPr>
          <w:p w:rsidR="002D501C" w:rsidRPr="00881AB8" w:rsidRDefault="002D501C" w:rsidP="0008433A">
            <w:pPr>
              <w:spacing w:line="220" w:lineRule="atLeast"/>
              <w:jc w:val="center"/>
              <w:rPr>
                <w:rFonts w:ascii="Times New Roman" w:hAnsi="Times New Roman" w:cs="Times New Roman"/>
                <w:lang w:val="es-ES_tradnl"/>
              </w:rPr>
            </w:pPr>
            <w:r w:rsidRPr="00881AB8">
              <w:rPr>
                <w:rFonts w:ascii="Times New Roman" w:hAnsi="Times New Roman" w:cs="Times New Roman"/>
                <w:lang w:val="es-ES_tradnl"/>
              </w:rPr>
              <w:t>20856</w:t>
            </w:r>
          </w:p>
        </w:tc>
      </w:tr>
      <w:tr w:rsidR="002D501C" w:rsidRPr="000B258E" w:rsidTr="002D501C">
        <w:trPr>
          <w:trHeight w:val="302"/>
        </w:trPr>
        <w:tc>
          <w:tcPr>
            <w:tcW w:w="951" w:type="dxa"/>
          </w:tcPr>
          <w:p w:rsidR="002D501C" w:rsidRPr="00881AB8" w:rsidRDefault="002D501C" w:rsidP="00021F4E">
            <w:pPr>
              <w:spacing w:line="220" w:lineRule="atLeast"/>
              <w:rPr>
                <w:rFonts w:ascii="Times New Roman" w:hAnsi="Times New Roman" w:cs="Times New Roman"/>
                <w:lang w:val="es-ES_tradnl"/>
              </w:rPr>
            </w:pPr>
            <w:r w:rsidRPr="00881AB8">
              <w:rPr>
                <w:rFonts w:ascii="Times New Roman" w:hAnsi="Times New Roman" w:cs="Times New Roman"/>
                <w:lang w:val="es-ES_tradnl"/>
              </w:rPr>
              <w:t>2007</w:t>
            </w:r>
          </w:p>
        </w:tc>
        <w:tc>
          <w:tcPr>
            <w:tcW w:w="3562" w:type="dxa"/>
          </w:tcPr>
          <w:p w:rsidR="002D501C" w:rsidRPr="00881AB8" w:rsidRDefault="002D501C" w:rsidP="00021F4E">
            <w:pPr>
              <w:spacing w:line="220" w:lineRule="atLeast"/>
              <w:jc w:val="center"/>
              <w:rPr>
                <w:rFonts w:ascii="Times New Roman" w:hAnsi="Times New Roman" w:cs="Times New Roman"/>
                <w:lang w:val="es-ES_tradnl"/>
              </w:rPr>
            </w:pPr>
            <w:r w:rsidRPr="00881AB8">
              <w:rPr>
                <w:rFonts w:ascii="Times New Roman" w:hAnsi="Times New Roman" w:cs="Times New Roman"/>
                <w:lang w:val="es-ES_tradnl"/>
              </w:rPr>
              <w:t>20390.35</w:t>
            </w:r>
          </w:p>
        </w:tc>
        <w:tc>
          <w:tcPr>
            <w:tcW w:w="3562" w:type="dxa"/>
          </w:tcPr>
          <w:p w:rsidR="002D501C" w:rsidRPr="00881AB8" w:rsidRDefault="002D501C" w:rsidP="0008433A">
            <w:pPr>
              <w:spacing w:line="220" w:lineRule="atLeast"/>
              <w:jc w:val="center"/>
              <w:rPr>
                <w:rFonts w:ascii="Times New Roman" w:hAnsi="Times New Roman" w:cs="Times New Roman"/>
                <w:lang w:val="es-ES_tradnl"/>
              </w:rPr>
            </w:pPr>
            <w:r w:rsidRPr="00881AB8">
              <w:rPr>
                <w:rFonts w:ascii="Times New Roman" w:hAnsi="Times New Roman" w:cs="Times New Roman"/>
                <w:lang w:val="es-ES_tradnl"/>
              </w:rPr>
              <w:t>24721</w:t>
            </w:r>
          </w:p>
        </w:tc>
      </w:tr>
      <w:tr w:rsidR="002D501C" w:rsidRPr="000B258E" w:rsidTr="002D501C">
        <w:trPr>
          <w:trHeight w:val="317"/>
        </w:trPr>
        <w:tc>
          <w:tcPr>
            <w:tcW w:w="951" w:type="dxa"/>
          </w:tcPr>
          <w:p w:rsidR="002D501C" w:rsidRPr="00881AB8" w:rsidRDefault="002D501C" w:rsidP="00021F4E">
            <w:pPr>
              <w:spacing w:line="220" w:lineRule="atLeast"/>
              <w:rPr>
                <w:rFonts w:ascii="Times New Roman" w:hAnsi="Times New Roman" w:cs="Times New Roman"/>
                <w:lang w:val="es-ES_tradnl"/>
              </w:rPr>
            </w:pPr>
            <w:r w:rsidRPr="00881AB8">
              <w:rPr>
                <w:rFonts w:ascii="Times New Roman" w:hAnsi="Times New Roman" w:cs="Times New Roman"/>
                <w:lang w:val="es-ES_tradnl"/>
              </w:rPr>
              <w:t>2008</w:t>
            </w:r>
          </w:p>
        </w:tc>
        <w:tc>
          <w:tcPr>
            <w:tcW w:w="3562" w:type="dxa"/>
          </w:tcPr>
          <w:p w:rsidR="002D501C" w:rsidRPr="00881AB8" w:rsidRDefault="002D501C" w:rsidP="00021F4E">
            <w:pPr>
              <w:spacing w:line="220" w:lineRule="atLeast"/>
              <w:jc w:val="center"/>
              <w:rPr>
                <w:rFonts w:ascii="Times New Roman" w:hAnsi="Times New Roman" w:cs="Times New Roman"/>
                <w:lang w:val="es-ES_tradnl"/>
              </w:rPr>
            </w:pPr>
            <w:r w:rsidRPr="00881AB8">
              <w:rPr>
                <w:rFonts w:ascii="Times New Roman" w:hAnsi="Times New Roman" w:cs="Times New Roman"/>
                <w:lang w:val="es-ES_tradnl"/>
              </w:rPr>
              <w:t>21883.42</w:t>
            </w:r>
          </w:p>
        </w:tc>
        <w:tc>
          <w:tcPr>
            <w:tcW w:w="3562" w:type="dxa"/>
          </w:tcPr>
          <w:p w:rsidR="002D501C" w:rsidRPr="00881AB8" w:rsidRDefault="002D501C" w:rsidP="0008433A">
            <w:pPr>
              <w:spacing w:line="220" w:lineRule="atLeast"/>
              <w:jc w:val="center"/>
              <w:rPr>
                <w:rFonts w:ascii="Times New Roman" w:hAnsi="Times New Roman" w:cs="Times New Roman"/>
                <w:lang w:val="es-ES_tradnl"/>
              </w:rPr>
            </w:pPr>
            <w:r w:rsidRPr="00881AB8">
              <w:rPr>
                <w:rFonts w:ascii="Times New Roman" w:hAnsi="Times New Roman" w:cs="Times New Roman"/>
                <w:lang w:val="es-ES_tradnl"/>
              </w:rPr>
              <w:t>28898</w:t>
            </w:r>
          </w:p>
        </w:tc>
      </w:tr>
      <w:tr w:rsidR="002D501C" w:rsidRPr="000B258E" w:rsidTr="002D501C">
        <w:trPr>
          <w:trHeight w:val="317"/>
        </w:trPr>
        <w:tc>
          <w:tcPr>
            <w:tcW w:w="951" w:type="dxa"/>
          </w:tcPr>
          <w:p w:rsidR="002D501C" w:rsidRPr="00881AB8" w:rsidRDefault="002D501C" w:rsidP="00021F4E">
            <w:pPr>
              <w:spacing w:line="220" w:lineRule="atLeast"/>
              <w:rPr>
                <w:rFonts w:ascii="Times New Roman" w:hAnsi="Times New Roman" w:cs="Times New Roman"/>
                <w:lang w:val="es-ES_tradnl"/>
              </w:rPr>
            </w:pPr>
            <w:r w:rsidRPr="00881AB8">
              <w:rPr>
                <w:rFonts w:ascii="Times New Roman" w:hAnsi="Times New Roman" w:cs="Times New Roman"/>
                <w:lang w:val="es-ES_tradnl"/>
              </w:rPr>
              <w:t>2009</w:t>
            </w:r>
          </w:p>
        </w:tc>
        <w:tc>
          <w:tcPr>
            <w:tcW w:w="3562" w:type="dxa"/>
          </w:tcPr>
          <w:p w:rsidR="002D501C" w:rsidRPr="00881AB8" w:rsidRDefault="002D501C" w:rsidP="00021F4E">
            <w:pPr>
              <w:spacing w:line="220" w:lineRule="atLeast"/>
              <w:jc w:val="center"/>
              <w:rPr>
                <w:rFonts w:ascii="Times New Roman" w:hAnsi="Times New Roman" w:cs="Times New Roman"/>
                <w:lang w:val="es-ES_tradnl"/>
              </w:rPr>
            </w:pPr>
            <w:r w:rsidRPr="00881AB8">
              <w:rPr>
                <w:rFonts w:ascii="Times New Roman" w:hAnsi="Times New Roman" w:cs="Times New Roman"/>
                <w:lang w:val="es-ES_tradnl"/>
              </w:rPr>
              <w:t>22511.47</w:t>
            </w:r>
          </w:p>
        </w:tc>
        <w:tc>
          <w:tcPr>
            <w:tcW w:w="3562" w:type="dxa"/>
          </w:tcPr>
          <w:p w:rsidR="002D501C" w:rsidRPr="00881AB8" w:rsidRDefault="002D501C" w:rsidP="0008433A">
            <w:pPr>
              <w:spacing w:line="220" w:lineRule="atLeast"/>
              <w:jc w:val="center"/>
              <w:rPr>
                <w:rFonts w:ascii="Times New Roman" w:hAnsi="Times New Roman" w:cs="Times New Roman"/>
                <w:lang w:val="es-ES_tradnl"/>
              </w:rPr>
            </w:pPr>
            <w:r w:rsidRPr="00881AB8">
              <w:rPr>
                <w:rFonts w:ascii="Times New Roman" w:hAnsi="Times New Roman" w:cs="Times New Roman"/>
                <w:lang w:val="es-ES_tradnl"/>
              </w:rPr>
              <w:t>32244</w:t>
            </w:r>
          </w:p>
        </w:tc>
      </w:tr>
      <w:tr w:rsidR="002D501C" w:rsidRPr="00881AB8" w:rsidTr="002D501C">
        <w:trPr>
          <w:trHeight w:val="302"/>
        </w:trPr>
        <w:tc>
          <w:tcPr>
            <w:tcW w:w="951" w:type="dxa"/>
          </w:tcPr>
          <w:p w:rsidR="002D501C" w:rsidRPr="00881AB8" w:rsidRDefault="002D501C" w:rsidP="00021F4E">
            <w:pPr>
              <w:spacing w:line="220" w:lineRule="atLeast"/>
              <w:rPr>
                <w:rFonts w:ascii="Times New Roman" w:hAnsi="Times New Roman" w:cs="Times New Roman"/>
                <w:lang w:val="es-ES_tradnl"/>
              </w:rPr>
            </w:pPr>
            <w:r w:rsidRPr="00881AB8">
              <w:rPr>
                <w:rFonts w:ascii="Times New Roman" w:hAnsi="Times New Roman" w:cs="Times New Roman"/>
                <w:lang w:val="es-ES_tradnl"/>
              </w:rPr>
              <w:t>2010</w:t>
            </w:r>
          </w:p>
        </w:tc>
        <w:tc>
          <w:tcPr>
            <w:tcW w:w="3562" w:type="dxa"/>
          </w:tcPr>
          <w:p w:rsidR="002D501C" w:rsidRPr="00881AB8" w:rsidRDefault="002D501C" w:rsidP="00021F4E">
            <w:pPr>
              <w:spacing w:line="220" w:lineRule="atLeast"/>
              <w:jc w:val="center"/>
              <w:rPr>
                <w:rFonts w:ascii="Times New Roman" w:hAnsi="Times New Roman" w:cs="Times New Roman"/>
                <w:lang w:val="es-ES_tradnl"/>
              </w:rPr>
            </w:pPr>
            <w:r w:rsidRPr="00881AB8">
              <w:rPr>
                <w:rFonts w:ascii="Times New Roman" w:hAnsi="Times New Roman" w:cs="Times New Roman"/>
                <w:lang w:val="es-ES_tradnl"/>
              </w:rPr>
              <w:t>22790.20</w:t>
            </w:r>
          </w:p>
        </w:tc>
        <w:tc>
          <w:tcPr>
            <w:tcW w:w="3562" w:type="dxa"/>
          </w:tcPr>
          <w:p w:rsidR="002D501C" w:rsidRPr="00881AB8" w:rsidRDefault="002D501C" w:rsidP="0008433A">
            <w:pPr>
              <w:spacing w:line="220" w:lineRule="atLeast"/>
              <w:jc w:val="center"/>
              <w:rPr>
                <w:rFonts w:ascii="Times New Roman" w:hAnsi="Times New Roman" w:cs="Times New Roman"/>
                <w:lang w:val="es-ES_tradnl"/>
              </w:rPr>
            </w:pPr>
            <w:r w:rsidRPr="00881AB8">
              <w:rPr>
                <w:rFonts w:ascii="Times New Roman" w:hAnsi="Times New Roman" w:cs="Times New Roman"/>
                <w:lang w:val="es-ES_tradnl"/>
              </w:rPr>
              <w:t>36539</w:t>
            </w:r>
          </w:p>
        </w:tc>
      </w:tr>
      <w:tr w:rsidR="002D501C" w:rsidRPr="00881AB8" w:rsidTr="002D501C">
        <w:trPr>
          <w:trHeight w:val="317"/>
        </w:trPr>
        <w:tc>
          <w:tcPr>
            <w:tcW w:w="951" w:type="dxa"/>
          </w:tcPr>
          <w:p w:rsidR="002D501C" w:rsidRPr="00881AB8" w:rsidRDefault="002D501C" w:rsidP="00021F4E">
            <w:pPr>
              <w:spacing w:line="220" w:lineRule="atLeast"/>
              <w:rPr>
                <w:rFonts w:ascii="Times New Roman" w:hAnsi="Times New Roman" w:cs="Times New Roman"/>
                <w:lang w:val="es-ES_tradnl"/>
              </w:rPr>
            </w:pPr>
            <w:r w:rsidRPr="00881AB8">
              <w:rPr>
                <w:rFonts w:ascii="Times New Roman" w:hAnsi="Times New Roman" w:cs="Times New Roman"/>
                <w:lang w:val="es-ES_tradnl"/>
              </w:rPr>
              <w:t>2011</w:t>
            </w:r>
          </w:p>
        </w:tc>
        <w:tc>
          <w:tcPr>
            <w:tcW w:w="3562" w:type="dxa"/>
          </w:tcPr>
          <w:p w:rsidR="002D501C" w:rsidRPr="00881AB8" w:rsidRDefault="002D501C" w:rsidP="00021F4E">
            <w:pPr>
              <w:spacing w:line="220" w:lineRule="atLeast"/>
              <w:jc w:val="center"/>
              <w:rPr>
                <w:rFonts w:ascii="Times New Roman" w:hAnsi="Times New Roman" w:cs="Times New Roman"/>
                <w:lang w:val="es-ES_tradnl"/>
              </w:rPr>
            </w:pPr>
            <w:r w:rsidRPr="00881AB8">
              <w:rPr>
                <w:rFonts w:ascii="Times New Roman" w:hAnsi="Times New Roman" w:cs="Times New Roman"/>
                <w:lang w:val="es-ES_tradnl"/>
              </w:rPr>
              <w:t>22899.35</w:t>
            </w:r>
          </w:p>
        </w:tc>
        <w:tc>
          <w:tcPr>
            <w:tcW w:w="3562" w:type="dxa"/>
          </w:tcPr>
          <w:p w:rsidR="002D501C" w:rsidRPr="00881AB8" w:rsidRDefault="002D501C" w:rsidP="0008433A">
            <w:pPr>
              <w:spacing w:line="220" w:lineRule="atLeast"/>
              <w:jc w:val="center"/>
              <w:rPr>
                <w:rFonts w:ascii="Times New Roman" w:hAnsi="Times New Roman" w:cs="Times New Roman"/>
                <w:lang w:val="es-ES_tradnl"/>
              </w:rPr>
            </w:pPr>
            <w:r w:rsidRPr="00881AB8">
              <w:rPr>
                <w:rFonts w:ascii="Times New Roman" w:hAnsi="Times New Roman" w:cs="Times New Roman"/>
                <w:lang w:val="es-ES_tradnl"/>
              </w:rPr>
              <w:t>41799</w:t>
            </w:r>
          </w:p>
        </w:tc>
      </w:tr>
      <w:tr w:rsidR="002D501C" w:rsidRPr="00881AB8" w:rsidTr="002D501C">
        <w:trPr>
          <w:trHeight w:val="302"/>
        </w:trPr>
        <w:tc>
          <w:tcPr>
            <w:tcW w:w="951" w:type="dxa"/>
          </w:tcPr>
          <w:p w:rsidR="002D501C" w:rsidRPr="00881AB8" w:rsidRDefault="002D501C" w:rsidP="00021F4E">
            <w:pPr>
              <w:spacing w:line="220" w:lineRule="atLeast"/>
              <w:rPr>
                <w:rFonts w:ascii="Times New Roman" w:hAnsi="Times New Roman" w:cs="Times New Roman"/>
                <w:lang w:val="es-ES_tradnl"/>
              </w:rPr>
            </w:pPr>
            <w:r w:rsidRPr="00881AB8">
              <w:rPr>
                <w:rFonts w:ascii="Times New Roman" w:hAnsi="Times New Roman" w:cs="Times New Roman"/>
                <w:lang w:val="es-ES_tradnl"/>
              </w:rPr>
              <w:t>2012</w:t>
            </w:r>
          </w:p>
        </w:tc>
        <w:tc>
          <w:tcPr>
            <w:tcW w:w="3562" w:type="dxa"/>
          </w:tcPr>
          <w:p w:rsidR="002D501C" w:rsidRPr="00881AB8" w:rsidRDefault="002D501C" w:rsidP="00021F4E">
            <w:pPr>
              <w:spacing w:line="220" w:lineRule="atLeast"/>
              <w:jc w:val="center"/>
              <w:rPr>
                <w:rFonts w:ascii="Times New Roman" w:hAnsi="Times New Roman" w:cs="Times New Roman"/>
                <w:lang w:val="es-ES_tradnl"/>
              </w:rPr>
            </w:pPr>
            <w:r w:rsidRPr="00881AB8">
              <w:rPr>
                <w:rFonts w:ascii="Times New Roman" w:hAnsi="Times New Roman" w:cs="Times New Roman"/>
                <w:lang w:val="es-ES_tradnl"/>
              </w:rPr>
              <w:t>22726.44</w:t>
            </w:r>
          </w:p>
        </w:tc>
        <w:tc>
          <w:tcPr>
            <w:tcW w:w="3562" w:type="dxa"/>
          </w:tcPr>
          <w:p w:rsidR="002D501C" w:rsidRPr="00881AB8" w:rsidRDefault="002D501C" w:rsidP="0008433A">
            <w:pPr>
              <w:spacing w:line="220" w:lineRule="atLeast"/>
              <w:jc w:val="center"/>
              <w:rPr>
                <w:rFonts w:ascii="Times New Roman" w:hAnsi="Times New Roman" w:cs="Times New Roman"/>
                <w:lang w:val="es-ES_tradnl"/>
              </w:rPr>
            </w:pPr>
            <w:r w:rsidRPr="00881AB8">
              <w:rPr>
                <w:rFonts w:ascii="Times New Roman" w:hAnsi="Times New Roman" w:cs="Times New Roman"/>
                <w:lang w:val="es-ES_tradnl"/>
              </w:rPr>
              <w:t>46769</w:t>
            </w:r>
          </w:p>
        </w:tc>
      </w:tr>
      <w:tr w:rsidR="002D501C" w:rsidRPr="00881AB8" w:rsidTr="002D501C">
        <w:trPr>
          <w:trHeight w:val="332"/>
        </w:trPr>
        <w:tc>
          <w:tcPr>
            <w:tcW w:w="951" w:type="dxa"/>
          </w:tcPr>
          <w:p w:rsidR="002D501C" w:rsidRPr="00881AB8" w:rsidRDefault="002D501C" w:rsidP="00021F4E">
            <w:pPr>
              <w:spacing w:line="220" w:lineRule="atLeast"/>
              <w:rPr>
                <w:rFonts w:ascii="Times New Roman" w:hAnsi="Times New Roman" w:cs="Times New Roman"/>
                <w:lang w:val="es-ES_tradnl"/>
              </w:rPr>
            </w:pPr>
            <w:r w:rsidRPr="00881AB8">
              <w:rPr>
                <w:rFonts w:ascii="Times New Roman" w:hAnsi="Times New Roman" w:cs="Times New Roman"/>
                <w:lang w:val="es-ES_tradnl"/>
              </w:rPr>
              <w:t>2013</w:t>
            </w:r>
          </w:p>
        </w:tc>
        <w:tc>
          <w:tcPr>
            <w:tcW w:w="3562" w:type="dxa"/>
          </w:tcPr>
          <w:p w:rsidR="002D501C" w:rsidRPr="00881AB8" w:rsidRDefault="002D501C" w:rsidP="00021F4E">
            <w:pPr>
              <w:spacing w:line="220" w:lineRule="atLeast"/>
              <w:jc w:val="center"/>
              <w:rPr>
                <w:rFonts w:ascii="Times New Roman" w:hAnsi="Times New Roman" w:cs="Times New Roman"/>
                <w:lang w:val="es-ES_tradnl"/>
              </w:rPr>
            </w:pPr>
            <w:r w:rsidRPr="00881AB8">
              <w:rPr>
                <w:rFonts w:ascii="Times New Roman" w:hAnsi="Times New Roman" w:cs="Times New Roman"/>
                <w:lang w:val="es-ES_tradnl"/>
              </w:rPr>
              <w:t>22697.86</w:t>
            </w:r>
          </w:p>
        </w:tc>
        <w:tc>
          <w:tcPr>
            <w:tcW w:w="3562" w:type="dxa"/>
          </w:tcPr>
          <w:p w:rsidR="002D501C" w:rsidRPr="00881AB8" w:rsidRDefault="002D501C" w:rsidP="0008433A">
            <w:pPr>
              <w:spacing w:line="220" w:lineRule="atLeast"/>
              <w:jc w:val="center"/>
              <w:rPr>
                <w:rFonts w:ascii="Times New Roman" w:hAnsi="Times New Roman" w:cs="Times New Roman"/>
                <w:lang w:val="es-ES_tradnl"/>
              </w:rPr>
            </w:pPr>
            <w:r w:rsidRPr="00881AB8">
              <w:rPr>
                <w:rFonts w:ascii="Times New Roman" w:hAnsi="Times New Roman" w:cs="Times New Roman"/>
                <w:lang w:val="es-ES_tradnl"/>
              </w:rPr>
              <w:t>51483</w:t>
            </w:r>
          </w:p>
        </w:tc>
      </w:tr>
    </w:tbl>
    <w:p w:rsidR="006D3F6B" w:rsidRDefault="00783B57" w:rsidP="00783B57">
      <w:pPr>
        <w:pStyle w:val="a6"/>
      </w:pPr>
      <w:r>
        <w:t xml:space="preserve">Fuente: Elaboración propia a partir de los datos del </w:t>
      </w:r>
      <w:r w:rsidRPr="00A51112">
        <w:t xml:space="preserve">Instituto nacional de estadística de España, </w:t>
      </w:r>
      <w:r>
        <w:t xml:space="preserve">y de la </w:t>
      </w:r>
      <w:r w:rsidRPr="00A51112">
        <w:rPr>
          <w:lang w:val="es-ES"/>
        </w:rPr>
        <w:t>Oficina Nacional de Estadísticas de China</w:t>
      </w:r>
      <w:r>
        <w:t>.</w:t>
      </w:r>
    </w:p>
    <w:p w:rsidR="00182625" w:rsidRDefault="00182625" w:rsidP="00783B57">
      <w:pPr>
        <w:pStyle w:val="a1"/>
      </w:pPr>
      <w:r>
        <w:t xml:space="preserve">La tabla anterior muestra la evolución del salario medio de los empleos urbanos en China y en España entre 2006 y 2013. Mientras los salarios en España han experimentado un leve aumento, en el mismo periodo de tiempo los salarios en China han más que duplicado. Este dato se relaciona con una economía en fuerte desarrollo que está desplazando progresivamente su ventaja competitiva desde la mano de obra barata hacia otros aspectos económicos. </w:t>
      </w:r>
    </w:p>
    <w:p w:rsidR="00783B57" w:rsidRPr="00783B57" w:rsidRDefault="00783B57" w:rsidP="00783B57">
      <w:pPr>
        <w:pStyle w:val="a1"/>
      </w:pPr>
      <w:r>
        <w:t xml:space="preserve">La siguiente figura muestra la evolución del crecimiento anual de los salarios en China y en España. </w:t>
      </w:r>
    </w:p>
    <w:p w:rsidR="000B258E" w:rsidRPr="000B258E" w:rsidRDefault="00783B57" w:rsidP="00516320">
      <w:pPr>
        <w:pStyle w:val="a3"/>
      </w:pPr>
      <w:r>
        <w:lastRenderedPageBreak/>
        <w:t>Figura 1</w:t>
      </w:r>
      <w:r w:rsidR="00AC468B">
        <w:t>6</w:t>
      </w:r>
      <w:r>
        <w:t>: T</w:t>
      </w:r>
      <w:r w:rsidR="006D3F6B" w:rsidRPr="000B258E">
        <w:t>asa del crecimiento del salario anual</w:t>
      </w:r>
    </w:p>
    <w:p w:rsidR="006D3F6B" w:rsidRPr="00881AB8" w:rsidRDefault="006D3F6B" w:rsidP="006D3F6B">
      <w:pPr>
        <w:spacing w:line="220" w:lineRule="atLeast"/>
        <w:rPr>
          <w:rFonts w:ascii="Times New Roman" w:hAnsi="Times New Roman" w:cs="Times New Roman"/>
          <w:sz w:val="28"/>
          <w:lang w:val="es-ES_tradnl"/>
        </w:rPr>
      </w:pPr>
      <w:r w:rsidRPr="00881AB8">
        <w:rPr>
          <w:rFonts w:ascii="Times New Roman" w:hAnsi="Times New Roman" w:cs="Times New Roman"/>
          <w:noProof/>
          <w:sz w:val="28"/>
          <w:lang w:val="es-ES" w:eastAsia="es-ES"/>
        </w:rPr>
        <w:drawing>
          <wp:inline distT="0" distB="0" distL="0" distR="0" wp14:anchorId="0826695D" wp14:editId="44A4C2CB">
            <wp:extent cx="5274310" cy="3076575"/>
            <wp:effectExtent l="19050" t="0" r="21590" b="0"/>
            <wp:docPr id="32" name="图表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6D3F6B" w:rsidRPr="00783B57" w:rsidRDefault="00783B57" w:rsidP="00783B57">
      <w:pPr>
        <w:pStyle w:val="a6"/>
      </w:pPr>
      <w:r>
        <w:t xml:space="preserve">Fuente: Elaboración propia a partir de los datos del </w:t>
      </w:r>
      <w:r w:rsidRPr="00A51112">
        <w:t xml:space="preserve">Instituto nacional de estadística de España, </w:t>
      </w:r>
      <w:r>
        <w:t xml:space="preserve">y de la </w:t>
      </w:r>
      <w:r w:rsidRPr="00A51112">
        <w:rPr>
          <w:lang w:val="es-ES"/>
        </w:rPr>
        <w:t>Oficina Nacional de Estadísticas de China</w:t>
      </w:r>
      <w:r>
        <w:t>.</w:t>
      </w:r>
    </w:p>
    <w:p w:rsidR="006D3F6B" w:rsidRPr="00640348" w:rsidRDefault="006D3F6B" w:rsidP="00783B57">
      <w:pPr>
        <w:pStyle w:val="a0"/>
      </w:pPr>
      <w:r w:rsidRPr="00640348">
        <w:t xml:space="preserve">En los últimos ocho años, el nivel de los salarios </w:t>
      </w:r>
      <w:r w:rsidR="00783B57">
        <w:t xml:space="preserve">de China ha estado creciendo de </w:t>
      </w:r>
      <w:r w:rsidRPr="00640348">
        <w:t>manera constante</w:t>
      </w:r>
      <w:r w:rsidR="00783B57">
        <w:t>, con una tasa superior a la inflación</w:t>
      </w:r>
      <w:r w:rsidRPr="00640348">
        <w:t>. La economía se ha desarrollado y el sector privado ha creado nuevas oportunidades de empleo. Pero, las disparidades entre las r</w:t>
      </w:r>
      <w:r w:rsidR="00783B57">
        <w:t xml:space="preserve">egiones geográficas, </w:t>
      </w:r>
      <w:r w:rsidRPr="00640348">
        <w:t xml:space="preserve">sectores industriales, y la brecha entre los altos ejecutivos y los trabajadores </w:t>
      </w:r>
      <w:r w:rsidR="00783B57">
        <w:t>sin cualificación</w:t>
      </w:r>
      <w:r w:rsidRPr="00640348">
        <w:t xml:space="preserve"> ha aumentado significativamente, </w:t>
      </w:r>
      <w:r w:rsidR="00783B57">
        <w:t>por lo tanto se ha ampliado la brecha social</w:t>
      </w:r>
      <w:r w:rsidRPr="00640348">
        <w:t xml:space="preserve"> entre ricos y pobres. Por otra parte, </w:t>
      </w:r>
      <w:r w:rsidR="00783B57">
        <w:t>el aumento  salarial</w:t>
      </w:r>
      <w:r w:rsidRPr="00640348">
        <w:t xml:space="preserve"> para los trabajadores peor </w:t>
      </w:r>
      <w:r w:rsidR="00783B57">
        <w:t xml:space="preserve">pagados en China </w:t>
      </w:r>
      <w:r w:rsidR="00800C84">
        <w:t>en</w:t>
      </w:r>
      <w:r w:rsidR="00783B57">
        <w:t xml:space="preserve"> general se ha</w:t>
      </w:r>
      <w:r w:rsidRPr="00640348">
        <w:t xml:space="preserve"> visto erosionad</w:t>
      </w:r>
      <w:r w:rsidR="00783B57">
        <w:t>o</w:t>
      </w:r>
      <w:r w:rsidRPr="00640348">
        <w:t xml:space="preserve"> por el aumento del coste de vida</w:t>
      </w:r>
      <w:r w:rsidR="00783B57">
        <w:t>, especialmente el coste de la vivienda en las grandes ciudades</w:t>
      </w:r>
      <w:r w:rsidRPr="00640348">
        <w:t>.</w:t>
      </w:r>
    </w:p>
    <w:p w:rsidR="006D3F6B" w:rsidRPr="00640348" w:rsidRDefault="00783B57" w:rsidP="001A3FF1">
      <w:pPr>
        <w:pStyle w:val="a0"/>
      </w:pPr>
      <w:r>
        <w:t xml:space="preserve">En </w:t>
      </w:r>
      <w:r w:rsidR="006D3F6B" w:rsidRPr="00640348">
        <w:t xml:space="preserve">España, a partir de 2008, </w:t>
      </w:r>
      <w:r>
        <w:t>la</w:t>
      </w:r>
      <w:r w:rsidR="006D3F6B" w:rsidRPr="00640348">
        <w:t xml:space="preserve"> tasa de crecimiento de los salarios promedio ha estado </w:t>
      </w:r>
      <w:r>
        <w:t>disminuyendo</w:t>
      </w:r>
      <w:r w:rsidR="006D3F6B" w:rsidRPr="00640348">
        <w:t xml:space="preserve"> </w:t>
      </w:r>
      <w:r>
        <w:t>hasta situarse en cifras negativas en 2012 y 2013, siguiendo la tendencia del IPC a la deflación</w:t>
      </w:r>
      <w:r w:rsidR="006D3F6B" w:rsidRPr="00640348">
        <w:t>. La Organización Internacional del Trabajo (OIT</w:t>
      </w:r>
      <w:r w:rsidR="00C77680">
        <w:t>, 2016</w:t>
      </w:r>
      <w:r w:rsidR="006D3F6B" w:rsidRPr="00640348">
        <w:t>)</w:t>
      </w:r>
      <w:r w:rsidR="00182625">
        <w:rPr>
          <w:rStyle w:val="FootnoteReference"/>
        </w:rPr>
        <w:footnoteReference w:id="42"/>
      </w:r>
      <w:r w:rsidR="006D3F6B" w:rsidRPr="00640348">
        <w:t xml:space="preserve"> publicó un informe: la crisis financiera, tuvo un impacto negativo en la economía de muchos </w:t>
      </w:r>
      <w:r w:rsidR="006D3F6B" w:rsidRPr="00640348">
        <w:lastRenderedPageBreak/>
        <w:t xml:space="preserve">países, especialmente en España. La economista Rosalía Vázquez Álvarez de la OIT </w:t>
      </w:r>
      <w:r w:rsidR="001A3FF1">
        <w:t>explica</w:t>
      </w:r>
      <w:r w:rsidR="006A6A95">
        <w:t>: “desde 2010 hasta 2013</w:t>
      </w:r>
      <w:r w:rsidR="006D3F6B" w:rsidRPr="00640348">
        <w:t>, el nivel del salario medio en España ha estado continuamente disminuyendo. Después de que estallara la crisis económica, el poder adquisitivo de los residentes ha disminuido gradualmente; también para las</w:t>
      </w:r>
      <w:r w:rsidR="00A31AA1">
        <w:t xml:space="preserve"> personas con ingresos altos han </w:t>
      </w:r>
      <w:r w:rsidR="006D3F6B" w:rsidRPr="00640348">
        <w:t xml:space="preserve">disminuido alrededor de un </w:t>
      </w:r>
      <w:r w:rsidR="00A31AA1">
        <w:t xml:space="preserve">4%, y sobre todo para </w:t>
      </w:r>
      <w:r w:rsidR="00A31AA1">
        <w:rPr>
          <w:rFonts w:hint="eastAsia"/>
        </w:rPr>
        <w:t>el</w:t>
      </w:r>
      <w:r w:rsidR="00A31AA1">
        <w:t xml:space="preserve"> grupo</w:t>
      </w:r>
      <w:r w:rsidR="00A31AA1">
        <w:rPr>
          <w:rFonts w:hint="eastAsia"/>
        </w:rPr>
        <w:t xml:space="preserve"> de personas</w:t>
      </w:r>
      <w:r w:rsidR="006D3F6B" w:rsidRPr="00640348">
        <w:t xml:space="preserve"> de bajos ingresos se ha reducido en un 43%.</w:t>
      </w:r>
      <w:r w:rsidR="001A3FF1">
        <w:t>”</w:t>
      </w:r>
    </w:p>
    <w:p w:rsidR="006F13E6" w:rsidRDefault="006D3F6B" w:rsidP="00104F7F">
      <w:pPr>
        <w:pStyle w:val="a0"/>
      </w:pPr>
      <w:r w:rsidRPr="00640348">
        <w:t xml:space="preserve">Desde el punto de vista macroeconómico, en la actualidad, el nivel salarial anual promedio de China es inferior a España. Mientras que la tasa de crecimiento salarial anual promedio de China ha aumentado en gran medida, permaneciendo por encima del 10%. </w:t>
      </w:r>
      <w:r w:rsidR="00182625">
        <w:t xml:space="preserve">En </w:t>
      </w:r>
      <w:r w:rsidRPr="00640348">
        <w:t>España</w:t>
      </w:r>
      <w:r w:rsidR="00182625">
        <w:t>, país</w:t>
      </w:r>
      <w:r w:rsidRPr="00640348">
        <w:t xml:space="preserve"> afectad</w:t>
      </w:r>
      <w:r w:rsidRPr="006A6A95">
        <w:t>o</w:t>
      </w:r>
      <w:r w:rsidRPr="00640348">
        <w:t xml:space="preserve"> por la crisis económica se ha producido un crecimiento negativo en los salarios promedios.</w:t>
      </w:r>
    </w:p>
    <w:p w:rsidR="00182625" w:rsidRPr="000B258E" w:rsidRDefault="00182625" w:rsidP="00104F7F">
      <w:pPr>
        <w:pStyle w:val="a0"/>
      </w:pPr>
      <w:r w:rsidRPr="00182625">
        <w:rPr>
          <w:i/>
        </w:rPr>
        <w:t>Conclusión:</w:t>
      </w:r>
      <w:r>
        <w:t xml:space="preserve"> El nivel medio de los salarios es importante para entender la estructura y la evolución del mercado laboral en los dos países. En España, con altas tasas de paro, resulta que los trabajadores tienen poco poder de negociación lo que explica la tendencia a un aumento mínimo de los salarios, en gran parte motivado por el IPC. En cambio, en China, la situación de bajo desempleo aumenta el poder de negociación de los trabajadores, especialmente aquellos más cualificados, pero también de manera general en toda la escala de empleos. </w:t>
      </w:r>
    </w:p>
    <w:p w:rsidR="006D3F6B" w:rsidRDefault="001572ED" w:rsidP="001572ED">
      <w:pPr>
        <w:pStyle w:val="Heading3"/>
        <w:rPr>
          <w:lang w:val="es-ES_tradnl"/>
        </w:rPr>
      </w:pPr>
      <w:bookmarkStart w:id="57" w:name="_Toc471215318"/>
      <w:r>
        <w:rPr>
          <w:lang w:val="es-ES_tradnl"/>
        </w:rPr>
        <w:t>3.</w:t>
      </w:r>
      <w:r>
        <w:rPr>
          <w:rFonts w:hint="eastAsia"/>
          <w:lang w:val="es-ES_tradnl"/>
        </w:rPr>
        <w:t>5</w:t>
      </w:r>
      <w:r w:rsidR="00FC4931" w:rsidRPr="00FC4931">
        <w:rPr>
          <w:lang w:val="es-ES_tradnl"/>
        </w:rPr>
        <w:t>.2</w:t>
      </w:r>
      <w:r w:rsidR="000B258E">
        <w:rPr>
          <w:rFonts w:eastAsiaTheme="minorEastAsia" w:hint="eastAsia"/>
          <w:lang w:val="es-ES_tradnl"/>
        </w:rPr>
        <w:t>.</w:t>
      </w:r>
      <w:r w:rsidR="00FC4931" w:rsidRPr="00FC4931">
        <w:rPr>
          <w:lang w:val="es-ES_tradnl"/>
        </w:rPr>
        <w:t xml:space="preserve"> </w:t>
      </w:r>
      <w:r w:rsidR="006D3F6B" w:rsidRPr="00FC4931">
        <w:rPr>
          <w:lang w:val="es-ES_tradnl"/>
        </w:rPr>
        <w:t xml:space="preserve"> Niveles de salario (por año) por región</w:t>
      </w:r>
      <w:bookmarkEnd w:id="57"/>
    </w:p>
    <w:p w:rsidR="006A6A95" w:rsidRPr="00FC4931" w:rsidRDefault="006A6A95" w:rsidP="006A6A95">
      <w:pPr>
        <w:pStyle w:val="a1"/>
      </w:pPr>
      <w:r>
        <w:t>La distribución de los salarios medios muestra diferencias territoriales importantes en España y</w:t>
      </w:r>
      <w:r w:rsidR="00182625">
        <w:t>,</w:t>
      </w:r>
      <w:r>
        <w:t xml:space="preserve"> sobre todo</w:t>
      </w:r>
      <w:r w:rsidR="00182625">
        <w:t>,</w:t>
      </w:r>
      <w:r>
        <w:t xml:space="preserve"> en China. </w:t>
      </w:r>
    </w:p>
    <w:p w:rsidR="006D3F6B" w:rsidRPr="00640348" w:rsidRDefault="00516320" w:rsidP="006A6A95">
      <w:pPr>
        <w:pStyle w:val="a3"/>
      </w:pPr>
      <w:r>
        <w:lastRenderedPageBreak/>
        <w:t>Figura 1</w:t>
      </w:r>
      <w:r w:rsidR="0099757F">
        <w:t>7</w:t>
      </w:r>
      <w:r>
        <w:t xml:space="preserve">: Distribución territorial de los salarios medios en </w:t>
      </w:r>
      <w:r w:rsidR="006D3F6B" w:rsidRPr="00640348">
        <w:t xml:space="preserve">China </w:t>
      </w:r>
      <w:r>
        <w:t>(</w:t>
      </w:r>
      <w:r w:rsidR="006D3F6B" w:rsidRPr="00640348">
        <w:t>2013</w:t>
      </w:r>
      <w:r>
        <w:t>)</w:t>
      </w:r>
    </w:p>
    <w:p w:rsidR="006D3F6B" w:rsidRPr="008545C1" w:rsidRDefault="006D3F6B" w:rsidP="0008433A">
      <w:pPr>
        <w:rPr>
          <w:rFonts w:ascii="Times New Roman" w:hAnsi="Times New Roman" w:cs="Times New Roman"/>
          <w:lang w:val="es-ES"/>
        </w:rPr>
      </w:pPr>
      <w:r w:rsidRPr="00881AB8">
        <w:rPr>
          <w:rFonts w:ascii="Times New Roman" w:hAnsi="Times New Roman" w:cs="Times New Roman"/>
          <w:noProof/>
          <w:lang w:val="es-ES" w:eastAsia="es-ES"/>
        </w:rPr>
        <w:drawing>
          <wp:inline distT="0" distB="0" distL="0" distR="0" wp14:anchorId="4C8AEEFA" wp14:editId="08FEB85A">
            <wp:extent cx="5333999" cy="3638550"/>
            <wp:effectExtent l="0" t="0" r="635" b="0"/>
            <wp:docPr id="33"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srcRect/>
                    <a:stretch>
                      <a:fillRect/>
                    </a:stretch>
                  </pic:blipFill>
                  <pic:spPr bwMode="auto">
                    <a:xfrm>
                      <a:off x="0" y="0"/>
                      <a:ext cx="5346184" cy="3646862"/>
                    </a:xfrm>
                    <a:prstGeom prst="rect">
                      <a:avLst/>
                    </a:prstGeom>
                    <a:noFill/>
                    <a:ln w="9525">
                      <a:noFill/>
                      <a:miter lim="800000"/>
                      <a:headEnd/>
                      <a:tailEnd/>
                    </a:ln>
                  </pic:spPr>
                </pic:pic>
              </a:graphicData>
            </a:graphic>
          </wp:inline>
        </w:drawing>
      </w:r>
    </w:p>
    <w:tbl>
      <w:tblPr>
        <w:tblW w:w="5969" w:type="dxa"/>
        <w:tblInd w:w="55" w:type="dxa"/>
        <w:tblCellMar>
          <w:left w:w="70" w:type="dxa"/>
          <w:right w:w="70" w:type="dxa"/>
        </w:tblCellMar>
        <w:tblLook w:val="04A0" w:firstRow="1" w:lastRow="0" w:firstColumn="1" w:lastColumn="0" w:noHBand="0" w:noVBand="1"/>
      </w:tblPr>
      <w:tblGrid>
        <w:gridCol w:w="2283"/>
        <w:gridCol w:w="3686"/>
      </w:tblGrid>
      <w:tr w:rsidR="004D508E" w:rsidRPr="004D508E" w:rsidTr="004D508E">
        <w:trPr>
          <w:trHeight w:val="20"/>
        </w:trPr>
        <w:tc>
          <w:tcPr>
            <w:tcW w:w="2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D508E" w:rsidRPr="004D508E" w:rsidRDefault="004D508E" w:rsidP="004D508E">
            <w:pPr>
              <w:widowControl/>
              <w:snapToGrid w:val="0"/>
              <w:jc w:val="center"/>
              <w:rPr>
                <w:rFonts w:ascii="Times New Roman" w:eastAsia="Times New Roman" w:hAnsi="Times New Roman" w:cs="Times New Roman"/>
                <w:b/>
                <w:bCs/>
                <w:color w:val="000000"/>
                <w:kern w:val="0"/>
                <w:sz w:val="24"/>
                <w:szCs w:val="24"/>
                <w:lang w:val="es-ES"/>
              </w:rPr>
            </w:pPr>
            <w:r w:rsidRPr="004D508E">
              <w:rPr>
                <w:rFonts w:ascii="Times New Roman" w:eastAsia="Times New Roman" w:hAnsi="Times New Roman" w:cs="Times New Roman"/>
                <w:b/>
                <w:bCs/>
                <w:color w:val="000000"/>
                <w:kern w:val="0"/>
                <w:sz w:val="24"/>
                <w:szCs w:val="24"/>
                <w:lang w:val="es-ES_tradnl"/>
              </w:rPr>
              <w:t>Ciudad</w:t>
            </w:r>
          </w:p>
        </w:tc>
        <w:tc>
          <w:tcPr>
            <w:tcW w:w="3686"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4D508E" w:rsidRPr="004D508E" w:rsidRDefault="004D508E" w:rsidP="004D508E">
            <w:pPr>
              <w:widowControl/>
              <w:snapToGrid w:val="0"/>
              <w:jc w:val="left"/>
              <w:rPr>
                <w:rFonts w:ascii="Times New Roman" w:eastAsia="Times New Roman" w:hAnsi="Times New Roman" w:cs="Times New Roman"/>
                <w:b/>
                <w:color w:val="000000"/>
                <w:kern w:val="0"/>
                <w:sz w:val="24"/>
                <w:szCs w:val="24"/>
                <w:lang w:val="es-ES"/>
              </w:rPr>
            </w:pPr>
            <w:r w:rsidRPr="004D508E">
              <w:rPr>
                <w:rFonts w:ascii="Times New Roman" w:eastAsia="Times New Roman" w:hAnsi="Times New Roman" w:cs="Times New Roman"/>
                <w:b/>
                <w:color w:val="000000"/>
                <w:kern w:val="0"/>
                <w:sz w:val="24"/>
                <w:szCs w:val="24"/>
                <w:lang w:val="es-ES_tradnl"/>
              </w:rPr>
              <w:t>Salario medio anual (RMB)</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proofErr w:type="spellStart"/>
            <w:r w:rsidRPr="004D508E">
              <w:rPr>
                <w:rFonts w:ascii="Times New Roman" w:eastAsia="Times New Roman" w:hAnsi="Times New Roman" w:cs="Times New Roman"/>
                <w:color w:val="000000"/>
                <w:kern w:val="0"/>
                <w:sz w:val="24"/>
                <w:szCs w:val="24"/>
              </w:rPr>
              <w:t>Ha'erbing</w:t>
            </w:r>
            <w:proofErr w:type="spellEnd"/>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26</w:t>
            </w:r>
            <w:r w:rsidRPr="004D508E">
              <w:rPr>
                <w:rFonts w:ascii="Times New Roman" w:eastAsia="Times New Roman" w:hAnsi="Times New Roman" w:cs="Times New Roman"/>
                <w:color w:val="000000"/>
                <w:kern w:val="0"/>
                <w:sz w:val="24"/>
                <w:szCs w:val="24"/>
              </w:rPr>
              <w:t>640</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sidRPr="004D508E">
              <w:rPr>
                <w:rFonts w:ascii="Times New Roman" w:eastAsia="Times New Roman" w:hAnsi="Times New Roman" w:cs="Times New Roman"/>
                <w:color w:val="000000"/>
                <w:kern w:val="0"/>
                <w:sz w:val="24"/>
                <w:szCs w:val="24"/>
              </w:rPr>
              <w:t>Shijiazhuang</w:t>
            </w:r>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sidRPr="004D508E">
              <w:rPr>
                <w:rFonts w:ascii="Times New Roman" w:eastAsia="Times New Roman" w:hAnsi="Times New Roman" w:cs="Times New Roman"/>
                <w:color w:val="000000"/>
                <w:kern w:val="0"/>
                <w:sz w:val="24"/>
                <w:szCs w:val="24"/>
              </w:rPr>
              <w:t>28092</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proofErr w:type="spellStart"/>
            <w:r w:rsidRPr="004D508E">
              <w:rPr>
                <w:rFonts w:ascii="Times New Roman" w:eastAsia="Times New Roman" w:hAnsi="Times New Roman" w:cs="Times New Roman"/>
                <w:color w:val="000000"/>
                <w:kern w:val="0"/>
                <w:sz w:val="24"/>
                <w:szCs w:val="24"/>
              </w:rPr>
              <w:t>Zhenzhou</w:t>
            </w:r>
            <w:proofErr w:type="spellEnd"/>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32</w:t>
            </w:r>
            <w:r w:rsidRPr="004D508E">
              <w:rPr>
                <w:rFonts w:ascii="Times New Roman" w:eastAsia="Times New Roman" w:hAnsi="Times New Roman" w:cs="Times New Roman"/>
                <w:color w:val="000000"/>
                <w:kern w:val="0"/>
                <w:sz w:val="24"/>
                <w:szCs w:val="24"/>
              </w:rPr>
              <w:t>292</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sidRPr="004D508E">
              <w:rPr>
                <w:rFonts w:ascii="Times New Roman" w:eastAsia="Times New Roman" w:hAnsi="Times New Roman" w:cs="Times New Roman"/>
                <w:color w:val="000000"/>
                <w:kern w:val="0"/>
                <w:sz w:val="24"/>
                <w:szCs w:val="24"/>
              </w:rPr>
              <w:t>Shenyang</w:t>
            </w:r>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33</w:t>
            </w:r>
            <w:r w:rsidRPr="004D508E">
              <w:rPr>
                <w:rFonts w:ascii="Times New Roman" w:eastAsia="Times New Roman" w:hAnsi="Times New Roman" w:cs="Times New Roman"/>
                <w:color w:val="000000"/>
                <w:kern w:val="0"/>
                <w:sz w:val="24"/>
                <w:szCs w:val="24"/>
              </w:rPr>
              <w:t>515</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sidRPr="004D508E">
              <w:rPr>
                <w:rFonts w:ascii="Times New Roman" w:eastAsia="Times New Roman" w:hAnsi="Times New Roman" w:cs="Times New Roman"/>
                <w:color w:val="000000"/>
                <w:kern w:val="0"/>
                <w:sz w:val="24"/>
                <w:szCs w:val="24"/>
              </w:rPr>
              <w:t>Fuzhou</w:t>
            </w:r>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34</w:t>
            </w:r>
            <w:r w:rsidRPr="004D508E">
              <w:rPr>
                <w:rFonts w:ascii="Times New Roman" w:eastAsia="Times New Roman" w:hAnsi="Times New Roman" w:cs="Times New Roman"/>
                <w:color w:val="000000"/>
                <w:kern w:val="0"/>
                <w:sz w:val="24"/>
                <w:szCs w:val="24"/>
              </w:rPr>
              <w:t>332</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sidRPr="004D508E">
              <w:rPr>
                <w:rFonts w:ascii="Times New Roman" w:eastAsia="Times New Roman" w:hAnsi="Times New Roman" w:cs="Times New Roman"/>
                <w:color w:val="000000"/>
                <w:kern w:val="0"/>
                <w:sz w:val="24"/>
                <w:szCs w:val="24"/>
              </w:rPr>
              <w:t>Jinan</w:t>
            </w:r>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35</w:t>
            </w:r>
            <w:r w:rsidRPr="004D508E">
              <w:rPr>
                <w:rFonts w:ascii="Times New Roman" w:eastAsia="Times New Roman" w:hAnsi="Times New Roman" w:cs="Times New Roman"/>
                <w:color w:val="000000"/>
                <w:kern w:val="0"/>
                <w:sz w:val="24"/>
                <w:szCs w:val="24"/>
              </w:rPr>
              <w:t>064</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proofErr w:type="spellStart"/>
            <w:r w:rsidRPr="004D508E">
              <w:rPr>
                <w:rFonts w:ascii="Times New Roman" w:eastAsia="Times New Roman" w:hAnsi="Times New Roman" w:cs="Times New Roman"/>
                <w:color w:val="000000"/>
                <w:kern w:val="0"/>
                <w:sz w:val="24"/>
                <w:szCs w:val="24"/>
              </w:rPr>
              <w:t>Qindao</w:t>
            </w:r>
            <w:proofErr w:type="spellEnd"/>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35</w:t>
            </w:r>
            <w:r w:rsidRPr="004D508E">
              <w:rPr>
                <w:rFonts w:ascii="Times New Roman" w:eastAsia="Times New Roman" w:hAnsi="Times New Roman" w:cs="Times New Roman"/>
                <w:color w:val="000000"/>
                <w:kern w:val="0"/>
                <w:sz w:val="24"/>
                <w:szCs w:val="24"/>
              </w:rPr>
              <w:t>280</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sidRPr="004D508E">
              <w:rPr>
                <w:rFonts w:ascii="Times New Roman" w:eastAsia="Times New Roman" w:hAnsi="Times New Roman" w:cs="Times New Roman"/>
                <w:color w:val="000000"/>
                <w:kern w:val="0"/>
                <w:sz w:val="24"/>
                <w:szCs w:val="24"/>
              </w:rPr>
              <w:t>Changchun</w:t>
            </w:r>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35</w:t>
            </w:r>
            <w:r w:rsidRPr="004D508E">
              <w:rPr>
                <w:rFonts w:ascii="Times New Roman" w:eastAsia="Times New Roman" w:hAnsi="Times New Roman" w:cs="Times New Roman"/>
                <w:color w:val="000000"/>
                <w:kern w:val="0"/>
                <w:sz w:val="24"/>
                <w:szCs w:val="24"/>
              </w:rPr>
              <w:t>592</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sidRPr="004D508E">
              <w:rPr>
                <w:rFonts w:ascii="Times New Roman" w:eastAsia="Times New Roman" w:hAnsi="Times New Roman" w:cs="Times New Roman"/>
                <w:color w:val="000000"/>
                <w:kern w:val="0"/>
                <w:sz w:val="24"/>
                <w:szCs w:val="24"/>
              </w:rPr>
              <w:t>Hefei</w:t>
            </w:r>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37</w:t>
            </w:r>
            <w:r w:rsidRPr="004D508E">
              <w:rPr>
                <w:rFonts w:ascii="Times New Roman" w:eastAsia="Times New Roman" w:hAnsi="Times New Roman" w:cs="Times New Roman"/>
                <w:color w:val="000000"/>
                <w:kern w:val="0"/>
                <w:sz w:val="24"/>
                <w:szCs w:val="24"/>
              </w:rPr>
              <w:t>812</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sidRPr="004D508E">
              <w:rPr>
                <w:rFonts w:ascii="Times New Roman" w:eastAsia="Times New Roman" w:hAnsi="Times New Roman" w:cs="Times New Roman"/>
                <w:color w:val="000000"/>
                <w:kern w:val="0"/>
                <w:sz w:val="24"/>
                <w:szCs w:val="24"/>
              </w:rPr>
              <w:t>Changsha</w:t>
            </w:r>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37</w:t>
            </w:r>
            <w:r w:rsidRPr="004D508E">
              <w:rPr>
                <w:rFonts w:ascii="Times New Roman" w:eastAsia="Times New Roman" w:hAnsi="Times New Roman" w:cs="Times New Roman"/>
                <w:color w:val="000000"/>
                <w:kern w:val="0"/>
                <w:sz w:val="24"/>
                <w:szCs w:val="24"/>
              </w:rPr>
              <w:t>932</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sidRPr="004D508E">
              <w:rPr>
                <w:rFonts w:ascii="Times New Roman" w:eastAsia="Times New Roman" w:hAnsi="Times New Roman" w:cs="Times New Roman"/>
                <w:color w:val="000000"/>
                <w:kern w:val="0"/>
                <w:sz w:val="24"/>
                <w:szCs w:val="24"/>
              </w:rPr>
              <w:t>Xi'an</w:t>
            </w:r>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38</w:t>
            </w:r>
            <w:r w:rsidRPr="004D508E">
              <w:rPr>
                <w:rFonts w:ascii="Times New Roman" w:eastAsia="Times New Roman" w:hAnsi="Times New Roman" w:cs="Times New Roman"/>
                <w:color w:val="000000"/>
                <w:kern w:val="0"/>
                <w:sz w:val="24"/>
                <w:szCs w:val="24"/>
              </w:rPr>
              <w:t>844</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sidRPr="004D508E">
              <w:rPr>
                <w:rFonts w:ascii="Times New Roman" w:eastAsia="Times New Roman" w:hAnsi="Times New Roman" w:cs="Times New Roman"/>
                <w:color w:val="000000"/>
                <w:kern w:val="0"/>
                <w:sz w:val="24"/>
                <w:szCs w:val="24"/>
              </w:rPr>
              <w:t>Wuhan</w:t>
            </w:r>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38</w:t>
            </w:r>
            <w:r w:rsidRPr="004D508E">
              <w:rPr>
                <w:rFonts w:ascii="Times New Roman" w:eastAsia="Times New Roman" w:hAnsi="Times New Roman" w:cs="Times New Roman"/>
                <w:color w:val="000000"/>
                <w:kern w:val="0"/>
                <w:sz w:val="24"/>
                <w:szCs w:val="24"/>
              </w:rPr>
              <w:t>940</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sidRPr="004D508E">
              <w:rPr>
                <w:rFonts w:ascii="Times New Roman" w:eastAsia="Times New Roman" w:hAnsi="Times New Roman" w:cs="Times New Roman"/>
                <w:color w:val="000000"/>
                <w:kern w:val="0"/>
                <w:sz w:val="24"/>
                <w:szCs w:val="24"/>
              </w:rPr>
              <w:t>Chongqing</w:t>
            </w:r>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40</w:t>
            </w:r>
            <w:r w:rsidRPr="004D508E">
              <w:rPr>
                <w:rFonts w:ascii="Times New Roman" w:eastAsia="Times New Roman" w:hAnsi="Times New Roman" w:cs="Times New Roman"/>
                <w:color w:val="000000"/>
                <w:kern w:val="0"/>
                <w:sz w:val="24"/>
                <w:szCs w:val="24"/>
              </w:rPr>
              <w:t>440</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sidRPr="004D508E">
              <w:rPr>
                <w:rFonts w:ascii="Times New Roman" w:eastAsia="Times New Roman" w:hAnsi="Times New Roman" w:cs="Times New Roman"/>
                <w:color w:val="000000"/>
                <w:kern w:val="0"/>
                <w:sz w:val="24"/>
                <w:szCs w:val="24"/>
              </w:rPr>
              <w:t>Tianjin</w:t>
            </w:r>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45</w:t>
            </w:r>
            <w:r w:rsidRPr="004D508E">
              <w:rPr>
                <w:rFonts w:ascii="Times New Roman" w:eastAsia="Times New Roman" w:hAnsi="Times New Roman" w:cs="Times New Roman"/>
                <w:color w:val="000000"/>
                <w:kern w:val="0"/>
                <w:sz w:val="24"/>
                <w:szCs w:val="24"/>
              </w:rPr>
              <w:t>720</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sidRPr="004D508E">
              <w:rPr>
                <w:rFonts w:ascii="Times New Roman" w:eastAsia="Times New Roman" w:hAnsi="Times New Roman" w:cs="Times New Roman"/>
                <w:color w:val="000000"/>
                <w:kern w:val="0"/>
                <w:sz w:val="24"/>
                <w:szCs w:val="24"/>
              </w:rPr>
              <w:t>Xiamen</w:t>
            </w:r>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45</w:t>
            </w:r>
            <w:r w:rsidRPr="004D508E">
              <w:rPr>
                <w:rFonts w:ascii="Times New Roman" w:eastAsia="Times New Roman" w:hAnsi="Times New Roman" w:cs="Times New Roman"/>
                <w:color w:val="000000"/>
                <w:kern w:val="0"/>
                <w:sz w:val="24"/>
                <w:szCs w:val="24"/>
              </w:rPr>
              <w:t>828</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proofErr w:type="spellStart"/>
            <w:r w:rsidRPr="004D508E">
              <w:rPr>
                <w:rFonts w:ascii="Times New Roman" w:eastAsia="Times New Roman" w:hAnsi="Times New Roman" w:cs="Times New Roman"/>
                <w:color w:val="000000"/>
                <w:kern w:val="0"/>
                <w:sz w:val="24"/>
                <w:szCs w:val="24"/>
              </w:rPr>
              <w:t>Chendu</w:t>
            </w:r>
            <w:proofErr w:type="spellEnd"/>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46</w:t>
            </w:r>
            <w:r w:rsidRPr="004D508E">
              <w:rPr>
                <w:rFonts w:ascii="Times New Roman" w:eastAsia="Times New Roman" w:hAnsi="Times New Roman" w:cs="Times New Roman"/>
                <w:color w:val="000000"/>
                <w:kern w:val="0"/>
                <w:sz w:val="24"/>
                <w:szCs w:val="24"/>
              </w:rPr>
              <w:t>992</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sidRPr="004D508E">
              <w:rPr>
                <w:rFonts w:ascii="Times New Roman" w:eastAsia="Times New Roman" w:hAnsi="Times New Roman" w:cs="Times New Roman"/>
                <w:color w:val="000000"/>
                <w:kern w:val="0"/>
                <w:sz w:val="24"/>
                <w:szCs w:val="24"/>
              </w:rPr>
              <w:t>Suzhou</w:t>
            </w:r>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48</w:t>
            </w:r>
            <w:r w:rsidRPr="004D508E">
              <w:rPr>
                <w:rFonts w:ascii="Times New Roman" w:eastAsia="Times New Roman" w:hAnsi="Times New Roman" w:cs="Times New Roman"/>
                <w:color w:val="000000"/>
                <w:kern w:val="0"/>
                <w:sz w:val="24"/>
                <w:szCs w:val="24"/>
              </w:rPr>
              <w:t>108</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sidRPr="004D508E">
              <w:rPr>
                <w:rFonts w:ascii="Times New Roman" w:eastAsia="Times New Roman" w:hAnsi="Times New Roman" w:cs="Times New Roman"/>
                <w:color w:val="000000"/>
                <w:kern w:val="0"/>
                <w:sz w:val="24"/>
                <w:szCs w:val="24"/>
              </w:rPr>
              <w:t>Dalian</w:t>
            </w:r>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52</w:t>
            </w:r>
            <w:r w:rsidRPr="004D508E">
              <w:rPr>
                <w:rFonts w:ascii="Times New Roman" w:eastAsia="Times New Roman" w:hAnsi="Times New Roman" w:cs="Times New Roman"/>
                <w:color w:val="000000"/>
                <w:kern w:val="0"/>
                <w:sz w:val="24"/>
                <w:szCs w:val="24"/>
              </w:rPr>
              <w:t>368</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sidRPr="004D508E">
              <w:rPr>
                <w:rFonts w:ascii="Times New Roman" w:eastAsia="Times New Roman" w:hAnsi="Times New Roman" w:cs="Times New Roman"/>
                <w:color w:val="000000"/>
                <w:kern w:val="0"/>
                <w:sz w:val="24"/>
                <w:szCs w:val="24"/>
              </w:rPr>
              <w:t>Nanjing</w:t>
            </w:r>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53</w:t>
            </w:r>
            <w:r w:rsidRPr="004D508E">
              <w:rPr>
                <w:rFonts w:ascii="Times New Roman" w:eastAsia="Times New Roman" w:hAnsi="Times New Roman" w:cs="Times New Roman"/>
                <w:color w:val="000000"/>
                <w:kern w:val="0"/>
                <w:sz w:val="24"/>
                <w:szCs w:val="24"/>
              </w:rPr>
              <w:t>520</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sidRPr="004D508E">
              <w:rPr>
                <w:rFonts w:ascii="Times New Roman" w:eastAsia="Times New Roman" w:hAnsi="Times New Roman" w:cs="Times New Roman"/>
                <w:color w:val="000000"/>
                <w:kern w:val="0"/>
                <w:sz w:val="24"/>
                <w:szCs w:val="24"/>
              </w:rPr>
              <w:t>Hangzhou</w:t>
            </w:r>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55</w:t>
            </w:r>
            <w:r w:rsidRPr="004D508E">
              <w:rPr>
                <w:rFonts w:ascii="Times New Roman" w:eastAsia="Times New Roman" w:hAnsi="Times New Roman" w:cs="Times New Roman"/>
                <w:color w:val="000000"/>
                <w:kern w:val="0"/>
                <w:sz w:val="24"/>
                <w:szCs w:val="24"/>
              </w:rPr>
              <w:t>140</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sidRPr="004D508E">
              <w:rPr>
                <w:rFonts w:ascii="Times New Roman" w:eastAsia="Times New Roman" w:hAnsi="Times New Roman" w:cs="Times New Roman"/>
                <w:color w:val="000000"/>
                <w:kern w:val="0"/>
                <w:sz w:val="24"/>
                <w:szCs w:val="24"/>
              </w:rPr>
              <w:t>Guangzhou</w:t>
            </w:r>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59</w:t>
            </w:r>
            <w:r w:rsidRPr="004D508E">
              <w:rPr>
                <w:rFonts w:ascii="Times New Roman" w:eastAsia="Times New Roman" w:hAnsi="Times New Roman" w:cs="Times New Roman"/>
                <w:color w:val="000000"/>
                <w:kern w:val="0"/>
                <w:sz w:val="24"/>
                <w:szCs w:val="24"/>
              </w:rPr>
              <w:t>004</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sidRPr="004D508E">
              <w:rPr>
                <w:rFonts w:ascii="Times New Roman" w:eastAsia="Times New Roman" w:hAnsi="Times New Roman" w:cs="Times New Roman"/>
                <w:color w:val="000000"/>
                <w:kern w:val="0"/>
                <w:sz w:val="24"/>
                <w:szCs w:val="24"/>
              </w:rPr>
              <w:t>Beijing</w:t>
            </w:r>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65</w:t>
            </w:r>
            <w:r w:rsidRPr="004D508E">
              <w:rPr>
                <w:rFonts w:ascii="Times New Roman" w:eastAsia="Times New Roman" w:hAnsi="Times New Roman" w:cs="Times New Roman"/>
                <w:color w:val="000000"/>
                <w:kern w:val="0"/>
                <w:sz w:val="24"/>
                <w:szCs w:val="24"/>
              </w:rPr>
              <w:t>436</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sidRPr="004D508E">
              <w:rPr>
                <w:rFonts w:ascii="Times New Roman" w:eastAsia="Times New Roman" w:hAnsi="Times New Roman" w:cs="Times New Roman"/>
                <w:color w:val="000000"/>
                <w:kern w:val="0"/>
                <w:sz w:val="24"/>
                <w:szCs w:val="24"/>
              </w:rPr>
              <w:t>Shenzhen</w:t>
            </w:r>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81</w:t>
            </w:r>
            <w:r w:rsidRPr="004D508E">
              <w:rPr>
                <w:rFonts w:ascii="Times New Roman" w:eastAsia="Times New Roman" w:hAnsi="Times New Roman" w:cs="Times New Roman"/>
                <w:color w:val="000000"/>
                <w:kern w:val="0"/>
                <w:sz w:val="24"/>
                <w:szCs w:val="24"/>
              </w:rPr>
              <w:t>444</w:t>
            </w:r>
          </w:p>
        </w:tc>
      </w:tr>
      <w:tr w:rsidR="004D508E" w:rsidRPr="004D508E" w:rsidTr="004D508E">
        <w:trPr>
          <w:trHeight w:val="20"/>
        </w:trPr>
        <w:tc>
          <w:tcPr>
            <w:tcW w:w="2283" w:type="dxa"/>
            <w:tcBorders>
              <w:top w:val="nil"/>
              <w:left w:val="single" w:sz="4" w:space="0" w:color="auto"/>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proofErr w:type="spellStart"/>
            <w:r w:rsidRPr="004D508E">
              <w:rPr>
                <w:rFonts w:ascii="Times New Roman" w:eastAsia="Times New Roman" w:hAnsi="Times New Roman" w:cs="Times New Roman"/>
                <w:color w:val="000000"/>
                <w:kern w:val="0"/>
                <w:sz w:val="24"/>
                <w:szCs w:val="24"/>
              </w:rPr>
              <w:t>Shanghái</w:t>
            </w:r>
            <w:proofErr w:type="spellEnd"/>
          </w:p>
        </w:tc>
        <w:tc>
          <w:tcPr>
            <w:tcW w:w="3686" w:type="dxa"/>
            <w:tcBorders>
              <w:top w:val="nil"/>
              <w:left w:val="nil"/>
              <w:bottom w:val="single" w:sz="4" w:space="0" w:color="auto"/>
              <w:right w:val="single" w:sz="4" w:space="0" w:color="auto"/>
            </w:tcBorders>
            <w:shd w:val="clear" w:color="auto" w:fill="auto"/>
            <w:vAlign w:val="center"/>
            <w:hideMark/>
          </w:tcPr>
          <w:p w:rsidR="004D508E" w:rsidRPr="004D508E" w:rsidRDefault="004D508E" w:rsidP="004D508E">
            <w:pPr>
              <w:widowControl/>
              <w:snapToGrid w:val="0"/>
              <w:jc w:val="center"/>
              <w:rPr>
                <w:rFonts w:ascii="Times New Roman" w:eastAsia="Times New Roman" w:hAnsi="Times New Roman" w:cs="Times New Roman"/>
                <w:color w:val="000000"/>
                <w:kern w:val="0"/>
                <w:sz w:val="24"/>
                <w:szCs w:val="24"/>
                <w:lang w:val="es-ES"/>
              </w:rPr>
            </w:pPr>
            <w:r>
              <w:rPr>
                <w:rFonts w:ascii="Times New Roman" w:eastAsia="Times New Roman" w:hAnsi="Times New Roman" w:cs="Times New Roman"/>
                <w:color w:val="000000"/>
                <w:kern w:val="0"/>
                <w:sz w:val="24"/>
                <w:szCs w:val="24"/>
              </w:rPr>
              <w:t>85</w:t>
            </w:r>
            <w:r w:rsidRPr="004D508E">
              <w:rPr>
                <w:rFonts w:ascii="Times New Roman" w:eastAsia="Times New Roman" w:hAnsi="Times New Roman" w:cs="Times New Roman"/>
                <w:color w:val="000000"/>
                <w:kern w:val="0"/>
                <w:sz w:val="24"/>
                <w:szCs w:val="24"/>
              </w:rPr>
              <w:t>344</w:t>
            </w:r>
          </w:p>
        </w:tc>
      </w:tr>
    </w:tbl>
    <w:p w:rsidR="006D3F6B" w:rsidRPr="00881AB8" w:rsidRDefault="006D3F6B" w:rsidP="006D3F6B">
      <w:pPr>
        <w:spacing w:line="220" w:lineRule="atLeast"/>
        <w:rPr>
          <w:rFonts w:ascii="Times New Roman" w:hAnsi="Times New Roman" w:cs="Times New Roman"/>
          <w:lang w:val="es-ES_tradnl"/>
        </w:rPr>
      </w:pPr>
    </w:p>
    <w:p w:rsidR="006D3F6B" w:rsidRPr="00881AB8" w:rsidRDefault="006D3F6B" w:rsidP="006D3F6B">
      <w:pPr>
        <w:spacing w:line="220" w:lineRule="atLeast"/>
        <w:rPr>
          <w:rFonts w:ascii="Times New Roman" w:hAnsi="Times New Roman" w:cs="Times New Roman"/>
          <w:lang w:val="es-ES_tradnl"/>
        </w:rPr>
      </w:pPr>
      <w:r w:rsidRPr="00881AB8">
        <w:rPr>
          <w:rFonts w:ascii="Times New Roman" w:hAnsi="Times New Roman" w:cs="Times New Roman"/>
          <w:noProof/>
          <w:lang w:val="es-ES" w:eastAsia="es-ES"/>
        </w:rPr>
        <w:drawing>
          <wp:inline distT="0" distB="0" distL="0" distR="0" wp14:anchorId="3AFB6A86" wp14:editId="5A327503">
            <wp:extent cx="5244662" cy="3594538"/>
            <wp:effectExtent l="0" t="0" r="13335" b="25400"/>
            <wp:docPr id="34" name="图表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8545C1" w:rsidRDefault="0068113E" w:rsidP="0099757F">
      <w:pPr>
        <w:pStyle w:val="a6"/>
      </w:pPr>
      <w:r w:rsidRPr="000B258E">
        <w:t xml:space="preserve">Fuente: </w:t>
      </w:r>
      <w:r w:rsidRPr="006A6A95">
        <w:rPr>
          <w:bCs/>
        </w:rPr>
        <w:t>Los salarios en China</w:t>
      </w:r>
      <w:r w:rsidRPr="000B258E">
        <w:t>,</w:t>
      </w:r>
      <w:r w:rsidR="000B258E">
        <w:rPr>
          <w:rFonts w:hint="eastAsia"/>
        </w:rPr>
        <w:t xml:space="preserve"> </w:t>
      </w:r>
      <w:r w:rsidRPr="000B258E">
        <w:t xml:space="preserve">(2013) </w:t>
      </w:r>
      <w:r w:rsidR="000B258E">
        <w:t>Disponible on</w:t>
      </w:r>
      <w:r w:rsidRPr="000B258E">
        <w:t xml:space="preserve">line: </w:t>
      </w:r>
      <w:hyperlink r:id="rId31" w:history="1">
        <w:r w:rsidRPr="000B258E">
          <w:rPr>
            <w:rStyle w:val="Hyperlink"/>
          </w:rPr>
          <w:t>http://search.ebscohost.com</w:t>
        </w:r>
      </w:hyperlink>
    </w:p>
    <w:p w:rsidR="006D3F6B" w:rsidRPr="00640348" w:rsidRDefault="003F35F2" w:rsidP="00025E57">
      <w:pPr>
        <w:pStyle w:val="a0"/>
      </w:pPr>
      <w:r>
        <w:t>Lo</w:t>
      </w:r>
      <w:r w:rsidRPr="008545C1">
        <w:t>s</w:t>
      </w:r>
      <w:r>
        <w:t xml:space="preserve"> datos de este</w:t>
      </w:r>
      <w:r w:rsidR="000B258E">
        <w:t xml:space="preserve"> grá</w:t>
      </w:r>
      <w:r w:rsidR="006D3F6B" w:rsidRPr="00640348">
        <w:t>fico muestra</w:t>
      </w:r>
      <w:r>
        <w:t>n con</w:t>
      </w:r>
      <w:r w:rsidR="006D3F6B" w:rsidRPr="00640348">
        <w:t xml:space="preserve"> el color de las áreas</w:t>
      </w:r>
      <w:r w:rsidR="004B541A">
        <w:t xml:space="preserve"> cuanto más oscura sea más alto tiene</w:t>
      </w:r>
      <w:r w:rsidR="006D3F6B" w:rsidRPr="00640348">
        <w:t xml:space="preserve"> los salarios. Por tanto, podemos </w:t>
      </w:r>
      <w:r>
        <w:t>observar</w:t>
      </w:r>
      <w:r w:rsidR="006D3F6B" w:rsidRPr="00640348">
        <w:t xml:space="preserve"> que las áreas con los salarios altos están concentradas en las zonas costeras del Este económicamente desarrolladas como Shanghái (85.344,00RMB del ingreso anual promedio) y la provincia </w:t>
      </w:r>
      <w:proofErr w:type="spellStart"/>
      <w:r w:rsidR="006D3F6B" w:rsidRPr="00640348">
        <w:t>Guangdong</w:t>
      </w:r>
      <w:proofErr w:type="spellEnd"/>
      <w:r w:rsidR="006D3F6B" w:rsidRPr="00640348">
        <w:t xml:space="preserve"> (81.444,00RMB del ingreso anual promedio). Es</w:t>
      </w:r>
      <w:r w:rsidR="00025E57">
        <w:t>os dos territorios regionales,</w:t>
      </w:r>
      <w:r w:rsidR="006D3F6B" w:rsidRPr="00640348">
        <w:t xml:space="preserve"> </w:t>
      </w:r>
      <w:r w:rsidR="00025E57">
        <w:t>lideran la clasificación</w:t>
      </w:r>
      <w:r w:rsidR="006D3F6B" w:rsidRPr="00640348">
        <w:t xml:space="preserve"> </w:t>
      </w:r>
      <w:r w:rsidR="00025E57">
        <w:t>china de las provincias</w:t>
      </w:r>
      <w:r w:rsidR="004B541A">
        <w:t xml:space="preserve"> con ingresos más altos.</w:t>
      </w:r>
    </w:p>
    <w:p w:rsidR="00FE1894" w:rsidRPr="00640348" w:rsidRDefault="006D3F6B" w:rsidP="00025E57">
      <w:pPr>
        <w:pStyle w:val="a0"/>
      </w:pPr>
      <w:r w:rsidRPr="00640348">
        <w:t>En las regiones Centrales-Occidentales y el Noreste de China que son económicamente subdesarrollados, el ingreso anual promedio es relativamente bajo, ya que la provincia de Liaoning (33.516,00RMB), la provincia Sichuan (35.592,00</w:t>
      </w:r>
      <w:r w:rsidR="000731CF">
        <w:t xml:space="preserve"> </w:t>
      </w:r>
      <w:r w:rsidRPr="00640348">
        <w:t xml:space="preserve">RMB). Pero en los últimos años, el gobierno chino está fomentando las políticas de empleo y el desarrollo económico en la región Oeste. El salario promedio de la región del Oeste de </w:t>
      </w:r>
      <w:proofErr w:type="spellStart"/>
      <w:r w:rsidRPr="00640348">
        <w:t>Xinjiang</w:t>
      </w:r>
      <w:proofErr w:type="spellEnd"/>
      <w:r w:rsidRPr="00640348">
        <w:t xml:space="preserve"> y el Tíbet está incrementando sustancialmente.</w:t>
      </w:r>
    </w:p>
    <w:p w:rsidR="0022212C" w:rsidRPr="00881AB8" w:rsidRDefault="0022212C" w:rsidP="006D3F6B">
      <w:pPr>
        <w:spacing w:line="220" w:lineRule="atLeast"/>
        <w:rPr>
          <w:rFonts w:ascii="Times New Roman" w:hAnsi="Times New Roman" w:cs="Times New Roman"/>
          <w:lang w:val="es-ES_tradnl"/>
        </w:rPr>
      </w:pPr>
    </w:p>
    <w:p w:rsidR="00516320" w:rsidRPr="00640348" w:rsidRDefault="00516320" w:rsidP="00516320">
      <w:pPr>
        <w:pStyle w:val="a3"/>
      </w:pPr>
      <w:r>
        <w:lastRenderedPageBreak/>
        <w:t>Figura 1</w:t>
      </w:r>
      <w:r w:rsidR="0099757F">
        <w:t>8</w:t>
      </w:r>
      <w:r>
        <w:t>: Distribución territorial de los salarios medios en España</w:t>
      </w:r>
      <w:r w:rsidRPr="00640348">
        <w:t xml:space="preserve"> </w:t>
      </w:r>
      <w:r>
        <w:t>(</w:t>
      </w:r>
      <w:r w:rsidRPr="00640348">
        <w:t>2013</w:t>
      </w:r>
      <w:r>
        <w:t>)</w:t>
      </w:r>
    </w:p>
    <w:p w:rsidR="006D3F6B" w:rsidRPr="00881AB8" w:rsidRDefault="006D3F6B" w:rsidP="006D3F6B">
      <w:pPr>
        <w:spacing w:line="220" w:lineRule="atLeast"/>
        <w:rPr>
          <w:rFonts w:ascii="Times New Roman" w:hAnsi="Times New Roman" w:cs="Times New Roman"/>
          <w:lang w:val="es-ES_tradnl"/>
        </w:rPr>
      </w:pPr>
    </w:p>
    <w:p w:rsidR="006D3F6B" w:rsidRPr="00881AB8" w:rsidRDefault="006D3F6B" w:rsidP="006D3F6B">
      <w:pPr>
        <w:spacing w:line="220" w:lineRule="atLeast"/>
        <w:rPr>
          <w:rFonts w:ascii="Times New Roman" w:hAnsi="Times New Roman" w:cs="Times New Roman"/>
          <w:lang w:val="es-ES_tradnl"/>
        </w:rPr>
      </w:pPr>
      <w:r w:rsidRPr="00881AB8">
        <w:rPr>
          <w:rFonts w:ascii="Times New Roman" w:hAnsi="Times New Roman" w:cs="Times New Roman"/>
          <w:noProof/>
          <w:lang w:val="es-ES" w:eastAsia="es-ES"/>
        </w:rPr>
        <w:drawing>
          <wp:inline distT="0" distB="0" distL="0" distR="0" wp14:anchorId="685B7ADC" wp14:editId="18853B84">
            <wp:extent cx="5274310" cy="3248025"/>
            <wp:effectExtent l="19050" t="0" r="2540" b="0"/>
            <wp:docPr id="35" name="图片 15" descr="map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png"/>
                    <pic:cNvPicPr/>
                  </pic:nvPicPr>
                  <pic:blipFill>
                    <a:blip r:embed="rId32" cstate="print"/>
                    <a:stretch>
                      <a:fillRect/>
                    </a:stretch>
                  </pic:blipFill>
                  <pic:spPr>
                    <a:xfrm>
                      <a:off x="0" y="0"/>
                      <a:ext cx="5274310" cy="3248025"/>
                    </a:xfrm>
                    <a:prstGeom prst="rect">
                      <a:avLst/>
                    </a:prstGeom>
                  </pic:spPr>
                </pic:pic>
              </a:graphicData>
            </a:graphic>
          </wp:inline>
        </w:drawing>
      </w:r>
    </w:p>
    <w:p w:rsidR="006D3F6B" w:rsidRPr="00881AB8" w:rsidRDefault="006D3F6B" w:rsidP="006D3F6B">
      <w:pPr>
        <w:spacing w:line="220" w:lineRule="atLeast"/>
        <w:rPr>
          <w:rFonts w:ascii="Times New Roman" w:hAnsi="Times New Roman" w:cs="Times New Roman"/>
          <w:lang w:val="es-ES_tradnl"/>
        </w:rPr>
      </w:pPr>
    </w:p>
    <w:p w:rsidR="006D3F6B" w:rsidRPr="00881AB8" w:rsidRDefault="006D3F6B" w:rsidP="006D3F6B">
      <w:pPr>
        <w:spacing w:line="220" w:lineRule="atLeast"/>
        <w:rPr>
          <w:rFonts w:ascii="Times New Roman" w:hAnsi="Times New Roman" w:cs="Times New Roman"/>
          <w:lang w:val="es-ES_tradnl"/>
        </w:rPr>
      </w:pPr>
      <w:r w:rsidRPr="00881AB8">
        <w:rPr>
          <w:rFonts w:ascii="Times New Roman" w:hAnsi="Times New Roman" w:cs="Times New Roman"/>
          <w:noProof/>
          <w:lang w:val="es-ES" w:eastAsia="es-ES"/>
        </w:rPr>
        <w:drawing>
          <wp:inline distT="0" distB="0" distL="0" distR="0" wp14:anchorId="4A48F884" wp14:editId="6C72B751">
            <wp:extent cx="4095750" cy="3413125"/>
            <wp:effectExtent l="19050" t="0" r="0" b="0"/>
            <wp:docPr id="3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srcRect/>
                    <a:stretch>
                      <a:fillRect/>
                    </a:stretch>
                  </pic:blipFill>
                  <pic:spPr bwMode="auto">
                    <a:xfrm>
                      <a:off x="0" y="0"/>
                      <a:ext cx="4101966" cy="3418305"/>
                    </a:xfrm>
                    <a:prstGeom prst="rect">
                      <a:avLst/>
                    </a:prstGeom>
                    <a:noFill/>
                    <a:ln w="9525">
                      <a:noFill/>
                      <a:miter lim="800000"/>
                      <a:headEnd/>
                      <a:tailEnd/>
                    </a:ln>
                  </pic:spPr>
                </pic:pic>
              </a:graphicData>
            </a:graphic>
          </wp:inline>
        </w:drawing>
      </w:r>
    </w:p>
    <w:p w:rsidR="0092619A" w:rsidRPr="004B541A" w:rsidRDefault="0068113E" w:rsidP="004B541A">
      <w:pPr>
        <w:pStyle w:val="NoSpacing"/>
        <w:spacing w:line="360" w:lineRule="auto"/>
        <w:jc w:val="both"/>
        <w:rPr>
          <w:rFonts w:ascii="Times New Roman" w:hAnsi="Times New Roman" w:cs="Times New Roman"/>
          <w:bCs/>
          <w:sz w:val="24"/>
          <w:szCs w:val="20"/>
        </w:rPr>
      </w:pPr>
      <w:r w:rsidRPr="004B541A">
        <w:rPr>
          <w:rFonts w:ascii="Times New Roman" w:hAnsi="Times New Roman" w:cs="Times New Roman"/>
          <w:sz w:val="24"/>
          <w:szCs w:val="20"/>
        </w:rPr>
        <w:t xml:space="preserve">Fuente: </w:t>
      </w:r>
      <w:r w:rsidR="00025E57" w:rsidRPr="00025E57">
        <w:rPr>
          <w:rFonts w:ascii="Times New Roman" w:hAnsi="Times New Roman" w:cs="Times New Roman"/>
          <w:i/>
          <w:sz w:val="24"/>
          <w:szCs w:val="20"/>
        </w:rPr>
        <w:t>La</w:t>
      </w:r>
      <w:r w:rsidRPr="00025E57">
        <w:rPr>
          <w:rFonts w:ascii="Times New Roman" w:hAnsi="Times New Roman" w:cs="Times New Roman"/>
          <w:i/>
          <w:sz w:val="24"/>
          <w:szCs w:val="20"/>
        </w:rPr>
        <w:t xml:space="preserve"> </w:t>
      </w:r>
      <w:r w:rsidR="00025E57" w:rsidRPr="00025E57">
        <w:rPr>
          <w:rFonts w:ascii="Times New Roman" w:hAnsi="Times New Roman" w:cs="Times New Roman"/>
          <w:i/>
          <w:sz w:val="24"/>
          <w:szCs w:val="20"/>
        </w:rPr>
        <w:t>V</w:t>
      </w:r>
      <w:r w:rsidR="0092619A" w:rsidRPr="00025E57">
        <w:rPr>
          <w:rFonts w:ascii="Times New Roman" w:hAnsi="Times New Roman" w:cs="Times New Roman"/>
          <w:i/>
          <w:sz w:val="24"/>
          <w:szCs w:val="20"/>
        </w:rPr>
        <w:t>anguardia</w:t>
      </w:r>
      <w:r w:rsidR="004B541A">
        <w:rPr>
          <w:rFonts w:ascii="Times New Roman" w:hAnsi="Times New Roman" w:cs="Times New Roman" w:hint="eastAsia"/>
          <w:sz w:val="24"/>
          <w:szCs w:val="20"/>
        </w:rPr>
        <w:t xml:space="preserve"> </w:t>
      </w:r>
      <w:r w:rsidR="0092619A" w:rsidRPr="004B541A">
        <w:rPr>
          <w:rFonts w:ascii="Times New Roman" w:hAnsi="Times New Roman" w:cs="Times New Roman"/>
          <w:sz w:val="24"/>
          <w:szCs w:val="20"/>
        </w:rPr>
        <w:t>(2015),</w:t>
      </w:r>
      <w:r w:rsidR="0092619A" w:rsidRPr="004B541A">
        <w:rPr>
          <w:rFonts w:ascii="Times New Roman" w:eastAsia="SimSun" w:hAnsi="Times New Roman" w:cs="Times New Roman"/>
          <w:color w:val="000000"/>
          <w:kern w:val="36"/>
          <w:sz w:val="24"/>
          <w:szCs w:val="20"/>
        </w:rPr>
        <w:t xml:space="preserve"> </w:t>
      </w:r>
      <w:r w:rsidR="00025E57">
        <w:rPr>
          <w:rFonts w:ascii="Times New Roman" w:eastAsia="SimSun" w:hAnsi="Times New Roman" w:cs="Times New Roman"/>
          <w:color w:val="000000"/>
          <w:kern w:val="36"/>
          <w:sz w:val="24"/>
          <w:szCs w:val="20"/>
        </w:rPr>
        <w:t>“</w:t>
      </w:r>
      <w:r w:rsidR="0092619A" w:rsidRPr="004B541A">
        <w:rPr>
          <w:rFonts w:ascii="Times New Roman" w:hAnsi="Times New Roman" w:cs="Times New Roman"/>
          <w:bCs/>
          <w:sz w:val="24"/>
          <w:szCs w:val="20"/>
        </w:rPr>
        <w:t>Ranking de salarios en España por s</w:t>
      </w:r>
      <w:r w:rsidR="00025E57">
        <w:rPr>
          <w:rFonts w:ascii="Times New Roman" w:hAnsi="Times New Roman" w:cs="Times New Roman"/>
          <w:bCs/>
          <w:sz w:val="24"/>
          <w:szCs w:val="20"/>
        </w:rPr>
        <w:t xml:space="preserve">exo, sector y comunidad autónoma”. </w:t>
      </w:r>
    </w:p>
    <w:p w:rsidR="0068113E" w:rsidRDefault="0068113E" w:rsidP="006D3F6B">
      <w:pPr>
        <w:pStyle w:val="NoSpacing"/>
        <w:spacing w:line="360" w:lineRule="auto"/>
        <w:jc w:val="both"/>
        <w:rPr>
          <w:rFonts w:ascii="Times New Roman" w:hAnsi="Times New Roman" w:cs="Times New Roman"/>
          <w:sz w:val="24"/>
          <w:szCs w:val="24"/>
        </w:rPr>
      </w:pPr>
    </w:p>
    <w:p w:rsidR="006F13E6" w:rsidRDefault="006D3F6B" w:rsidP="00025E57">
      <w:pPr>
        <w:pStyle w:val="a0"/>
      </w:pPr>
      <w:r w:rsidRPr="00640348">
        <w:lastRenderedPageBreak/>
        <w:t xml:space="preserve">Las disparidades </w:t>
      </w:r>
      <w:r w:rsidR="00123F0D">
        <w:t>regionales de España en salario</w:t>
      </w:r>
      <w:r w:rsidRPr="00640348">
        <w:t xml:space="preserve"> medio también son muy claras: el salario medio en el País Vasco es casi 8.000 euros superior al de Extremadura y </w:t>
      </w:r>
      <w:r w:rsidR="00123F0D">
        <w:rPr>
          <w:rFonts w:hint="eastAsia"/>
        </w:rPr>
        <w:t xml:space="preserve">de </w:t>
      </w:r>
      <w:r w:rsidRPr="00640348">
        <w:t>Canarias. Los salarios mensuales promedios</w:t>
      </w:r>
      <w:r w:rsidR="00123F0D">
        <w:t xml:space="preserve"> de las provincias costeras y </w:t>
      </w:r>
      <w:r w:rsidR="00123F0D">
        <w:rPr>
          <w:rFonts w:hint="eastAsia"/>
        </w:rPr>
        <w:t>el</w:t>
      </w:r>
      <w:r w:rsidRPr="00640348">
        <w:t xml:space="preserve"> capital madr</w:t>
      </w:r>
      <w:r w:rsidR="00123F0D">
        <w:t>ileñ</w:t>
      </w:r>
      <w:r w:rsidR="00123F0D">
        <w:rPr>
          <w:rFonts w:hint="eastAsia"/>
        </w:rPr>
        <w:t>o</w:t>
      </w:r>
      <w:r w:rsidRPr="00640348">
        <w:t xml:space="preserve"> en zonas económicamente desarr</w:t>
      </w:r>
      <w:r w:rsidR="00123F0D">
        <w:t>ollados es generalmente más alt</w:t>
      </w:r>
      <w:r w:rsidR="00123F0D">
        <w:rPr>
          <w:rFonts w:hint="eastAsia"/>
        </w:rPr>
        <w:t>o</w:t>
      </w:r>
      <w:r w:rsidRPr="00640348">
        <w:t xml:space="preserve"> que en otras regiones.</w:t>
      </w:r>
      <w:r w:rsidR="008D44FE">
        <w:t xml:space="preserve"> Sin embargo, el contaste entre las regiones no es tan pronunciado como en China. En efecto, la diferencia de media salarial entre Extremadura (la región con media de salarios más baja) y País Vasco (la región con media de salarios más alta) es de 7.786 €, lo que representa una diferencia del orden del 40,7%. En China, la diferencia de media salarial entre </w:t>
      </w:r>
      <w:proofErr w:type="spellStart"/>
      <w:r w:rsidR="008D44FE">
        <w:t>Ha’erbing</w:t>
      </w:r>
      <w:proofErr w:type="spellEnd"/>
      <w:r w:rsidR="008D44FE">
        <w:t xml:space="preserve"> (la región con media de salarios más baja) y Shanghái (la región con media de salarios más alta) es de</w:t>
      </w:r>
      <w:r w:rsidR="000E36A3">
        <w:t xml:space="preserve"> 58.704 RMB, lo que representa una diferencia del orden del 220,3%.</w:t>
      </w:r>
    </w:p>
    <w:p w:rsidR="000E36A3" w:rsidRDefault="000E36A3" w:rsidP="00025E57">
      <w:pPr>
        <w:pStyle w:val="a0"/>
      </w:pPr>
      <w:r w:rsidRPr="000E36A3">
        <w:rPr>
          <w:i/>
        </w:rPr>
        <w:t>Conclusión:</w:t>
      </w:r>
      <w:r>
        <w:t xml:space="preserve"> China es un país marcado por una gran diferencia regional. La remuneración media del factor trabajo varía de manera considerable de una región a otra. En España, existen diferencias regionales, pero no son tan grandes, lo que muestra un país que ha conseguido un desarrollo relativamente armonioso y equilibrado.  </w:t>
      </w:r>
    </w:p>
    <w:p w:rsidR="00025E57" w:rsidRDefault="00025E57" w:rsidP="00025E57">
      <w:pPr>
        <w:pStyle w:val="Heading2"/>
      </w:pPr>
      <w:bookmarkStart w:id="58" w:name="_Toc471215319"/>
      <w:r>
        <w:t xml:space="preserve">3.6. </w:t>
      </w:r>
      <w:r w:rsidR="00B224A4">
        <w:t>D</w:t>
      </w:r>
      <w:r>
        <w:t>esempleo</w:t>
      </w:r>
      <w:bookmarkEnd w:id="58"/>
    </w:p>
    <w:p w:rsidR="00743C3E" w:rsidRDefault="00025E57" w:rsidP="00743C3E">
      <w:pPr>
        <w:pStyle w:val="a0"/>
      </w:pPr>
      <w:r>
        <w:t>La tasa de desempleo es un indicador macroeconómico muy importante para el estudio del mercado laboral. Sus resultados orientan en buena medida las políticas institucionales.</w:t>
      </w:r>
      <w:r w:rsidR="00743C3E">
        <w:t xml:space="preserve"> </w:t>
      </w:r>
    </w:p>
    <w:p w:rsidR="00025E57" w:rsidRDefault="00743C3E" w:rsidP="00743C3E">
      <w:pPr>
        <w:pStyle w:val="a0"/>
      </w:pPr>
      <w:r>
        <w:t>Para este indicador, de manera a comprar entre los dos países, se utilizan los datos del Banco Mundial. Hay que subrayar que existe una diferencia entre los datos de desempleos proporcionados por la Oficina Nacional de Estadísticas de China y el Banco Mund</w:t>
      </w:r>
      <w:r w:rsidR="0008433A">
        <w:t>ial (por ejemplo, en el año 2014</w:t>
      </w:r>
      <w:r>
        <w:t xml:space="preserve">, la tasa desempleo en China es de </w:t>
      </w:r>
      <w:r w:rsidRPr="00743C3E">
        <w:t>3,4%</w:t>
      </w:r>
      <w:r>
        <w:t xml:space="preserve"> según </w:t>
      </w:r>
      <w:proofErr w:type="spellStart"/>
      <w:r w:rsidRPr="00743C3E">
        <w:t>National</w:t>
      </w:r>
      <w:proofErr w:type="spellEnd"/>
      <w:r w:rsidRPr="00743C3E">
        <w:t xml:space="preserve"> Bureau of </w:t>
      </w:r>
      <w:proofErr w:type="spellStart"/>
      <w:r w:rsidRPr="00743C3E">
        <w:t>Statistics</w:t>
      </w:r>
      <w:proofErr w:type="spellEnd"/>
      <w:r w:rsidRPr="00743C3E">
        <w:t xml:space="preserve"> of China</w:t>
      </w:r>
      <w:r>
        <w:t>, y de 4,7% según el Banco Mundial).</w:t>
      </w:r>
    </w:p>
    <w:p w:rsidR="00743C3E" w:rsidRDefault="00743C3E" w:rsidP="00743C3E">
      <w:pPr>
        <w:pStyle w:val="a0"/>
      </w:pPr>
    </w:p>
    <w:p w:rsidR="00743C3E" w:rsidRDefault="00743C3E" w:rsidP="00743C3E">
      <w:pPr>
        <w:pStyle w:val="a0"/>
      </w:pPr>
    </w:p>
    <w:tbl>
      <w:tblPr>
        <w:tblStyle w:val="TableGrid"/>
        <w:tblW w:w="0" w:type="auto"/>
        <w:tblLook w:val="04A0" w:firstRow="1" w:lastRow="0" w:firstColumn="1" w:lastColumn="0" w:noHBand="0" w:noVBand="1"/>
      </w:tblPr>
      <w:tblGrid>
        <w:gridCol w:w="2304"/>
        <w:gridCol w:w="2304"/>
        <w:gridCol w:w="2304"/>
      </w:tblGrid>
      <w:tr w:rsidR="005A1B91" w:rsidTr="0008433A">
        <w:tc>
          <w:tcPr>
            <w:tcW w:w="6912" w:type="dxa"/>
            <w:gridSpan w:val="3"/>
            <w:shd w:val="clear" w:color="auto" w:fill="D9D9D9" w:themeFill="background1" w:themeFillShade="D9"/>
            <w:vAlign w:val="center"/>
          </w:tcPr>
          <w:p w:rsidR="005A1B91" w:rsidRPr="000A3938" w:rsidRDefault="005A1B91" w:rsidP="0008433A">
            <w:pPr>
              <w:pStyle w:val="a1"/>
              <w:spacing w:after="0" w:line="240" w:lineRule="auto"/>
              <w:jc w:val="center"/>
              <w:rPr>
                <w:b/>
              </w:rPr>
            </w:pPr>
            <w:r>
              <w:rPr>
                <w:b/>
              </w:rPr>
              <w:lastRenderedPageBreak/>
              <w:t xml:space="preserve">Tasa de desempleo </w:t>
            </w:r>
          </w:p>
        </w:tc>
      </w:tr>
      <w:tr w:rsidR="005A1B91" w:rsidTr="0008433A">
        <w:tc>
          <w:tcPr>
            <w:tcW w:w="2304" w:type="dxa"/>
            <w:vAlign w:val="center"/>
          </w:tcPr>
          <w:p w:rsidR="005A1B91" w:rsidRPr="00A9653F" w:rsidRDefault="005A1B91" w:rsidP="0008433A">
            <w:pPr>
              <w:pStyle w:val="a1"/>
              <w:spacing w:after="0" w:line="240" w:lineRule="auto"/>
              <w:jc w:val="center"/>
              <w:rPr>
                <w:b/>
              </w:rPr>
            </w:pPr>
            <w:r w:rsidRPr="00A9653F">
              <w:rPr>
                <w:b/>
              </w:rPr>
              <w:t>Año</w:t>
            </w:r>
          </w:p>
        </w:tc>
        <w:tc>
          <w:tcPr>
            <w:tcW w:w="2304" w:type="dxa"/>
            <w:vAlign w:val="center"/>
          </w:tcPr>
          <w:p w:rsidR="005A1B91" w:rsidRPr="00A9653F" w:rsidRDefault="005A1B91" w:rsidP="0008433A">
            <w:pPr>
              <w:pStyle w:val="a1"/>
              <w:spacing w:after="0" w:line="240" w:lineRule="auto"/>
              <w:jc w:val="center"/>
              <w:rPr>
                <w:b/>
              </w:rPr>
            </w:pPr>
            <w:r>
              <w:rPr>
                <w:b/>
              </w:rPr>
              <w:t>España</w:t>
            </w:r>
          </w:p>
        </w:tc>
        <w:tc>
          <w:tcPr>
            <w:tcW w:w="2304" w:type="dxa"/>
            <w:vAlign w:val="center"/>
          </w:tcPr>
          <w:p w:rsidR="005A1B91" w:rsidRPr="00A9653F" w:rsidRDefault="005A1B91" w:rsidP="0008433A">
            <w:pPr>
              <w:pStyle w:val="a1"/>
              <w:spacing w:after="0" w:line="240" w:lineRule="auto"/>
              <w:jc w:val="center"/>
              <w:rPr>
                <w:b/>
              </w:rPr>
            </w:pPr>
            <w:r>
              <w:rPr>
                <w:b/>
              </w:rPr>
              <w:t>China</w:t>
            </w:r>
          </w:p>
        </w:tc>
      </w:tr>
      <w:tr w:rsidR="005A1B91" w:rsidTr="0008433A">
        <w:tc>
          <w:tcPr>
            <w:tcW w:w="2304" w:type="dxa"/>
            <w:vAlign w:val="center"/>
          </w:tcPr>
          <w:p w:rsidR="005A1B91" w:rsidRDefault="005A1B91" w:rsidP="0008433A">
            <w:pPr>
              <w:pStyle w:val="a1"/>
              <w:spacing w:after="0" w:line="240" w:lineRule="auto"/>
              <w:jc w:val="center"/>
            </w:pPr>
            <w:r>
              <w:t>2000</w:t>
            </w:r>
          </w:p>
        </w:tc>
        <w:tc>
          <w:tcPr>
            <w:tcW w:w="2304" w:type="dxa"/>
          </w:tcPr>
          <w:p w:rsidR="005A1B91" w:rsidRPr="005A1B91" w:rsidRDefault="005A1B91" w:rsidP="005A1B91">
            <w:pPr>
              <w:jc w:val="center"/>
              <w:rPr>
                <w:rFonts w:ascii="Times New Roman" w:hAnsi="Times New Roman" w:cs="Times New Roman"/>
              </w:rPr>
            </w:pPr>
            <w:r w:rsidRPr="005A1B91">
              <w:rPr>
                <w:rFonts w:ascii="Times New Roman" w:hAnsi="Times New Roman" w:cs="Times New Roman"/>
              </w:rPr>
              <w:t>14,20%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4,50%</w:t>
            </w:r>
          </w:p>
        </w:tc>
      </w:tr>
      <w:tr w:rsidR="005A1B91" w:rsidTr="0008433A">
        <w:tc>
          <w:tcPr>
            <w:tcW w:w="2304" w:type="dxa"/>
            <w:vAlign w:val="center"/>
          </w:tcPr>
          <w:p w:rsidR="005A1B91" w:rsidRDefault="005A1B91" w:rsidP="0008433A">
            <w:pPr>
              <w:pStyle w:val="a1"/>
              <w:spacing w:after="0" w:line="240" w:lineRule="auto"/>
              <w:jc w:val="center"/>
            </w:pPr>
            <w:r>
              <w:t>2001</w:t>
            </w:r>
          </w:p>
        </w:tc>
        <w:tc>
          <w:tcPr>
            <w:tcW w:w="2304" w:type="dxa"/>
          </w:tcPr>
          <w:p w:rsidR="005A1B91" w:rsidRPr="005A1B91" w:rsidRDefault="005A1B91" w:rsidP="005A1B91">
            <w:pPr>
              <w:jc w:val="center"/>
              <w:rPr>
                <w:rFonts w:ascii="Times New Roman" w:hAnsi="Times New Roman" w:cs="Times New Roman"/>
              </w:rPr>
            </w:pPr>
            <w:r w:rsidRPr="005A1B91">
              <w:rPr>
                <w:rFonts w:ascii="Times New Roman" w:hAnsi="Times New Roman" w:cs="Times New Roman"/>
              </w:rPr>
              <w:t>10,70%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4,50%</w:t>
            </w:r>
          </w:p>
        </w:tc>
      </w:tr>
      <w:tr w:rsidR="005A1B91" w:rsidTr="0008433A">
        <w:tc>
          <w:tcPr>
            <w:tcW w:w="2304" w:type="dxa"/>
            <w:vAlign w:val="center"/>
          </w:tcPr>
          <w:p w:rsidR="005A1B91" w:rsidRDefault="005A1B91" w:rsidP="0008433A">
            <w:pPr>
              <w:pStyle w:val="a1"/>
              <w:spacing w:after="0" w:line="240" w:lineRule="auto"/>
              <w:jc w:val="center"/>
            </w:pPr>
            <w:r>
              <w:t>2002</w:t>
            </w:r>
          </w:p>
        </w:tc>
        <w:tc>
          <w:tcPr>
            <w:tcW w:w="2304" w:type="dxa"/>
          </w:tcPr>
          <w:p w:rsidR="005A1B91" w:rsidRPr="005A1B91" w:rsidRDefault="005A1B91" w:rsidP="005A1B91">
            <w:pPr>
              <w:jc w:val="center"/>
              <w:rPr>
                <w:rFonts w:ascii="Times New Roman" w:hAnsi="Times New Roman" w:cs="Times New Roman"/>
              </w:rPr>
            </w:pPr>
            <w:r w:rsidRPr="005A1B91">
              <w:rPr>
                <w:rFonts w:ascii="Times New Roman" w:hAnsi="Times New Roman" w:cs="Times New Roman"/>
              </w:rPr>
              <w:t>11,60%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4,40%</w:t>
            </w:r>
          </w:p>
        </w:tc>
      </w:tr>
      <w:tr w:rsidR="005A1B91" w:rsidTr="0008433A">
        <w:tc>
          <w:tcPr>
            <w:tcW w:w="2304" w:type="dxa"/>
            <w:vAlign w:val="center"/>
          </w:tcPr>
          <w:p w:rsidR="005A1B91" w:rsidRDefault="005A1B91" w:rsidP="0008433A">
            <w:pPr>
              <w:pStyle w:val="a1"/>
              <w:spacing w:after="0" w:line="240" w:lineRule="auto"/>
              <w:jc w:val="center"/>
            </w:pPr>
            <w:r>
              <w:t>2003</w:t>
            </w:r>
          </w:p>
        </w:tc>
        <w:tc>
          <w:tcPr>
            <w:tcW w:w="2304" w:type="dxa"/>
          </w:tcPr>
          <w:p w:rsidR="005A1B91" w:rsidRPr="005A1B91" w:rsidRDefault="005A1B91" w:rsidP="005A1B91">
            <w:pPr>
              <w:jc w:val="center"/>
              <w:rPr>
                <w:rFonts w:ascii="Times New Roman" w:hAnsi="Times New Roman" w:cs="Times New Roman"/>
              </w:rPr>
            </w:pPr>
            <w:r w:rsidRPr="005A1B91">
              <w:rPr>
                <w:rFonts w:ascii="Times New Roman" w:hAnsi="Times New Roman" w:cs="Times New Roman"/>
              </w:rPr>
              <w:t>11,50%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4,30%</w:t>
            </w:r>
          </w:p>
        </w:tc>
      </w:tr>
      <w:tr w:rsidR="005A1B91" w:rsidTr="0008433A">
        <w:tc>
          <w:tcPr>
            <w:tcW w:w="2304" w:type="dxa"/>
            <w:vAlign w:val="center"/>
          </w:tcPr>
          <w:p w:rsidR="005A1B91" w:rsidRDefault="005A1B91" w:rsidP="0008433A">
            <w:pPr>
              <w:pStyle w:val="a1"/>
              <w:spacing w:after="0" w:line="240" w:lineRule="auto"/>
              <w:jc w:val="center"/>
            </w:pPr>
            <w:r>
              <w:t>2004</w:t>
            </w:r>
          </w:p>
        </w:tc>
        <w:tc>
          <w:tcPr>
            <w:tcW w:w="2304" w:type="dxa"/>
          </w:tcPr>
          <w:p w:rsidR="005A1B91" w:rsidRPr="005A1B91" w:rsidRDefault="005A1B91" w:rsidP="005A1B91">
            <w:pPr>
              <w:jc w:val="center"/>
              <w:rPr>
                <w:rFonts w:ascii="Times New Roman" w:hAnsi="Times New Roman" w:cs="Times New Roman"/>
              </w:rPr>
            </w:pPr>
            <w:r w:rsidRPr="005A1B91">
              <w:rPr>
                <w:rFonts w:ascii="Times New Roman" w:hAnsi="Times New Roman" w:cs="Times New Roman"/>
              </w:rPr>
              <w:t>11,20%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4,30%</w:t>
            </w:r>
          </w:p>
        </w:tc>
      </w:tr>
      <w:tr w:rsidR="005A1B91" w:rsidTr="0008433A">
        <w:tc>
          <w:tcPr>
            <w:tcW w:w="2304" w:type="dxa"/>
            <w:vAlign w:val="center"/>
          </w:tcPr>
          <w:p w:rsidR="005A1B91" w:rsidRDefault="005A1B91" w:rsidP="0008433A">
            <w:pPr>
              <w:pStyle w:val="a1"/>
              <w:spacing w:after="0" w:line="240" w:lineRule="auto"/>
              <w:jc w:val="center"/>
            </w:pPr>
            <w:r>
              <w:t>2005</w:t>
            </w:r>
          </w:p>
        </w:tc>
        <w:tc>
          <w:tcPr>
            <w:tcW w:w="2304" w:type="dxa"/>
          </w:tcPr>
          <w:p w:rsidR="005A1B91" w:rsidRPr="005A1B91" w:rsidRDefault="005A1B91" w:rsidP="005A1B91">
            <w:pPr>
              <w:jc w:val="center"/>
              <w:rPr>
                <w:rFonts w:ascii="Times New Roman" w:hAnsi="Times New Roman" w:cs="Times New Roman"/>
              </w:rPr>
            </w:pPr>
            <w:r w:rsidRPr="005A1B91">
              <w:rPr>
                <w:rFonts w:ascii="Times New Roman" w:hAnsi="Times New Roman" w:cs="Times New Roman"/>
              </w:rPr>
              <w:t>9,30%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4,10%</w:t>
            </w:r>
          </w:p>
        </w:tc>
      </w:tr>
      <w:tr w:rsidR="005A1B91" w:rsidTr="0008433A">
        <w:tc>
          <w:tcPr>
            <w:tcW w:w="2304" w:type="dxa"/>
            <w:vAlign w:val="center"/>
          </w:tcPr>
          <w:p w:rsidR="005A1B91" w:rsidRDefault="005A1B91" w:rsidP="0008433A">
            <w:pPr>
              <w:pStyle w:val="a1"/>
              <w:spacing w:after="0" w:line="240" w:lineRule="auto"/>
              <w:jc w:val="center"/>
            </w:pPr>
            <w:r>
              <w:t>2006</w:t>
            </w:r>
          </w:p>
        </w:tc>
        <w:tc>
          <w:tcPr>
            <w:tcW w:w="2304" w:type="dxa"/>
          </w:tcPr>
          <w:p w:rsidR="005A1B91" w:rsidRPr="005A1B91" w:rsidRDefault="005A1B91" w:rsidP="005A1B91">
            <w:pPr>
              <w:jc w:val="center"/>
              <w:rPr>
                <w:rFonts w:ascii="Times New Roman" w:hAnsi="Times New Roman" w:cs="Times New Roman"/>
              </w:rPr>
            </w:pPr>
            <w:r w:rsidRPr="005A1B91">
              <w:rPr>
                <w:rFonts w:ascii="Times New Roman" w:hAnsi="Times New Roman" w:cs="Times New Roman"/>
              </w:rPr>
              <w:t>8,60%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4,00%</w:t>
            </w:r>
          </w:p>
        </w:tc>
      </w:tr>
      <w:tr w:rsidR="005A1B91" w:rsidTr="0008433A">
        <w:tc>
          <w:tcPr>
            <w:tcW w:w="2304" w:type="dxa"/>
            <w:vAlign w:val="center"/>
          </w:tcPr>
          <w:p w:rsidR="005A1B91" w:rsidRDefault="005A1B91" w:rsidP="0008433A">
            <w:pPr>
              <w:pStyle w:val="a1"/>
              <w:spacing w:after="0" w:line="240" w:lineRule="auto"/>
              <w:jc w:val="center"/>
            </w:pPr>
            <w:r>
              <w:t>2007</w:t>
            </w:r>
          </w:p>
        </w:tc>
        <w:tc>
          <w:tcPr>
            <w:tcW w:w="2304" w:type="dxa"/>
          </w:tcPr>
          <w:p w:rsidR="005A1B91" w:rsidRPr="005A1B91" w:rsidRDefault="005A1B91" w:rsidP="005A1B91">
            <w:pPr>
              <w:jc w:val="center"/>
              <w:rPr>
                <w:rFonts w:ascii="Times New Roman" w:hAnsi="Times New Roman" w:cs="Times New Roman"/>
              </w:rPr>
            </w:pPr>
            <w:r w:rsidRPr="005A1B91">
              <w:rPr>
                <w:rFonts w:ascii="Times New Roman" w:hAnsi="Times New Roman" w:cs="Times New Roman"/>
              </w:rPr>
              <w:t>8,40%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3,80%</w:t>
            </w:r>
          </w:p>
        </w:tc>
      </w:tr>
      <w:tr w:rsidR="005A1B91" w:rsidTr="0008433A">
        <w:tc>
          <w:tcPr>
            <w:tcW w:w="2304" w:type="dxa"/>
            <w:vAlign w:val="center"/>
          </w:tcPr>
          <w:p w:rsidR="005A1B91" w:rsidRDefault="005A1B91" w:rsidP="0008433A">
            <w:pPr>
              <w:pStyle w:val="a1"/>
              <w:spacing w:after="0" w:line="240" w:lineRule="auto"/>
              <w:jc w:val="center"/>
            </w:pPr>
            <w:r>
              <w:t>2008</w:t>
            </w:r>
          </w:p>
        </w:tc>
        <w:tc>
          <w:tcPr>
            <w:tcW w:w="2304" w:type="dxa"/>
          </w:tcPr>
          <w:p w:rsidR="005A1B91" w:rsidRPr="005A1B91" w:rsidRDefault="005A1B91" w:rsidP="005A1B91">
            <w:pPr>
              <w:jc w:val="center"/>
              <w:rPr>
                <w:rFonts w:ascii="Times New Roman" w:hAnsi="Times New Roman" w:cs="Times New Roman"/>
              </w:rPr>
            </w:pPr>
            <w:r w:rsidRPr="005A1B91">
              <w:rPr>
                <w:rFonts w:ascii="Times New Roman" w:hAnsi="Times New Roman" w:cs="Times New Roman"/>
              </w:rPr>
              <w:t>11,50%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4,40%</w:t>
            </w:r>
          </w:p>
        </w:tc>
      </w:tr>
      <w:tr w:rsidR="005A1B91" w:rsidTr="0008433A">
        <w:tc>
          <w:tcPr>
            <w:tcW w:w="2304" w:type="dxa"/>
            <w:vAlign w:val="center"/>
          </w:tcPr>
          <w:p w:rsidR="005A1B91" w:rsidRDefault="005A1B91" w:rsidP="0008433A">
            <w:pPr>
              <w:pStyle w:val="a1"/>
              <w:spacing w:after="0" w:line="240" w:lineRule="auto"/>
              <w:jc w:val="center"/>
            </w:pPr>
            <w:r>
              <w:t>2009</w:t>
            </w:r>
          </w:p>
        </w:tc>
        <w:tc>
          <w:tcPr>
            <w:tcW w:w="2304" w:type="dxa"/>
          </w:tcPr>
          <w:p w:rsidR="005A1B91" w:rsidRPr="005A1B91" w:rsidRDefault="005A1B91" w:rsidP="005A1B91">
            <w:pPr>
              <w:jc w:val="center"/>
              <w:rPr>
                <w:rFonts w:ascii="Times New Roman" w:hAnsi="Times New Roman" w:cs="Times New Roman"/>
              </w:rPr>
            </w:pPr>
            <w:r w:rsidRPr="005A1B91">
              <w:rPr>
                <w:rFonts w:ascii="Times New Roman" w:hAnsi="Times New Roman" w:cs="Times New Roman"/>
              </w:rPr>
              <w:t>18,10%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4,40%</w:t>
            </w:r>
          </w:p>
        </w:tc>
      </w:tr>
      <w:tr w:rsidR="005A1B91" w:rsidTr="0008433A">
        <w:tc>
          <w:tcPr>
            <w:tcW w:w="2304" w:type="dxa"/>
            <w:vAlign w:val="center"/>
          </w:tcPr>
          <w:p w:rsidR="005A1B91" w:rsidRDefault="005A1B91" w:rsidP="0008433A">
            <w:pPr>
              <w:pStyle w:val="a1"/>
              <w:spacing w:after="0" w:line="240" w:lineRule="auto"/>
              <w:jc w:val="center"/>
            </w:pPr>
            <w:r>
              <w:t>2010</w:t>
            </w:r>
          </w:p>
        </w:tc>
        <w:tc>
          <w:tcPr>
            <w:tcW w:w="2304" w:type="dxa"/>
          </w:tcPr>
          <w:p w:rsidR="005A1B91" w:rsidRPr="005A1B91" w:rsidRDefault="005A1B91" w:rsidP="005A1B91">
            <w:pPr>
              <w:jc w:val="center"/>
              <w:rPr>
                <w:rFonts w:ascii="Times New Roman" w:hAnsi="Times New Roman" w:cs="Times New Roman"/>
              </w:rPr>
            </w:pPr>
            <w:r w:rsidRPr="005A1B91">
              <w:rPr>
                <w:rFonts w:ascii="Times New Roman" w:hAnsi="Times New Roman" w:cs="Times New Roman"/>
              </w:rPr>
              <w:t>20,20%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4,20%</w:t>
            </w:r>
          </w:p>
        </w:tc>
      </w:tr>
      <w:tr w:rsidR="005A1B91" w:rsidTr="0008433A">
        <w:tc>
          <w:tcPr>
            <w:tcW w:w="2304" w:type="dxa"/>
            <w:vAlign w:val="center"/>
          </w:tcPr>
          <w:p w:rsidR="005A1B91" w:rsidRDefault="005A1B91" w:rsidP="0008433A">
            <w:pPr>
              <w:pStyle w:val="a1"/>
              <w:spacing w:after="0" w:line="240" w:lineRule="auto"/>
              <w:jc w:val="center"/>
            </w:pPr>
            <w:r>
              <w:t>2011</w:t>
            </w:r>
          </w:p>
        </w:tc>
        <w:tc>
          <w:tcPr>
            <w:tcW w:w="2304" w:type="dxa"/>
          </w:tcPr>
          <w:p w:rsidR="005A1B91" w:rsidRPr="005A1B91" w:rsidRDefault="005A1B91" w:rsidP="005A1B91">
            <w:pPr>
              <w:jc w:val="center"/>
              <w:rPr>
                <w:rFonts w:ascii="Times New Roman" w:hAnsi="Times New Roman" w:cs="Times New Roman"/>
              </w:rPr>
            </w:pPr>
            <w:r w:rsidRPr="005A1B91">
              <w:rPr>
                <w:rFonts w:ascii="Times New Roman" w:hAnsi="Times New Roman" w:cs="Times New Roman"/>
              </w:rPr>
              <w:t>21,70%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4,30%</w:t>
            </w:r>
          </w:p>
        </w:tc>
      </w:tr>
      <w:tr w:rsidR="005A1B91" w:rsidTr="0008433A">
        <w:tc>
          <w:tcPr>
            <w:tcW w:w="2304" w:type="dxa"/>
            <w:vAlign w:val="center"/>
          </w:tcPr>
          <w:p w:rsidR="005A1B91" w:rsidRDefault="005A1B91" w:rsidP="0008433A">
            <w:pPr>
              <w:pStyle w:val="a1"/>
              <w:spacing w:after="0" w:line="240" w:lineRule="auto"/>
              <w:jc w:val="center"/>
            </w:pPr>
            <w:r>
              <w:t>2012</w:t>
            </w:r>
          </w:p>
        </w:tc>
        <w:tc>
          <w:tcPr>
            <w:tcW w:w="2304" w:type="dxa"/>
          </w:tcPr>
          <w:p w:rsidR="005A1B91" w:rsidRPr="005A1B91" w:rsidRDefault="005A1B91" w:rsidP="005A1B91">
            <w:pPr>
              <w:jc w:val="center"/>
              <w:rPr>
                <w:rFonts w:ascii="Times New Roman" w:hAnsi="Times New Roman" w:cs="Times New Roman"/>
              </w:rPr>
            </w:pPr>
            <w:r w:rsidRPr="005A1B91">
              <w:rPr>
                <w:rFonts w:ascii="Times New Roman" w:hAnsi="Times New Roman" w:cs="Times New Roman"/>
              </w:rPr>
              <w:t>25,20%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4,50%</w:t>
            </w:r>
          </w:p>
        </w:tc>
      </w:tr>
      <w:tr w:rsidR="005A1B91" w:rsidTr="0008433A">
        <w:tc>
          <w:tcPr>
            <w:tcW w:w="2304" w:type="dxa"/>
            <w:vAlign w:val="center"/>
          </w:tcPr>
          <w:p w:rsidR="005A1B91" w:rsidRDefault="005A1B91" w:rsidP="00743C3E">
            <w:pPr>
              <w:pStyle w:val="a1"/>
              <w:spacing w:after="0" w:line="240" w:lineRule="auto"/>
              <w:jc w:val="center"/>
            </w:pPr>
            <w:r>
              <w:t>20</w:t>
            </w:r>
            <w:r w:rsidR="00743C3E">
              <w:t>13</w:t>
            </w:r>
          </w:p>
        </w:tc>
        <w:tc>
          <w:tcPr>
            <w:tcW w:w="2304" w:type="dxa"/>
          </w:tcPr>
          <w:p w:rsidR="005A1B91" w:rsidRPr="005A1B91" w:rsidRDefault="005A1B91" w:rsidP="005A1B91">
            <w:pPr>
              <w:jc w:val="center"/>
              <w:rPr>
                <w:rFonts w:ascii="Times New Roman" w:hAnsi="Times New Roman" w:cs="Times New Roman"/>
              </w:rPr>
            </w:pPr>
            <w:r w:rsidRPr="005A1B91">
              <w:rPr>
                <w:rFonts w:ascii="Times New Roman" w:hAnsi="Times New Roman" w:cs="Times New Roman"/>
              </w:rPr>
              <w:t>26,30%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4,60%</w:t>
            </w:r>
          </w:p>
        </w:tc>
      </w:tr>
      <w:tr w:rsidR="005A1B91" w:rsidTr="0008433A">
        <w:tc>
          <w:tcPr>
            <w:tcW w:w="2304" w:type="dxa"/>
            <w:vAlign w:val="center"/>
          </w:tcPr>
          <w:p w:rsidR="005A1B91" w:rsidRDefault="005A1B91" w:rsidP="0008433A">
            <w:pPr>
              <w:pStyle w:val="a1"/>
              <w:spacing w:after="0" w:line="240" w:lineRule="auto"/>
              <w:jc w:val="center"/>
            </w:pPr>
            <w:r>
              <w:t>2014</w:t>
            </w:r>
          </w:p>
        </w:tc>
        <w:tc>
          <w:tcPr>
            <w:tcW w:w="2304" w:type="dxa"/>
          </w:tcPr>
          <w:p w:rsidR="005A1B91" w:rsidRPr="005A1B91" w:rsidRDefault="005A1B91" w:rsidP="005A1B91">
            <w:pPr>
              <w:jc w:val="center"/>
              <w:rPr>
                <w:rFonts w:ascii="Times New Roman" w:hAnsi="Times New Roman" w:cs="Times New Roman"/>
              </w:rPr>
            </w:pPr>
            <w:r w:rsidRPr="005A1B91">
              <w:rPr>
                <w:rFonts w:ascii="Times New Roman" w:hAnsi="Times New Roman" w:cs="Times New Roman"/>
              </w:rPr>
              <w:t>24,70%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4,70%</w:t>
            </w:r>
          </w:p>
        </w:tc>
      </w:tr>
    </w:tbl>
    <w:p w:rsidR="005A1B91" w:rsidRDefault="005A1B91" w:rsidP="00025E57">
      <w:pPr>
        <w:pStyle w:val="a0"/>
      </w:pPr>
    </w:p>
    <w:p w:rsidR="00114D22" w:rsidRPr="00092D1A" w:rsidRDefault="00114D22" w:rsidP="00114D22">
      <w:pPr>
        <w:pStyle w:val="a3"/>
      </w:pPr>
      <w:r>
        <w:t>Figura 1</w:t>
      </w:r>
      <w:r w:rsidR="0099757F">
        <w:t>9</w:t>
      </w:r>
      <w:r>
        <w:t>: Evolución de la tasa de dese</w:t>
      </w:r>
      <w:r w:rsidR="0008433A">
        <w:t>mpleo en China y España, 2000-2</w:t>
      </w:r>
      <w:r>
        <w:t>014</w:t>
      </w:r>
    </w:p>
    <w:p w:rsidR="00114D22" w:rsidRPr="00881AB8" w:rsidRDefault="00114D22" w:rsidP="00114D22">
      <w:pPr>
        <w:rPr>
          <w:rFonts w:ascii="Times New Roman" w:hAnsi="Times New Roman" w:cs="Times New Roman"/>
          <w:lang w:val="es-ES_tradnl"/>
        </w:rPr>
      </w:pPr>
      <w:r>
        <w:rPr>
          <w:rFonts w:ascii="Times New Roman" w:hAnsi="Times New Roman" w:cs="Times New Roman"/>
          <w:noProof/>
          <w:lang w:val="es-ES" w:eastAsia="es-ES"/>
        </w:rPr>
        <w:drawing>
          <wp:inline distT="0" distB="0" distL="0" distR="0" wp14:anchorId="17768D41" wp14:editId="3A15C4B0">
            <wp:extent cx="5274310" cy="3076575"/>
            <wp:effectExtent l="0" t="0" r="21590" b="9525"/>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114D22" w:rsidRPr="00FA39C9" w:rsidRDefault="00114D22" w:rsidP="00114D22">
      <w:pPr>
        <w:pStyle w:val="a6"/>
      </w:pPr>
      <w:r w:rsidRPr="00FA39C9">
        <w:rPr>
          <w:rFonts w:hint="eastAsia"/>
        </w:rPr>
        <w:t>Fuente:</w:t>
      </w:r>
      <w:r w:rsidRPr="00FA39C9">
        <w:t xml:space="preserve"> </w:t>
      </w:r>
      <w:r>
        <w:t>Elaboración propia a partir de los datos del Banco Mundial</w:t>
      </w:r>
      <w:r>
        <w:rPr>
          <w:color w:val="252525"/>
          <w:shd w:val="clear" w:color="auto" w:fill="FFFFFF"/>
        </w:rPr>
        <w:t>.</w:t>
      </w:r>
    </w:p>
    <w:p w:rsidR="000E36A3" w:rsidRDefault="00114D22" w:rsidP="00025E57">
      <w:pPr>
        <w:pStyle w:val="a0"/>
      </w:pPr>
      <w:r>
        <w:t>China tiene una tasa de</w:t>
      </w:r>
      <w:r w:rsidR="004E56D3">
        <w:t xml:space="preserve"> paro muy baja que se mantiene por debajo del 5%. En cambio, España tiene una tasa de paro mucho más alta y que se ha disparado a partir del año 2008, alcanzado el 25% de la población activa. </w:t>
      </w:r>
    </w:p>
    <w:p w:rsidR="00FD6A34" w:rsidRDefault="00FD6A34" w:rsidP="00025E57">
      <w:pPr>
        <w:pStyle w:val="a0"/>
      </w:pPr>
      <w:r>
        <w:lastRenderedPageBreak/>
        <w:t>La tasa de desempleo entre la población joven, menor de 30 años, suele ser más elevada que para el resto de los segmentos de edad. A continuación, la Figura 20 muestra las tasas de desempleo de los j</w:t>
      </w:r>
      <w:r w:rsidR="00AF4230">
        <w:t>óvenes</w:t>
      </w:r>
      <w:r w:rsidR="00857DF5">
        <w:t xml:space="preserve"> según los datos del Banco Mundial con el indicador sobre el segmento de la población entre 15 y 24 años.</w:t>
      </w:r>
    </w:p>
    <w:tbl>
      <w:tblPr>
        <w:tblStyle w:val="TableGrid"/>
        <w:tblW w:w="0" w:type="auto"/>
        <w:tblLook w:val="04A0" w:firstRow="1" w:lastRow="0" w:firstColumn="1" w:lastColumn="0" w:noHBand="0" w:noVBand="1"/>
      </w:tblPr>
      <w:tblGrid>
        <w:gridCol w:w="2304"/>
        <w:gridCol w:w="2304"/>
        <w:gridCol w:w="2304"/>
      </w:tblGrid>
      <w:tr w:rsidR="005A1B91" w:rsidTr="0008433A">
        <w:tc>
          <w:tcPr>
            <w:tcW w:w="6912" w:type="dxa"/>
            <w:gridSpan w:val="3"/>
            <w:shd w:val="clear" w:color="auto" w:fill="D9D9D9" w:themeFill="background1" w:themeFillShade="D9"/>
            <w:vAlign w:val="center"/>
          </w:tcPr>
          <w:p w:rsidR="005A1B91" w:rsidRPr="000A3938" w:rsidRDefault="005A1B91" w:rsidP="0008433A">
            <w:pPr>
              <w:pStyle w:val="a1"/>
              <w:spacing w:after="0" w:line="240" w:lineRule="auto"/>
              <w:jc w:val="center"/>
              <w:rPr>
                <w:b/>
              </w:rPr>
            </w:pPr>
            <w:r>
              <w:rPr>
                <w:b/>
              </w:rPr>
              <w:t>Tasa de desempleo jóvenes (15-24)</w:t>
            </w:r>
          </w:p>
        </w:tc>
      </w:tr>
      <w:tr w:rsidR="005A1B91" w:rsidTr="0008433A">
        <w:tc>
          <w:tcPr>
            <w:tcW w:w="2304" w:type="dxa"/>
            <w:vAlign w:val="center"/>
          </w:tcPr>
          <w:p w:rsidR="005A1B91" w:rsidRPr="00A9653F" w:rsidRDefault="005A1B91" w:rsidP="0008433A">
            <w:pPr>
              <w:pStyle w:val="a1"/>
              <w:spacing w:after="0" w:line="240" w:lineRule="auto"/>
              <w:jc w:val="center"/>
              <w:rPr>
                <w:b/>
              </w:rPr>
            </w:pPr>
            <w:r w:rsidRPr="00A9653F">
              <w:rPr>
                <w:b/>
              </w:rPr>
              <w:t>Año</w:t>
            </w:r>
          </w:p>
        </w:tc>
        <w:tc>
          <w:tcPr>
            <w:tcW w:w="2304" w:type="dxa"/>
            <w:vAlign w:val="center"/>
          </w:tcPr>
          <w:p w:rsidR="005A1B91" w:rsidRPr="00A9653F" w:rsidRDefault="005A1B91" w:rsidP="0008433A">
            <w:pPr>
              <w:pStyle w:val="a1"/>
              <w:spacing w:after="0" w:line="240" w:lineRule="auto"/>
              <w:jc w:val="center"/>
              <w:rPr>
                <w:b/>
              </w:rPr>
            </w:pPr>
            <w:r>
              <w:rPr>
                <w:b/>
              </w:rPr>
              <w:t>España</w:t>
            </w:r>
          </w:p>
        </w:tc>
        <w:tc>
          <w:tcPr>
            <w:tcW w:w="2304" w:type="dxa"/>
            <w:vAlign w:val="center"/>
          </w:tcPr>
          <w:p w:rsidR="005A1B91" w:rsidRPr="00A9653F" w:rsidRDefault="005A1B91" w:rsidP="0008433A">
            <w:pPr>
              <w:pStyle w:val="a1"/>
              <w:spacing w:after="0" w:line="240" w:lineRule="auto"/>
              <w:jc w:val="center"/>
              <w:rPr>
                <w:b/>
              </w:rPr>
            </w:pPr>
            <w:r>
              <w:rPr>
                <w:b/>
              </w:rPr>
              <w:t>China</w:t>
            </w:r>
          </w:p>
        </w:tc>
      </w:tr>
      <w:tr w:rsidR="005A1B91" w:rsidTr="0008433A">
        <w:tc>
          <w:tcPr>
            <w:tcW w:w="2304" w:type="dxa"/>
            <w:vAlign w:val="center"/>
          </w:tcPr>
          <w:p w:rsidR="005A1B91" w:rsidRDefault="005A1B91" w:rsidP="0008433A">
            <w:pPr>
              <w:pStyle w:val="a1"/>
              <w:spacing w:after="0" w:line="240" w:lineRule="auto"/>
              <w:jc w:val="center"/>
            </w:pPr>
            <w:r>
              <w:t>2000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26,30%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9,30%</w:t>
            </w:r>
          </w:p>
        </w:tc>
      </w:tr>
      <w:tr w:rsidR="005A1B91" w:rsidTr="0008433A">
        <w:tc>
          <w:tcPr>
            <w:tcW w:w="2304" w:type="dxa"/>
            <w:vAlign w:val="center"/>
          </w:tcPr>
          <w:p w:rsidR="005A1B91" w:rsidRDefault="005A1B91" w:rsidP="0008433A">
            <w:pPr>
              <w:pStyle w:val="a1"/>
              <w:spacing w:after="0" w:line="240" w:lineRule="auto"/>
              <w:jc w:val="center"/>
            </w:pPr>
            <w:r>
              <w:t>2001</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21,30%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9,40%</w:t>
            </w:r>
          </w:p>
        </w:tc>
      </w:tr>
      <w:tr w:rsidR="005A1B91" w:rsidTr="0008433A">
        <w:tc>
          <w:tcPr>
            <w:tcW w:w="2304" w:type="dxa"/>
            <w:vAlign w:val="center"/>
          </w:tcPr>
          <w:p w:rsidR="005A1B91" w:rsidRDefault="005A1B91" w:rsidP="0008433A">
            <w:pPr>
              <w:pStyle w:val="a1"/>
              <w:spacing w:after="0" w:line="240" w:lineRule="auto"/>
              <w:jc w:val="center"/>
            </w:pPr>
            <w:r>
              <w:t>2002</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23,00%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9,20%</w:t>
            </w:r>
          </w:p>
        </w:tc>
      </w:tr>
      <w:tr w:rsidR="005A1B91" w:rsidTr="0008433A">
        <w:tc>
          <w:tcPr>
            <w:tcW w:w="2304" w:type="dxa"/>
            <w:vAlign w:val="center"/>
          </w:tcPr>
          <w:p w:rsidR="005A1B91" w:rsidRDefault="005A1B91" w:rsidP="0008433A">
            <w:pPr>
              <w:pStyle w:val="a1"/>
              <w:spacing w:after="0" w:line="240" w:lineRule="auto"/>
              <w:jc w:val="center"/>
            </w:pPr>
            <w:r>
              <w:t>2003</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23,40%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8,90%</w:t>
            </w:r>
          </w:p>
        </w:tc>
      </w:tr>
      <w:tr w:rsidR="005A1B91" w:rsidTr="0008433A">
        <w:tc>
          <w:tcPr>
            <w:tcW w:w="2304" w:type="dxa"/>
            <w:vAlign w:val="center"/>
          </w:tcPr>
          <w:p w:rsidR="005A1B91" w:rsidRDefault="005A1B91" w:rsidP="0008433A">
            <w:pPr>
              <w:pStyle w:val="a1"/>
              <w:spacing w:after="0" w:line="240" w:lineRule="auto"/>
              <w:jc w:val="center"/>
            </w:pPr>
            <w:r>
              <w:t>2004</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22,80%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8,90%</w:t>
            </w:r>
          </w:p>
        </w:tc>
      </w:tr>
      <w:tr w:rsidR="005A1B91" w:rsidTr="0008433A">
        <w:tc>
          <w:tcPr>
            <w:tcW w:w="2304" w:type="dxa"/>
            <w:vAlign w:val="center"/>
          </w:tcPr>
          <w:p w:rsidR="005A1B91" w:rsidRDefault="005A1B91" w:rsidP="0008433A">
            <w:pPr>
              <w:pStyle w:val="a1"/>
              <w:spacing w:after="0" w:line="240" w:lineRule="auto"/>
              <w:jc w:val="center"/>
            </w:pPr>
            <w:r>
              <w:t>2005</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20,40%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8,60%</w:t>
            </w:r>
          </w:p>
        </w:tc>
      </w:tr>
      <w:tr w:rsidR="005A1B91" w:rsidTr="0008433A">
        <w:tc>
          <w:tcPr>
            <w:tcW w:w="2304" w:type="dxa"/>
            <w:vAlign w:val="center"/>
          </w:tcPr>
          <w:p w:rsidR="005A1B91" w:rsidRDefault="005A1B91" w:rsidP="0008433A">
            <w:pPr>
              <w:pStyle w:val="a1"/>
              <w:spacing w:after="0" w:line="240" w:lineRule="auto"/>
              <w:jc w:val="center"/>
            </w:pPr>
            <w:r>
              <w:t>2006</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18,50%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8,30%</w:t>
            </w:r>
          </w:p>
        </w:tc>
      </w:tr>
      <w:tr w:rsidR="005A1B91" w:rsidTr="0008433A">
        <w:tc>
          <w:tcPr>
            <w:tcW w:w="2304" w:type="dxa"/>
            <w:vAlign w:val="center"/>
          </w:tcPr>
          <w:p w:rsidR="005A1B91" w:rsidRDefault="005A1B91" w:rsidP="0008433A">
            <w:pPr>
              <w:pStyle w:val="a1"/>
              <w:spacing w:after="0" w:line="240" w:lineRule="auto"/>
              <w:jc w:val="center"/>
            </w:pPr>
            <w:r>
              <w:t>2007</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18,90%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8,00%</w:t>
            </w:r>
          </w:p>
        </w:tc>
      </w:tr>
      <w:tr w:rsidR="005A1B91" w:rsidTr="0008433A">
        <w:tc>
          <w:tcPr>
            <w:tcW w:w="2304" w:type="dxa"/>
            <w:vAlign w:val="center"/>
          </w:tcPr>
          <w:p w:rsidR="005A1B91" w:rsidRDefault="005A1B91" w:rsidP="0008433A">
            <w:pPr>
              <w:pStyle w:val="a1"/>
              <w:spacing w:after="0" w:line="240" w:lineRule="auto"/>
              <w:jc w:val="center"/>
            </w:pPr>
            <w:r>
              <w:t>2008</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25,40%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9,10%</w:t>
            </w:r>
          </w:p>
        </w:tc>
      </w:tr>
      <w:tr w:rsidR="005A1B91" w:rsidTr="0008433A">
        <w:tc>
          <w:tcPr>
            <w:tcW w:w="2304" w:type="dxa"/>
            <w:vAlign w:val="center"/>
          </w:tcPr>
          <w:p w:rsidR="005A1B91" w:rsidRDefault="005A1B91" w:rsidP="0008433A">
            <w:pPr>
              <w:pStyle w:val="a1"/>
              <w:spacing w:after="0" w:line="240" w:lineRule="auto"/>
              <w:jc w:val="center"/>
            </w:pPr>
            <w:r>
              <w:t>2009</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38,50%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9,30%</w:t>
            </w:r>
          </w:p>
        </w:tc>
      </w:tr>
      <w:tr w:rsidR="005A1B91" w:rsidTr="0008433A">
        <w:tc>
          <w:tcPr>
            <w:tcW w:w="2304" w:type="dxa"/>
            <w:vAlign w:val="center"/>
          </w:tcPr>
          <w:p w:rsidR="005A1B91" w:rsidRDefault="005A1B91" w:rsidP="0008433A">
            <w:pPr>
              <w:pStyle w:val="a1"/>
              <w:spacing w:after="0" w:line="240" w:lineRule="auto"/>
              <w:jc w:val="center"/>
            </w:pPr>
            <w:r>
              <w:t>2010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42,50%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9,00%</w:t>
            </w:r>
          </w:p>
        </w:tc>
      </w:tr>
      <w:tr w:rsidR="005A1B91" w:rsidTr="0008433A">
        <w:tc>
          <w:tcPr>
            <w:tcW w:w="2304" w:type="dxa"/>
            <w:vAlign w:val="center"/>
          </w:tcPr>
          <w:p w:rsidR="005A1B91" w:rsidRDefault="005A1B91" w:rsidP="0008433A">
            <w:pPr>
              <w:pStyle w:val="a1"/>
              <w:spacing w:after="0" w:line="240" w:lineRule="auto"/>
              <w:jc w:val="center"/>
            </w:pPr>
            <w:r>
              <w:t>2011</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47,10%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9,30%</w:t>
            </w:r>
          </w:p>
        </w:tc>
      </w:tr>
      <w:tr w:rsidR="005A1B91" w:rsidTr="0008433A">
        <w:tc>
          <w:tcPr>
            <w:tcW w:w="2304" w:type="dxa"/>
            <w:vAlign w:val="center"/>
          </w:tcPr>
          <w:p w:rsidR="005A1B91" w:rsidRDefault="005A1B91" w:rsidP="0008433A">
            <w:pPr>
              <w:pStyle w:val="a1"/>
              <w:spacing w:after="0" w:line="240" w:lineRule="auto"/>
              <w:jc w:val="center"/>
            </w:pPr>
            <w:r>
              <w:t>2012</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54,30%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9,70%</w:t>
            </w:r>
          </w:p>
        </w:tc>
      </w:tr>
      <w:tr w:rsidR="005A1B91" w:rsidTr="0008433A">
        <w:tc>
          <w:tcPr>
            <w:tcW w:w="2304" w:type="dxa"/>
            <w:vAlign w:val="center"/>
          </w:tcPr>
          <w:p w:rsidR="005A1B91" w:rsidRDefault="005A1B91" w:rsidP="0008433A">
            <w:pPr>
              <w:pStyle w:val="a1"/>
              <w:spacing w:after="0" w:line="240" w:lineRule="auto"/>
              <w:jc w:val="center"/>
            </w:pPr>
            <w:r>
              <w:t>2031</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57,00%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10,10%</w:t>
            </w:r>
          </w:p>
        </w:tc>
      </w:tr>
      <w:tr w:rsidR="005A1B91" w:rsidTr="0008433A">
        <w:tc>
          <w:tcPr>
            <w:tcW w:w="2304" w:type="dxa"/>
            <w:vAlign w:val="center"/>
          </w:tcPr>
          <w:p w:rsidR="005A1B91" w:rsidRDefault="005A1B91" w:rsidP="0008433A">
            <w:pPr>
              <w:pStyle w:val="a1"/>
              <w:spacing w:after="0" w:line="240" w:lineRule="auto"/>
              <w:jc w:val="center"/>
            </w:pPr>
            <w:r>
              <w:t>2014</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57,90%</w:t>
            </w:r>
          </w:p>
        </w:tc>
        <w:tc>
          <w:tcPr>
            <w:tcW w:w="2304" w:type="dxa"/>
            <w:vAlign w:val="center"/>
          </w:tcPr>
          <w:p w:rsidR="005A1B91" w:rsidRPr="005A1B91" w:rsidRDefault="005A1B91">
            <w:pPr>
              <w:jc w:val="center"/>
              <w:rPr>
                <w:rFonts w:ascii="Times New Roman" w:hAnsi="Times New Roman" w:cs="Times New Roman"/>
                <w:color w:val="000000"/>
                <w:sz w:val="22"/>
              </w:rPr>
            </w:pPr>
            <w:r w:rsidRPr="005A1B91">
              <w:rPr>
                <w:rFonts w:ascii="Times New Roman" w:hAnsi="Times New Roman" w:cs="Times New Roman"/>
                <w:color w:val="000000"/>
                <w:sz w:val="22"/>
              </w:rPr>
              <w:t>10,50%</w:t>
            </w:r>
          </w:p>
        </w:tc>
      </w:tr>
    </w:tbl>
    <w:p w:rsidR="00F01856" w:rsidRDefault="00F01856" w:rsidP="00025E57">
      <w:pPr>
        <w:pStyle w:val="a0"/>
      </w:pPr>
    </w:p>
    <w:p w:rsidR="00857DF5" w:rsidRPr="00092D1A" w:rsidRDefault="00857DF5" w:rsidP="00857DF5">
      <w:pPr>
        <w:pStyle w:val="a3"/>
      </w:pPr>
      <w:r>
        <w:lastRenderedPageBreak/>
        <w:t>Figura 20: Evolución de la tasa de desempleo de la población activa joven (1</w:t>
      </w:r>
      <w:r w:rsidR="0008433A">
        <w:t>5-24) en China y España, 2000-2</w:t>
      </w:r>
      <w:r>
        <w:t>014</w:t>
      </w:r>
    </w:p>
    <w:p w:rsidR="00857DF5" w:rsidRPr="00881AB8" w:rsidRDefault="00857DF5" w:rsidP="00857DF5">
      <w:pPr>
        <w:rPr>
          <w:rFonts w:ascii="Times New Roman" w:hAnsi="Times New Roman" w:cs="Times New Roman"/>
          <w:lang w:val="es-ES_tradnl"/>
        </w:rPr>
      </w:pPr>
      <w:r>
        <w:rPr>
          <w:rFonts w:ascii="Times New Roman" w:hAnsi="Times New Roman" w:cs="Times New Roman"/>
          <w:noProof/>
          <w:lang w:val="es-ES" w:eastAsia="es-ES"/>
        </w:rPr>
        <w:drawing>
          <wp:inline distT="0" distB="0" distL="0" distR="0" wp14:anchorId="542C11A9" wp14:editId="39AE51FE">
            <wp:extent cx="5274310" cy="3076575"/>
            <wp:effectExtent l="0" t="0" r="21590" b="9525"/>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857DF5" w:rsidRPr="00FA39C9" w:rsidRDefault="00857DF5" w:rsidP="00857DF5">
      <w:pPr>
        <w:pStyle w:val="a6"/>
      </w:pPr>
      <w:r w:rsidRPr="00FA39C9">
        <w:rPr>
          <w:rFonts w:hint="eastAsia"/>
        </w:rPr>
        <w:t>Fuente:</w:t>
      </w:r>
      <w:r w:rsidRPr="00FA39C9">
        <w:t xml:space="preserve"> </w:t>
      </w:r>
      <w:r>
        <w:t>Elaboración propia a partir de los datos del Banco Mundial</w:t>
      </w:r>
      <w:r>
        <w:rPr>
          <w:color w:val="252525"/>
          <w:shd w:val="clear" w:color="auto" w:fill="FFFFFF"/>
        </w:rPr>
        <w:t>.</w:t>
      </w:r>
    </w:p>
    <w:p w:rsidR="00AF4230" w:rsidRDefault="0071059D" w:rsidP="0071059D">
      <w:pPr>
        <w:pStyle w:val="a0"/>
      </w:pPr>
      <w:r>
        <w:t xml:space="preserve">La tasa de desempleo de los jóvenes hasta 24 años es más alta que la tasa general para el conjunto de la población activa, tanto en China como en España. En China, el paro de los jóvenes duplica el paro del conjunto de la población. En España se observa una proporción similar e incluso, a partir del año 2011 la tasa de paro de los jóvenes se dispara y representa ya más del doble que la tasa general del país. El problema del paro juvenil es muy importante en España, pues en el año 2014 la tasa de desempleo afecta al 57,9% de la población activa entre los 16 y los 24 años. En su informe sobre el mercado laboral de España, el Ministerio de Trabajo y Seguridad Social incluye también otro indicador sobre los jóvenes: la categoría de los </w:t>
      </w:r>
      <w:proofErr w:type="spellStart"/>
      <w:r w:rsidRPr="0071059D">
        <w:rPr>
          <w:i/>
        </w:rPr>
        <w:t>ninis</w:t>
      </w:r>
      <w:proofErr w:type="spellEnd"/>
      <w:r>
        <w:t xml:space="preserve"> que son “aquellos jóvenes hasta 25 años que no están trabajando y tampoco están estudiando ni siguen ningún tipo de formación” (MESS, 2015: 17). En el año 2014, el segmento de los </w:t>
      </w:r>
      <w:proofErr w:type="spellStart"/>
      <w:r>
        <w:t>ninis</w:t>
      </w:r>
      <w:proofErr w:type="spellEnd"/>
      <w:r>
        <w:t xml:space="preserve"> representa el 17,1% de los jóvenes hasta los 25 años. </w:t>
      </w:r>
    </w:p>
    <w:p w:rsidR="002E104B" w:rsidRDefault="002E104B" w:rsidP="0071059D">
      <w:pPr>
        <w:pStyle w:val="a0"/>
      </w:pPr>
      <w:r>
        <w:t>La tasa de paro de las mujeres se detalla para los dos países en la Figura 21.</w:t>
      </w:r>
    </w:p>
    <w:p w:rsidR="00743C3E" w:rsidRDefault="00743C3E" w:rsidP="0071059D">
      <w:pPr>
        <w:pStyle w:val="a0"/>
      </w:pPr>
    </w:p>
    <w:tbl>
      <w:tblPr>
        <w:tblW w:w="0" w:type="auto"/>
        <w:tblInd w:w="55" w:type="dxa"/>
        <w:tblCellMar>
          <w:left w:w="70" w:type="dxa"/>
          <w:right w:w="70" w:type="dxa"/>
        </w:tblCellMar>
        <w:tblLook w:val="04A0" w:firstRow="1" w:lastRow="0" w:firstColumn="1" w:lastColumn="0" w:noHBand="0" w:noVBand="1"/>
      </w:tblPr>
      <w:tblGrid>
        <w:gridCol w:w="580"/>
        <w:gridCol w:w="1524"/>
        <w:gridCol w:w="1525"/>
        <w:gridCol w:w="1524"/>
        <w:gridCol w:w="1525"/>
      </w:tblGrid>
      <w:tr w:rsidR="003545C9" w:rsidRPr="0008433A" w:rsidTr="0004660E">
        <w:trPr>
          <w:trHeight w:val="315"/>
        </w:trPr>
        <w:tc>
          <w:tcPr>
            <w:tcW w:w="6678"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545C9" w:rsidRPr="003545C9" w:rsidRDefault="003545C9" w:rsidP="0004660E">
            <w:pPr>
              <w:widowControl/>
              <w:jc w:val="center"/>
              <w:rPr>
                <w:rFonts w:ascii="Times New Roman" w:eastAsia="Times New Roman" w:hAnsi="Times New Roman" w:cs="Times New Roman"/>
                <w:color w:val="000000"/>
                <w:kern w:val="0"/>
                <w:sz w:val="22"/>
                <w:szCs w:val="24"/>
                <w:lang w:val="es-ES_tradnl"/>
              </w:rPr>
            </w:pPr>
            <w:r>
              <w:rPr>
                <w:rFonts w:ascii="Times New Roman" w:eastAsia="Times New Roman" w:hAnsi="Times New Roman" w:cs="Times New Roman"/>
                <w:color w:val="000000"/>
                <w:kern w:val="0"/>
                <w:sz w:val="22"/>
                <w:szCs w:val="24"/>
                <w:lang w:val="es-ES_tradnl"/>
              </w:rPr>
              <w:lastRenderedPageBreak/>
              <w:t>Tasa de desempleo por género</w:t>
            </w:r>
          </w:p>
        </w:tc>
      </w:tr>
      <w:tr w:rsidR="0004660E" w:rsidRPr="003545C9" w:rsidTr="0004660E">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04660E" w:rsidRPr="003545C9" w:rsidRDefault="0004660E" w:rsidP="003545C9">
            <w:pPr>
              <w:widowControl/>
              <w:jc w:val="left"/>
              <w:rPr>
                <w:rFonts w:ascii="Times New Roman" w:eastAsia="Times New Roman" w:hAnsi="Times New Roman" w:cs="Times New Roman"/>
                <w:b/>
                <w:bCs/>
                <w:color w:val="000000"/>
                <w:kern w:val="0"/>
                <w:sz w:val="22"/>
                <w:lang w:val="es-ES"/>
              </w:rPr>
            </w:pPr>
            <w:r w:rsidRPr="003545C9">
              <w:rPr>
                <w:rFonts w:ascii="Times New Roman" w:eastAsia="Times New Roman" w:hAnsi="Times New Roman" w:cs="Times New Roman"/>
                <w:b/>
                <w:bCs/>
                <w:color w:val="000000"/>
                <w:kern w:val="0"/>
                <w:sz w:val="22"/>
                <w:szCs w:val="24"/>
                <w:lang w:val="es-ES_tradnl"/>
              </w:rPr>
              <w:t>Año</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left"/>
              <w:rPr>
                <w:rFonts w:ascii="Times New Roman" w:eastAsia="Times New Roman" w:hAnsi="Times New Roman" w:cs="Times New Roman"/>
                <w:color w:val="000000"/>
                <w:kern w:val="0"/>
                <w:sz w:val="22"/>
                <w:lang w:val="es-ES"/>
              </w:rPr>
            </w:pPr>
            <w:r>
              <w:rPr>
                <w:rFonts w:ascii="Times New Roman" w:eastAsia="Times New Roman" w:hAnsi="Times New Roman" w:cs="Times New Roman"/>
                <w:color w:val="000000"/>
                <w:kern w:val="0"/>
                <w:sz w:val="22"/>
                <w:szCs w:val="24"/>
                <w:lang w:val="es-ES_tradnl"/>
              </w:rPr>
              <w:t>España</w:t>
            </w:r>
          </w:p>
          <w:p w:rsidR="0004660E" w:rsidRPr="003545C9" w:rsidRDefault="0004660E" w:rsidP="0008433A">
            <w:pPr>
              <w:widowControl/>
              <w:jc w:val="left"/>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szCs w:val="24"/>
                <w:lang w:val="es-ES_tradnl"/>
              </w:rPr>
              <w:t>Mujeres</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left"/>
              <w:rPr>
                <w:rFonts w:ascii="Times New Roman" w:eastAsia="Times New Roman" w:hAnsi="Times New Roman" w:cs="Times New Roman"/>
                <w:color w:val="000000"/>
                <w:kern w:val="0"/>
                <w:sz w:val="22"/>
                <w:lang w:val="es-ES"/>
              </w:rPr>
            </w:pPr>
            <w:r>
              <w:rPr>
                <w:rFonts w:ascii="Times New Roman" w:eastAsia="Times New Roman" w:hAnsi="Times New Roman" w:cs="Times New Roman"/>
                <w:color w:val="000000"/>
                <w:kern w:val="0"/>
                <w:sz w:val="22"/>
                <w:szCs w:val="24"/>
                <w:lang w:val="es-ES_tradnl"/>
              </w:rPr>
              <w:t>España</w:t>
            </w:r>
          </w:p>
          <w:p w:rsidR="0004660E" w:rsidRPr="003545C9" w:rsidRDefault="0004660E" w:rsidP="0008433A">
            <w:pPr>
              <w:widowControl/>
              <w:jc w:val="left"/>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szCs w:val="24"/>
                <w:lang w:val="es-ES_tradnl"/>
              </w:rPr>
              <w:t>Hombres</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left"/>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szCs w:val="24"/>
                <w:lang w:val="es-ES_tradnl"/>
              </w:rPr>
              <w:t>China</w:t>
            </w:r>
          </w:p>
          <w:p w:rsidR="0004660E" w:rsidRPr="003545C9" w:rsidRDefault="0004660E" w:rsidP="0008433A">
            <w:pPr>
              <w:widowControl/>
              <w:jc w:val="left"/>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szCs w:val="24"/>
                <w:lang w:val="es-ES_tradnl"/>
              </w:rPr>
              <w:t>Mujeres</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left"/>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szCs w:val="24"/>
                <w:lang w:val="es-ES_tradnl"/>
              </w:rPr>
              <w:t xml:space="preserve">China </w:t>
            </w:r>
          </w:p>
          <w:p w:rsidR="0004660E" w:rsidRPr="003545C9" w:rsidRDefault="0004660E" w:rsidP="0008433A">
            <w:pPr>
              <w:widowControl/>
              <w:jc w:val="left"/>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szCs w:val="24"/>
                <w:lang w:val="es-ES_tradnl"/>
              </w:rPr>
              <w:t>Hombres</w:t>
            </w:r>
          </w:p>
        </w:tc>
      </w:tr>
      <w:tr w:rsidR="0004660E" w:rsidRPr="003545C9" w:rsidTr="0004660E">
        <w:trPr>
          <w:trHeight w:val="31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4660E" w:rsidRPr="003545C9" w:rsidRDefault="0004660E" w:rsidP="003545C9">
            <w:pPr>
              <w:widowControl/>
              <w:rPr>
                <w:rFonts w:ascii="Times New Roman" w:eastAsia="Times New Roman" w:hAnsi="Times New Roman" w:cs="Times New Roman"/>
                <w:b/>
                <w:bCs/>
                <w:color w:val="000000"/>
                <w:kern w:val="0"/>
                <w:sz w:val="22"/>
                <w:lang w:val="es-ES"/>
              </w:rPr>
            </w:pPr>
            <w:r w:rsidRPr="003545C9">
              <w:rPr>
                <w:rFonts w:ascii="Times New Roman" w:eastAsia="Times New Roman" w:hAnsi="Times New Roman" w:cs="Times New Roman"/>
                <w:b/>
                <w:bCs/>
                <w:color w:val="000000"/>
                <w:kern w:val="0"/>
                <w:sz w:val="22"/>
              </w:rPr>
              <w:t>2000</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21,00%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9,80%</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3,80%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5,10%</w:t>
            </w:r>
          </w:p>
        </w:tc>
      </w:tr>
      <w:tr w:rsidR="0004660E" w:rsidRPr="003545C9" w:rsidTr="0004660E">
        <w:trPr>
          <w:trHeight w:val="31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4660E" w:rsidRPr="003545C9" w:rsidRDefault="0004660E" w:rsidP="003545C9">
            <w:pPr>
              <w:widowControl/>
              <w:rPr>
                <w:rFonts w:ascii="Times New Roman" w:eastAsia="Times New Roman" w:hAnsi="Times New Roman" w:cs="Times New Roman"/>
                <w:b/>
                <w:bCs/>
                <w:color w:val="000000"/>
                <w:kern w:val="0"/>
                <w:sz w:val="22"/>
                <w:lang w:val="es-ES"/>
              </w:rPr>
            </w:pPr>
            <w:r w:rsidRPr="003545C9">
              <w:rPr>
                <w:rFonts w:ascii="Times New Roman" w:eastAsia="Times New Roman" w:hAnsi="Times New Roman" w:cs="Times New Roman"/>
                <w:b/>
                <w:bCs/>
                <w:color w:val="000000"/>
                <w:kern w:val="0"/>
                <w:sz w:val="22"/>
              </w:rPr>
              <w:t>2001</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15,50%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7,60%</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3,80%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5,10%</w:t>
            </w:r>
          </w:p>
        </w:tc>
      </w:tr>
      <w:tr w:rsidR="0004660E" w:rsidRPr="003545C9" w:rsidTr="0004660E">
        <w:trPr>
          <w:trHeight w:val="31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4660E" w:rsidRPr="003545C9" w:rsidRDefault="0004660E" w:rsidP="003545C9">
            <w:pPr>
              <w:widowControl/>
              <w:rPr>
                <w:rFonts w:ascii="Times New Roman" w:eastAsia="Times New Roman" w:hAnsi="Times New Roman" w:cs="Times New Roman"/>
                <w:b/>
                <w:bCs/>
                <w:color w:val="000000"/>
                <w:kern w:val="0"/>
                <w:sz w:val="22"/>
                <w:lang w:val="es-ES"/>
              </w:rPr>
            </w:pPr>
            <w:r w:rsidRPr="003545C9">
              <w:rPr>
                <w:rFonts w:ascii="Times New Roman" w:eastAsia="Times New Roman" w:hAnsi="Times New Roman" w:cs="Times New Roman"/>
                <w:b/>
                <w:bCs/>
                <w:color w:val="000000"/>
                <w:kern w:val="0"/>
                <w:sz w:val="22"/>
              </w:rPr>
              <w:t>2002</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16,70%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8,20%</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3,70%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5,00%</w:t>
            </w:r>
          </w:p>
        </w:tc>
      </w:tr>
      <w:tr w:rsidR="0004660E" w:rsidRPr="003545C9" w:rsidTr="0004660E">
        <w:trPr>
          <w:trHeight w:val="31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4660E" w:rsidRPr="003545C9" w:rsidRDefault="0004660E" w:rsidP="003545C9">
            <w:pPr>
              <w:widowControl/>
              <w:rPr>
                <w:rFonts w:ascii="Times New Roman" w:eastAsia="Times New Roman" w:hAnsi="Times New Roman" w:cs="Times New Roman"/>
                <w:b/>
                <w:bCs/>
                <w:color w:val="000000"/>
                <w:kern w:val="0"/>
                <w:sz w:val="22"/>
                <w:lang w:val="es-ES"/>
              </w:rPr>
            </w:pPr>
            <w:r w:rsidRPr="003545C9">
              <w:rPr>
                <w:rFonts w:ascii="Times New Roman" w:eastAsia="Times New Roman" w:hAnsi="Times New Roman" w:cs="Times New Roman"/>
                <w:b/>
                <w:bCs/>
                <w:color w:val="000000"/>
                <w:kern w:val="0"/>
                <w:sz w:val="22"/>
              </w:rPr>
              <w:t>2003</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16,20%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8,30%</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3,60%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4,90%</w:t>
            </w:r>
          </w:p>
        </w:tc>
      </w:tr>
      <w:tr w:rsidR="0004660E" w:rsidRPr="003545C9" w:rsidTr="0004660E">
        <w:trPr>
          <w:trHeight w:val="31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4660E" w:rsidRPr="003545C9" w:rsidRDefault="0004660E" w:rsidP="003545C9">
            <w:pPr>
              <w:widowControl/>
              <w:rPr>
                <w:rFonts w:ascii="Times New Roman" w:eastAsia="Times New Roman" w:hAnsi="Times New Roman" w:cs="Times New Roman"/>
                <w:b/>
                <w:bCs/>
                <w:color w:val="000000"/>
                <w:kern w:val="0"/>
                <w:sz w:val="22"/>
                <w:lang w:val="es-ES"/>
              </w:rPr>
            </w:pPr>
            <w:r w:rsidRPr="003545C9">
              <w:rPr>
                <w:rFonts w:ascii="Times New Roman" w:eastAsia="Times New Roman" w:hAnsi="Times New Roman" w:cs="Times New Roman"/>
                <w:b/>
                <w:bCs/>
                <w:color w:val="000000"/>
                <w:kern w:val="0"/>
                <w:sz w:val="22"/>
              </w:rPr>
              <w:t>2004</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15,30%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8,30%</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3,60%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4,90%</w:t>
            </w:r>
          </w:p>
        </w:tc>
      </w:tr>
      <w:tr w:rsidR="0004660E" w:rsidRPr="003545C9" w:rsidTr="0004660E">
        <w:trPr>
          <w:trHeight w:val="31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4660E" w:rsidRPr="003545C9" w:rsidRDefault="0004660E" w:rsidP="003545C9">
            <w:pPr>
              <w:widowControl/>
              <w:rPr>
                <w:rFonts w:ascii="Times New Roman" w:eastAsia="Times New Roman" w:hAnsi="Times New Roman" w:cs="Times New Roman"/>
                <w:b/>
                <w:bCs/>
                <w:color w:val="000000"/>
                <w:kern w:val="0"/>
                <w:sz w:val="22"/>
                <w:lang w:val="es-ES"/>
              </w:rPr>
            </w:pPr>
            <w:r w:rsidRPr="003545C9">
              <w:rPr>
                <w:rFonts w:ascii="Times New Roman" w:eastAsia="Times New Roman" w:hAnsi="Times New Roman" w:cs="Times New Roman"/>
                <w:b/>
                <w:bCs/>
                <w:color w:val="000000"/>
                <w:kern w:val="0"/>
                <w:sz w:val="22"/>
              </w:rPr>
              <w:t>2005</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12,40%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7,20%</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3,40%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4,70%</w:t>
            </w:r>
          </w:p>
        </w:tc>
      </w:tr>
      <w:tr w:rsidR="0004660E" w:rsidRPr="003545C9" w:rsidTr="0004660E">
        <w:trPr>
          <w:trHeight w:val="31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4660E" w:rsidRPr="003545C9" w:rsidRDefault="0004660E" w:rsidP="003545C9">
            <w:pPr>
              <w:widowControl/>
              <w:rPr>
                <w:rFonts w:ascii="Times New Roman" w:eastAsia="Times New Roman" w:hAnsi="Times New Roman" w:cs="Times New Roman"/>
                <w:b/>
                <w:bCs/>
                <w:color w:val="000000"/>
                <w:kern w:val="0"/>
                <w:sz w:val="22"/>
                <w:lang w:val="es-ES"/>
              </w:rPr>
            </w:pPr>
            <w:r w:rsidRPr="003545C9">
              <w:rPr>
                <w:rFonts w:ascii="Times New Roman" w:eastAsia="Times New Roman" w:hAnsi="Times New Roman" w:cs="Times New Roman"/>
                <w:b/>
                <w:bCs/>
                <w:color w:val="000000"/>
                <w:kern w:val="0"/>
                <w:sz w:val="22"/>
              </w:rPr>
              <w:t>2006</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11,80%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6,40%</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3,30%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4,50%</w:t>
            </w:r>
          </w:p>
        </w:tc>
      </w:tr>
      <w:tr w:rsidR="0004660E" w:rsidRPr="003545C9" w:rsidTr="0004660E">
        <w:trPr>
          <w:trHeight w:val="31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4660E" w:rsidRPr="003545C9" w:rsidRDefault="0004660E" w:rsidP="003545C9">
            <w:pPr>
              <w:widowControl/>
              <w:rPr>
                <w:rFonts w:ascii="Times New Roman" w:eastAsia="Times New Roman" w:hAnsi="Times New Roman" w:cs="Times New Roman"/>
                <w:b/>
                <w:bCs/>
                <w:color w:val="000000"/>
                <w:kern w:val="0"/>
                <w:sz w:val="22"/>
                <w:lang w:val="es-ES"/>
              </w:rPr>
            </w:pPr>
            <w:r w:rsidRPr="003545C9">
              <w:rPr>
                <w:rFonts w:ascii="Times New Roman" w:eastAsia="Times New Roman" w:hAnsi="Times New Roman" w:cs="Times New Roman"/>
                <w:b/>
                <w:bCs/>
                <w:color w:val="000000"/>
                <w:kern w:val="0"/>
                <w:sz w:val="22"/>
              </w:rPr>
              <w:t>2007</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11,10%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6,50%</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3,10%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4,30%</w:t>
            </w:r>
          </w:p>
        </w:tc>
      </w:tr>
      <w:tr w:rsidR="0004660E" w:rsidRPr="003545C9" w:rsidTr="0004660E">
        <w:trPr>
          <w:trHeight w:val="31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4660E" w:rsidRPr="003545C9" w:rsidRDefault="0004660E" w:rsidP="003545C9">
            <w:pPr>
              <w:widowControl/>
              <w:rPr>
                <w:rFonts w:ascii="Times New Roman" w:eastAsia="Times New Roman" w:hAnsi="Times New Roman" w:cs="Times New Roman"/>
                <w:b/>
                <w:bCs/>
                <w:color w:val="000000"/>
                <w:kern w:val="0"/>
                <w:sz w:val="22"/>
                <w:lang w:val="es-ES"/>
              </w:rPr>
            </w:pPr>
            <w:r w:rsidRPr="003545C9">
              <w:rPr>
                <w:rFonts w:ascii="Times New Roman" w:eastAsia="Times New Roman" w:hAnsi="Times New Roman" w:cs="Times New Roman"/>
                <w:b/>
                <w:bCs/>
                <w:color w:val="000000"/>
                <w:kern w:val="0"/>
                <w:sz w:val="22"/>
              </w:rPr>
              <w:t>2008</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13,20%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10,20%</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3,60%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5,00%</w:t>
            </w:r>
          </w:p>
        </w:tc>
      </w:tr>
      <w:tr w:rsidR="0004660E" w:rsidRPr="003545C9" w:rsidTr="0004660E">
        <w:trPr>
          <w:trHeight w:val="31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4660E" w:rsidRPr="003545C9" w:rsidRDefault="0004660E" w:rsidP="003545C9">
            <w:pPr>
              <w:widowControl/>
              <w:rPr>
                <w:rFonts w:ascii="Times New Roman" w:eastAsia="Times New Roman" w:hAnsi="Times New Roman" w:cs="Times New Roman"/>
                <w:b/>
                <w:bCs/>
                <w:color w:val="000000"/>
                <w:kern w:val="0"/>
                <w:sz w:val="22"/>
                <w:lang w:val="es-ES"/>
              </w:rPr>
            </w:pPr>
            <w:r w:rsidRPr="003545C9">
              <w:rPr>
                <w:rFonts w:ascii="Times New Roman" w:eastAsia="Times New Roman" w:hAnsi="Times New Roman" w:cs="Times New Roman"/>
                <w:b/>
                <w:bCs/>
                <w:color w:val="000000"/>
                <w:kern w:val="0"/>
                <w:sz w:val="22"/>
              </w:rPr>
              <w:t>2009</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18,50%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17,80%</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3,60%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5,00%</w:t>
            </w:r>
          </w:p>
        </w:tc>
      </w:tr>
      <w:tr w:rsidR="0004660E" w:rsidRPr="003545C9" w:rsidTr="0004660E">
        <w:trPr>
          <w:trHeight w:val="31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4660E" w:rsidRPr="003545C9" w:rsidRDefault="0004660E" w:rsidP="003545C9">
            <w:pPr>
              <w:widowControl/>
              <w:rPr>
                <w:rFonts w:ascii="Times New Roman" w:eastAsia="Times New Roman" w:hAnsi="Times New Roman" w:cs="Times New Roman"/>
                <w:b/>
                <w:bCs/>
                <w:color w:val="000000"/>
                <w:kern w:val="0"/>
                <w:sz w:val="22"/>
                <w:lang w:val="es-ES"/>
              </w:rPr>
            </w:pPr>
            <w:r w:rsidRPr="003545C9">
              <w:rPr>
                <w:rFonts w:ascii="Times New Roman" w:eastAsia="Times New Roman" w:hAnsi="Times New Roman" w:cs="Times New Roman"/>
                <w:b/>
                <w:bCs/>
                <w:color w:val="000000"/>
                <w:kern w:val="0"/>
                <w:sz w:val="22"/>
              </w:rPr>
              <w:t>2010</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20,70%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19,90%</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3,40%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4,80%</w:t>
            </w:r>
          </w:p>
        </w:tc>
      </w:tr>
      <w:tr w:rsidR="0004660E" w:rsidRPr="003545C9" w:rsidTr="0004660E">
        <w:trPr>
          <w:trHeight w:val="31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4660E" w:rsidRPr="003545C9" w:rsidRDefault="0004660E" w:rsidP="003545C9">
            <w:pPr>
              <w:widowControl/>
              <w:rPr>
                <w:rFonts w:ascii="Times New Roman" w:eastAsia="Times New Roman" w:hAnsi="Times New Roman" w:cs="Times New Roman"/>
                <w:b/>
                <w:bCs/>
                <w:color w:val="000000"/>
                <w:kern w:val="0"/>
                <w:sz w:val="22"/>
                <w:lang w:val="es-ES"/>
              </w:rPr>
            </w:pPr>
            <w:r w:rsidRPr="003545C9">
              <w:rPr>
                <w:rFonts w:ascii="Times New Roman" w:eastAsia="Times New Roman" w:hAnsi="Times New Roman" w:cs="Times New Roman"/>
                <w:b/>
                <w:bCs/>
                <w:color w:val="000000"/>
                <w:kern w:val="0"/>
                <w:sz w:val="22"/>
              </w:rPr>
              <w:t>2011</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22,30%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21,30%</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3,60%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4,90%</w:t>
            </w:r>
          </w:p>
        </w:tc>
      </w:tr>
      <w:tr w:rsidR="0004660E" w:rsidRPr="003545C9" w:rsidTr="0004660E">
        <w:trPr>
          <w:trHeight w:val="31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4660E" w:rsidRPr="003545C9" w:rsidRDefault="0004660E" w:rsidP="003545C9">
            <w:pPr>
              <w:widowControl/>
              <w:rPr>
                <w:rFonts w:ascii="Times New Roman" w:eastAsia="Times New Roman" w:hAnsi="Times New Roman" w:cs="Times New Roman"/>
                <w:b/>
                <w:bCs/>
                <w:color w:val="000000"/>
                <w:kern w:val="0"/>
                <w:sz w:val="22"/>
                <w:lang w:val="es-ES"/>
              </w:rPr>
            </w:pPr>
            <w:r w:rsidRPr="003545C9">
              <w:rPr>
                <w:rFonts w:ascii="Times New Roman" w:eastAsia="Times New Roman" w:hAnsi="Times New Roman" w:cs="Times New Roman"/>
                <w:b/>
                <w:bCs/>
                <w:color w:val="000000"/>
                <w:kern w:val="0"/>
                <w:sz w:val="22"/>
              </w:rPr>
              <w:t>2012</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25,60%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24,90%</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3,70%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5,10%</w:t>
            </w:r>
          </w:p>
        </w:tc>
      </w:tr>
      <w:tr w:rsidR="0004660E" w:rsidRPr="003545C9" w:rsidTr="0004660E">
        <w:trPr>
          <w:trHeight w:val="31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4660E" w:rsidRPr="003545C9" w:rsidRDefault="0004660E" w:rsidP="003545C9">
            <w:pPr>
              <w:widowControl/>
              <w:rPr>
                <w:rFonts w:ascii="Times New Roman" w:eastAsia="Times New Roman" w:hAnsi="Times New Roman" w:cs="Times New Roman"/>
                <w:b/>
                <w:bCs/>
                <w:color w:val="000000"/>
                <w:kern w:val="0"/>
                <w:sz w:val="22"/>
                <w:lang w:val="es-ES"/>
              </w:rPr>
            </w:pPr>
            <w:r w:rsidRPr="003545C9">
              <w:rPr>
                <w:rFonts w:ascii="Times New Roman" w:eastAsia="Times New Roman" w:hAnsi="Times New Roman" w:cs="Times New Roman"/>
                <w:b/>
                <w:bCs/>
                <w:color w:val="000000"/>
                <w:kern w:val="0"/>
                <w:sz w:val="22"/>
              </w:rPr>
              <w:t>2013</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27,00%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25,80%</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3,80%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5,20%</w:t>
            </w:r>
          </w:p>
        </w:tc>
      </w:tr>
      <w:tr w:rsidR="0004660E" w:rsidRPr="003545C9" w:rsidTr="0004660E">
        <w:trPr>
          <w:trHeight w:val="31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4660E" w:rsidRPr="003545C9" w:rsidRDefault="0004660E" w:rsidP="003545C9">
            <w:pPr>
              <w:widowControl/>
              <w:rPr>
                <w:rFonts w:ascii="Times New Roman" w:eastAsia="Times New Roman" w:hAnsi="Times New Roman" w:cs="Times New Roman"/>
                <w:b/>
                <w:bCs/>
                <w:color w:val="000000"/>
                <w:kern w:val="0"/>
                <w:sz w:val="22"/>
                <w:lang w:val="es-ES"/>
              </w:rPr>
            </w:pPr>
            <w:r w:rsidRPr="003545C9">
              <w:rPr>
                <w:rFonts w:ascii="Times New Roman" w:eastAsia="Times New Roman" w:hAnsi="Times New Roman" w:cs="Times New Roman"/>
                <w:b/>
                <w:bCs/>
                <w:color w:val="000000"/>
                <w:kern w:val="0"/>
                <w:sz w:val="22"/>
              </w:rPr>
              <w:t>2014</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26,00%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04660E" w:rsidRDefault="0004660E">
            <w:pPr>
              <w:jc w:val="center"/>
              <w:rPr>
                <w:rFonts w:ascii="Times New Roman" w:hAnsi="Times New Roman" w:cs="Times New Roman"/>
                <w:color w:val="000000"/>
                <w:sz w:val="22"/>
              </w:rPr>
            </w:pPr>
            <w:r w:rsidRPr="0004660E">
              <w:rPr>
                <w:rFonts w:ascii="Times New Roman" w:hAnsi="Times New Roman" w:cs="Times New Roman"/>
                <w:color w:val="000000"/>
                <w:sz w:val="22"/>
              </w:rPr>
              <w:t>23,70%</w:t>
            </w:r>
          </w:p>
        </w:tc>
        <w:tc>
          <w:tcPr>
            <w:tcW w:w="1524"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3,90%</w:t>
            </w:r>
          </w:p>
        </w:tc>
        <w:tc>
          <w:tcPr>
            <w:tcW w:w="1525" w:type="dxa"/>
            <w:tcBorders>
              <w:top w:val="single" w:sz="4" w:space="0" w:color="auto"/>
              <w:left w:val="nil"/>
              <w:bottom w:val="single" w:sz="4" w:space="0" w:color="auto"/>
              <w:right w:val="single" w:sz="4" w:space="0" w:color="auto"/>
            </w:tcBorders>
            <w:shd w:val="clear" w:color="auto" w:fill="auto"/>
            <w:vAlign w:val="center"/>
          </w:tcPr>
          <w:p w:rsidR="0004660E" w:rsidRPr="003545C9" w:rsidRDefault="0004660E" w:rsidP="0008433A">
            <w:pPr>
              <w:widowControl/>
              <w:jc w:val="center"/>
              <w:rPr>
                <w:rFonts w:ascii="Times New Roman" w:eastAsia="Times New Roman" w:hAnsi="Times New Roman" w:cs="Times New Roman"/>
                <w:color w:val="000000"/>
                <w:kern w:val="0"/>
                <w:sz w:val="22"/>
                <w:lang w:val="es-ES"/>
              </w:rPr>
            </w:pPr>
            <w:r w:rsidRPr="003545C9">
              <w:rPr>
                <w:rFonts w:ascii="Times New Roman" w:eastAsia="Times New Roman" w:hAnsi="Times New Roman" w:cs="Times New Roman"/>
                <w:color w:val="000000"/>
                <w:kern w:val="0"/>
                <w:sz w:val="22"/>
              </w:rPr>
              <w:t>5,40%</w:t>
            </w:r>
          </w:p>
        </w:tc>
      </w:tr>
    </w:tbl>
    <w:p w:rsidR="006161F4" w:rsidRDefault="006161F4" w:rsidP="0071059D">
      <w:pPr>
        <w:pStyle w:val="a0"/>
      </w:pPr>
    </w:p>
    <w:p w:rsidR="00607314" w:rsidRPr="00092D1A" w:rsidRDefault="00607314" w:rsidP="00607314">
      <w:pPr>
        <w:pStyle w:val="a3"/>
      </w:pPr>
      <w:r>
        <w:t xml:space="preserve">Figura 21: Evolución de la tasa de desempleo de la población </w:t>
      </w:r>
      <w:r w:rsidR="006161F4">
        <w:t>femenina</w:t>
      </w:r>
      <w:r w:rsidR="00B224A4">
        <w:t xml:space="preserve"> y masculina</w:t>
      </w:r>
      <w:r w:rsidR="0008433A">
        <w:t xml:space="preserve"> en China y España, 2000-2</w:t>
      </w:r>
      <w:r>
        <w:t>014</w:t>
      </w:r>
    </w:p>
    <w:p w:rsidR="00607314" w:rsidRPr="00EE2273" w:rsidRDefault="00607314" w:rsidP="00607314">
      <w:pPr>
        <w:rPr>
          <w:rFonts w:ascii="Times New Roman" w:hAnsi="Times New Roman" w:cs="Times New Roman"/>
          <w:lang w:val="es-ES"/>
        </w:rPr>
      </w:pPr>
      <w:r>
        <w:rPr>
          <w:rFonts w:ascii="Times New Roman" w:hAnsi="Times New Roman" w:cs="Times New Roman"/>
          <w:noProof/>
          <w:lang w:val="es-ES" w:eastAsia="es-ES"/>
        </w:rPr>
        <w:drawing>
          <wp:inline distT="0" distB="0" distL="0" distR="0" wp14:anchorId="48BF063F" wp14:editId="635F6EE9">
            <wp:extent cx="5274310" cy="3076575"/>
            <wp:effectExtent l="0" t="0" r="21590" b="9525"/>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607314" w:rsidRPr="00FA39C9" w:rsidRDefault="00607314" w:rsidP="00607314">
      <w:pPr>
        <w:pStyle w:val="a6"/>
      </w:pPr>
      <w:r w:rsidRPr="00FA39C9">
        <w:rPr>
          <w:rFonts w:hint="eastAsia"/>
        </w:rPr>
        <w:t>Fuente:</w:t>
      </w:r>
      <w:r w:rsidRPr="00FA39C9">
        <w:t xml:space="preserve"> </w:t>
      </w:r>
      <w:r>
        <w:t>Elaboración propia a partir de los datos del Banco Mundial</w:t>
      </w:r>
      <w:r>
        <w:rPr>
          <w:color w:val="252525"/>
          <w:shd w:val="clear" w:color="auto" w:fill="FFFFFF"/>
        </w:rPr>
        <w:t>.</w:t>
      </w:r>
    </w:p>
    <w:p w:rsidR="00BE63FE" w:rsidRDefault="006B39BA" w:rsidP="00BE63FE">
      <w:pPr>
        <w:pStyle w:val="a1"/>
      </w:pPr>
      <w:r>
        <w:lastRenderedPageBreak/>
        <w:t xml:space="preserve">En China la tasa de paro de las mujeres es inferior a la de los hombres, del orden de 1,5 puntos porcentuales. Esta diferencia se mantiene estable a lo largo del periodo analizado. En España, </w:t>
      </w:r>
      <w:r w:rsidR="00153038">
        <w:t xml:space="preserve">la situación es muy diferente: la tasa de paro de las mujeres es mucho más alta. Especialmente en </w:t>
      </w:r>
      <w:proofErr w:type="gramStart"/>
      <w:r w:rsidR="00153038">
        <w:t>el</w:t>
      </w:r>
      <w:proofErr w:type="gramEnd"/>
      <w:r w:rsidR="00153038">
        <w:t xml:space="preserve"> trama de años desde 2000 hasta 2007, la tasa de paro que afecta a las mujeres casi duplica a la de los hombres. A partir del año 2008, la diferencia disminuye, por causa de la rápida progresión del desempleo entre los hombres. </w:t>
      </w:r>
      <w:r w:rsidR="00892512">
        <w:t xml:space="preserve">Los datos de paro de larga duración (más de un año en situación de desempleo) muestran que, en el año 2014, el 53,7% de la población activa femenina en paro es de larga duración, y el 52% de la población masculina. </w:t>
      </w:r>
    </w:p>
    <w:p w:rsidR="00025E57" w:rsidRPr="00640348" w:rsidRDefault="000E36A3" w:rsidP="00025E57">
      <w:pPr>
        <w:pStyle w:val="a0"/>
      </w:pPr>
      <w:r w:rsidRPr="000E36A3">
        <w:rPr>
          <w:i/>
        </w:rPr>
        <w:t>Conclusión:</w:t>
      </w:r>
      <w:r>
        <w:t xml:space="preserve"> </w:t>
      </w:r>
      <w:r w:rsidR="004E56D3">
        <w:t xml:space="preserve">El problema del paro es el más importante para la sociedad española. </w:t>
      </w:r>
      <w:r w:rsidR="00892512">
        <w:t>Además muestra una diferencia de género, ya que afecta de manera más grave a las mujeres. En China, las tasas de desempleo son muy bajas. No hay datos sobre paro de larga duración en el país.</w:t>
      </w:r>
    </w:p>
    <w:p w:rsidR="00001623" w:rsidRPr="00DF599B" w:rsidRDefault="004B541A" w:rsidP="001572ED">
      <w:pPr>
        <w:pStyle w:val="Heading1"/>
        <w:rPr>
          <w:rFonts w:cs="Times New Roman"/>
          <w:lang w:val="es-ES_tradnl"/>
        </w:rPr>
      </w:pPr>
      <w:bookmarkStart w:id="59" w:name="_Toc471215320"/>
      <w:r w:rsidRPr="00DF599B">
        <w:rPr>
          <w:rFonts w:cs="Times New Roman"/>
          <w:lang w:val="es-ES_tradnl"/>
        </w:rPr>
        <w:t>PARTE 4</w:t>
      </w:r>
      <w:r>
        <w:rPr>
          <w:rFonts w:cs="Times New Roman"/>
          <w:lang w:val="es-ES_tradnl"/>
        </w:rPr>
        <w:t>.</w:t>
      </w:r>
      <w:r w:rsidRPr="00DF599B">
        <w:rPr>
          <w:rFonts w:cs="Times New Roman"/>
          <w:lang w:val="es-ES_tradnl"/>
        </w:rPr>
        <w:t xml:space="preserve"> CONCLUSIÓN</w:t>
      </w:r>
      <w:bookmarkEnd w:id="59"/>
    </w:p>
    <w:p w:rsidR="006F5FBC" w:rsidRPr="00EC113B" w:rsidRDefault="006F5FBC" w:rsidP="00114D22">
      <w:pPr>
        <w:pStyle w:val="a0"/>
      </w:pPr>
      <w:r>
        <w:rPr>
          <w:rFonts w:hint="eastAsia"/>
          <w:lang w:val="es-ES"/>
        </w:rPr>
        <w:t xml:space="preserve">El </w:t>
      </w:r>
      <w:r w:rsidRPr="00EC113B">
        <w:t>mercado de trabajo es un componente muy importante en el sistema económico nacional</w:t>
      </w:r>
      <w:r w:rsidR="00114D22">
        <w:t xml:space="preserve"> que influye directamente sobre la producción y sobre el bienestar social de la población. El presente trabajo se ha centrado en el estudio de la estructura del mercado laboral en dos países muy diferentes:</w:t>
      </w:r>
      <w:r>
        <w:rPr>
          <w:rFonts w:hint="eastAsia"/>
        </w:rPr>
        <w:t xml:space="preserve"> </w:t>
      </w:r>
      <w:r w:rsidRPr="00EC113B">
        <w:t>China y Espa</w:t>
      </w:r>
      <w:r w:rsidR="00114D22">
        <w:t xml:space="preserve">ña. China es un país emergente que ha experimentado un rápido crecimiento económico, con un profundo cambio social. España es un país desarrollado que ha entrado desde el año 2007 en un periodo de declive económico. Desde el año 2011, China es la segunda potencia </w:t>
      </w:r>
      <w:r w:rsidR="00DC3D16">
        <w:t xml:space="preserve">económica mundial. España, a lo largo de los últimos años, ha bajado desde el puesto 8 al puesto 13 en la clasificación del Banco Mundial por PIB. </w:t>
      </w:r>
      <w:r w:rsidRPr="00EC113B">
        <w:t>Los dos países tiene</w:t>
      </w:r>
      <w:r>
        <w:rPr>
          <w:rFonts w:hint="eastAsia"/>
        </w:rPr>
        <w:t>n</w:t>
      </w:r>
      <w:r w:rsidRPr="00EC113B">
        <w:t xml:space="preserve"> su </w:t>
      </w:r>
      <w:r>
        <w:t>propi</w:t>
      </w:r>
      <w:r>
        <w:rPr>
          <w:rFonts w:hint="eastAsia"/>
        </w:rPr>
        <w:t>a</w:t>
      </w:r>
      <w:r w:rsidRPr="00EC113B">
        <w:t xml:space="preserve"> característica,</w:t>
      </w:r>
      <w:r>
        <w:rPr>
          <w:rFonts w:hint="eastAsia"/>
        </w:rPr>
        <w:t xml:space="preserve"> </w:t>
      </w:r>
      <w:r w:rsidRPr="00EC113B">
        <w:t>y además están cambiando con el rápido desarrollo de la sociedad</w:t>
      </w:r>
      <w:r>
        <w:rPr>
          <w:rFonts w:hint="eastAsia"/>
        </w:rPr>
        <w:t>.</w:t>
      </w:r>
      <w:r w:rsidR="00DC3D16">
        <w:t xml:space="preserve"> Los resultados económicos de los dos países también están relacionados con la configuración de su mercado laboral. </w:t>
      </w:r>
    </w:p>
    <w:p w:rsidR="006F5FBC" w:rsidRDefault="00DA1921" w:rsidP="00114D22">
      <w:pPr>
        <w:pStyle w:val="a0"/>
      </w:pPr>
      <w:r>
        <w:lastRenderedPageBreak/>
        <w:t>La</w:t>
      </w:r>
      <w:r w:rsidR="006F5FBC" w:rsidRPr="00D56D38">
        <w:t xml:space="preserve"> tasa de </w:t>
      </w:r>
      <w:r w:rsidR="006F5FBC">
        <w:rPr>
          <w:rFonts w:hint="eastAsia"/>
        </w:rPr>
        <w:t xml:space="preserve">la </w:t>
      </w:r>
      <w:r w:rsidR="006F5FBC" w:rsidRPr="00D56D38">
        <w:t xml:space="preserve">población activa refleja el grado en que las personas participan en las actividades económicas y </w:t>
      </w:r>
      <w:r>
        <w:t>en la producción</w:t>
      </w:r>
      <w:r w:rsidR="006F5FBC" w:rsidRPr="00D56D38">
        <w:t xml:space="preserve">. </w:t>
      </w:r>
      <w:r w:rsidR="006F5FBC">
        <w:t>E</w:t>
      </w:r>
      <w:r w:rsidR="006F5FBC">
        <w:rPr>
          <w:rFonts w:hint="eastAsia"/>
        </w:rPr>
        <w:t>st</w:t>
      </w:r>
      <w:r>
        <w:t xml:space="preserve">e indicador </w:t>
      </w:r>
      <w:r w:rsidR="006F5FBC">
        <w:rPr>
          <w:rFonts w:hint="eastAsia"/>
        </w:rPr>
        <w:t>e</w:t>
      </w:r>
      <w:r w:rsidR="006F5FBC">
        <w:t xml:space="preserve">stá </w:t>
      </w:r>
      <w:r>
        <w:t>determinado por</w:t>
      </w:r>
      <w:r w:rsidR="006F5FBC" w:rsidRPr="00D56D38">
        <w:t xml:space="preserve"> muchos factores sociales, </w:t>
      </w:r>
      <w:r w:rsidR="006F5FBC">
        <w:t xml:space="preserve">y por lo tanto refleja </w:t>
      </w:r>
      <w:r w:rsidR="006F5FBC" w:rsidRPr="00D56D38">
        <w:t>muchos aspectos de la vida social.</w:t>
      </w:r>
      <w:r w:rsidR="006F5FBC">
        <w:rPr>
          <w:rFonts w:hint="eastAsia"/>
        </w:rPr>
        <w:t xml:space="preserve"> </w:t>
      </w:r>
      <w:r w:rsidR="006F5FBC" w:rsidRPr="00D56D38">
        <w:t>La tasa de población activa de C</w:t>
      </w:r>
      <w:r>
        <w:t xml:space="preserve">hina, </w:t>
      </w:r>
      <w:r w:rsidR="006F5FBC" w:rsidRPr="00D56D38">
        <w:t xml:space="preserve">ya sea hombre o </w:t>
      </w:r>
      <w:r w:rsidR="006F5FBC">
        <w:t xml:space="preserve">mujer es mayor </w:t>
      </w:r>
      <w:r w:rsidR="006F5FBC">
        <w:rPr>
          <w:rFonts w:hint="eastAsia"/>
        </w:rPr>
        <w:t xml:space="preserve">que </w:t>
      </w:r>
      <w:r>
        <w:t>España, situación que muestra una mayor disponibilidad de fuerza laboral que se integra en la creación de empleo gracias al fuerte desarrollo económico.</w:t>
      </w:r>
      <w:r w:rsidR="00627E7F">
        <w:t xml:space="preserve"> La repartición de la mano de obra por sectores de actividades muestra la evolución del mercado laboral. España está en un proceso de desindustrialización, con una concentración de la fuerza laboral en el sector de los servicios. </w:t>
      </w:r>
      <w:r w:rsidR="002B2D64">
        <w:t xml:space="preserve">Sin embargo, el sector de los servicios no es suficiente para absorber todo los empleos perdidos en el sector industrial, lo que es uno de los factores de las altas tasas de desempleo en el país. </w:t>
      </w:r>
      <w:r w:rsidR="00627E7F">
        <w:t xml:space="preserve">China está completando un proceso de transición. El país </w:t>
      </w:r>
      <w:r>
        <w:t>está claramente en una fase económica expansiva</w:t>
      </w:r>
      <w:r w:rsidR="004E56D3">
        <w:t xml:space="preserve">, con un cambios de estructura social del trabajo, desde una población mayoritariamente rural hace una década se va transformando en una población </w:t>
      </w:r>
      <w:r w:rsidR="002B2D64">
        <w:t xml:space="preserve">más </w:t>
      </w:r>
      <w:r w:rsidR="004E56D3">
        <w:t xml:space="preserve">urbana. </w:t>
      </w:r>
      <w:r w:rsidR="002B2D64">
        <w:t xml:space="preserve">Esto se traduce en un mayor peso del sector de los servicios que va ganando protagonismo junto con la industria, mientras el sector primario reduce su contribución al empleo. </w:t>
      </w:r>
      <w:r w:rsidR="004E56D3">
        <w:t xml:space="preserve">Este cambio social y económico ya lo habían realizado los países europeos, entre ellos España, a un ritmo más lento y a menor escala. </w:t>
      </w:r>
    </w:p>
    <w:p w:rsidR="002B2D64" w:rsidRDefault="004E56D3" w:rsidP="00114D22">
      <w:pPr>
        <w:pStyle w:val="a0"/>
      </w:pPr>
      <w:r>
        <w:t>Desde el punto de vista de los datos de empleo, que son entre los más importantes para la política económica de los gobiernos, la situación de China se mantiene con tasas de pa</w:t>
      </w:r>
      <w:r w:rsidR="00627E7F">
        <w:t>ro inferiores al 5%</w:t>
      </w:r>
      <w:r>
        <w:t xml:space="preserve">, mientras en España este indicador alcanza el 25%, creando un clima de incertidumbre y desesperación social, especialmente entre los jóvenes, un segmento de la población que tiene una tasa de desempleo que duplica la media. </w:t>
      </w:r>
      <w:r w:rsidR="002B2D64">
        <w:t xml:space="preserve">Además, la situación del mercado laboral en España muestra un fenómeno de desigualdad de género con tasas de paro más importantes para las mujeres. </w:t>
      </w:r>
    </w:p>
    <w:p w:rsidR="004E56D3" w:rsidRPr="00D56D38" w:rsidRDefault="004E56D3" w:rsidP="00114D22">
      <w:pPr>
        <w:pStyle w:val="a0"/>
      </w:pPr>
      <w:r>
        <w:t>Las tasas altas de desempleo también reflejan otra realidad social: la mayor protección social para las clases más desfavorecidas que existe en España</w:t>
      </w:r>
      <w:r w:rsidR="008C52AD">
        <w:t xml:space="preserve">, así como la alta tasa de reemplazo de las prestaciones por </w:t>
      </w:r>
      <w:r w:rsidR="00E90434">
        <w:t>desempleo</w:t>
      </w:r>
      <w:r>
        <w:t>. En China</w:t>
      </w:r>
      <w:r w:rsidR="002B2D64">
        <w:t>, en cambio,</w:t>
      </w:r>
      <w:r>
        <w:t xml:space="preserve"> existe una brecha </w:t>
      </w:r>
      <w:r>
        <w:lastRenderedPageBreak/>
        <w:t xml:space="preserve">social muy grave, que afecta con especial dureza a la llamada población flotante, con una desprotección frente al desempleo y otros problemas sociales. </w:t>
      </w:r>
      <w:r w:rsidR="00E90434">
        <w:t xml:space="preserve">Por otra parte, el nivel salarial en China es inferior a España, aunque en los últimos años existe una fuerte tendencia al aumento </w:t>
      </w:r>
      <w:r w:rsidR="00627E7F">
        <w:t>de los salarios</w:t>
      </w:r>
      <w:r w:rsidR="00E90434">
        <w:t xml:space="preserve"> en China que va paralel</w:t>
      </w:r>
      <w:r w:rsidR="00627E7F">
        <w:t>o</w:t>
      </w:r>
      <w:r w:rsidR="00E90434">
        <w:t xml:space="preserve"> con el aumento de la productividad. </w:t>
      </w:r>
      <w:r w:rsidR="00636627">
        <w:t>La distribución de la media de los salarios refleja grandes desigualdades territoriales en China, que es una de las características del país.</w:t>
      </w:r>
      <w:r w:rsidR="002B2D64">
        <w:t xml:space="preserve"> </w:t>
      </w:r>
      <w:r w:rsidR="00351584">
        <w:t xml:space="preserve">Asimismo, el importe del salario mínimo varía de una provincia a otra. Estas brechas salariales dentro del inmenso territorio de China explican, junto con el fenómeno del éxodo rural, los crecientes movimientos de migración interna que alimentan el subempleo por causa de la reglamentación del </w:t>
      </w:r>
      <w:proofErr w:type="spellStart"/>
      <w:r w:rsidR="00351584" w:rsidRPr="00351584">
        <w:rPr>
          <w:i/>
        </w:rPr>
        <w:t>hukou</w:t>
      </w:r>
      <w:proofErr w:type="spellEnd"/>
      <w:r w:rsidR="00351584">
        <w:t>. La llamada población flotante, estimada en más de 250 millones de persones, constituye una reserva de mano de obra dispuesta a trabajar en condiciones precarias y de bajos salarios, a la espera de una oportunidad para mejorar su vida. Estas personas, al no poder percibir protección de desempleo alguno tienen muy poco poder de negociación salarial.</w:t>
      </w:r>
    </w:p>
    <w:p w:rsidR="00D36CC2" w:rsidRDefault="006F5FBC" w:rsidP="00E90434">
      <w:pPr>
        <w:pStyle w:val="a0"/>
      </w:pPr>
      <w:r w:rsidRPr="007207CB">
        <w:t xml:space="preserve">El nivel de estudio </w:t>
      </w:r>
      <w:r w:rsidR="00E90434">
        <w:t xml:space="preserve">tiene </w:t>
      </w:r>
      <w:r w:rsidRPr="007207CB">
        <w:t>un impacto dir</w:t>
      </w:r>
      <w:r>
        <w:t>ecto en la calidad de los emple</w:t>
      </w:r>
      <w:r>
        <w:rPr>
          <w:rFonts w:hint="eastAsia"/>
        </w:rPr>
        <w:t>ado</w:t>
      </w:r>
      <w:r w:rsidRPr="007207CB">
        <w:t>s</w:t>
      </w:r>
      <w:r w:rsidR="00E90434">
        <w:t xml:space="preserve"> y en la productividad</w:t>
      </w:r>
      <w:r w:rsidRPr="007207CB">
        <w:t xml:space="preserve">. Con la creciente demanda social para el personal de alta calidad y </w:t>
      </w:r>
      <w:r w:rsidRPr="007207CB">
        <w:rPr>
          <w:rFonts w:hint="eastAsia"/>
        </w:rPr>
        <w:t xml:space="preserve">la mejora de </w:t>
      </w:r>
      <w:r w:rsidRPr="007207CB">
        <w:t>sistema educativo</w:t>
      </w:r>
      <w:r w:rsidRPr="007207CB">
        <w:rPr>
          <w:rFonts w:hint="eastAsia"/>
        </w:rPr>
        <w:t xml:space="preserve">, </w:t>
      </w:r>
      <w:r w:rsidRPr="007207CB">
        <w:t xml:space="preserve">el número de la población activa con </w:t>
      </w:r>
      <w:r w:rsidR="00E90434">
        <w:t>e</w:t>
      </w:r>
      <w:r w:rsidRPr="007207CB">
        <w:t xml:space="preserve">ducación </w:t>
      </w:r>
      <w:r w:rsidR="00E90434">
        <w:t>universitaria</w:t>
      </w:r>
      <w:r w:rsidRPr="007207CB">
        <w:t xml:space="preserve"> está aumentando cada año</w:t>
      </w:r>
      <w:r w:rsidRPr="007207CB">
        <w:rPr>
          <w:rFonts w:hint="eastAsia"/>
        </w:rPr>
        <w:t xml:space="preserve"> en los dos </w:t>
      </w:r>
      <w:r w:rsidRPr="007207CB">
        <w:t>países.</w:t>
      </w:r>
      <w:r w:rsidRPr="007207CB">
        <w:rPr>
          <w:rFonts w:hint="eastAsia"/>
        </w:rPr>
        <w:t xml:space="preserve"> </w:t>
      </w:r>
      <w:r w:rsidRPr="007207CB">
        <w:t>En general</w:t>
      </w:r>
      <w:r>
        <w:rPr>
          <w:rFonts w:hint="eastAsia"/>
        </w:rPr>
        <w:t>,</w:t>
      </w:r>
      <w:r w:rsidRPr="007207CB">
        <w:t xml:space="preserve"> </w:t>
      </w:r>
      <w:r>
        <w:rPr>
          <w:rFonts w:hint="eastAsia"/>
        </w:rPr>
        <w:t xml:space="preserve">el </w:t>
      </w:r>
      <w:r w:rsidR="00627E7F">
        <w:t>nivel medio de cualificación del trabajo</w:t>
      </w:r>
      <w:r>
        <w:rPr>
          <w:rFonts w:hint="eastAsia"/>
        </w:rPr>
        <w:t xml:space="preserve"> </w:t>
      </w:r>
      <w:r w:rsidRPr="007207CB">
        <w:t>español siendo mucho más alto que el de China.</w:t>
      </w:r>
      <w:r w:rsidR="002B0217">
        <w:t xml:space="preserve"> La gran proporción de estudiantes terciarios en España retrasa la entrada en el mercado laboral de los jóvenes que, muchas veces, llegan al mercado laboral después de sus estudios universitarios sin te</w:t>
      </w:r>
      <w:r w:rsidR="00D36CC2">
        <w:t xml:space="preserve">ner experiencia laboral propia. </w:t>
      </w:r>
    </w:p>
    <w:p w:rsidR="002B0217" w:rsidRDefault="002B0217" w:rsidP="00E90434">
      <w:pPr>
        <w:pStyle w:val="a0"/>
      </w:pPr>
      <w:r>
        <w:t xml:space="preserve">La mayoría de la fuerza laboral de los dos países se encuentra en la franja de edades entre 30 y 50 años. El problema del desempleo juvenil es muy grave en España, alcanzado el 57% en el segmento de la población activa entre 16 y 24 años. En China, el desempleo juvenil es también más alto que el conjunto de la población. Este factor, asociado a la </w:t>
      </w:r>
      <w:r w:rsidR="00351584">
        <w:t>relativa dificultad</w:t>
      </w:r>
      <w:r>
        <w:t xml:space="preserve"> para acceder a los estudios superiores, </w:t>
      </w:r>
      <w:r w:rsidR="00351584">
        <w:t xml:space="preserve">está creando un contexto de muy alta competitividad entre los jóvenes del país que luchan para intentar </w:t>
      </w:r>
      <w:r w:rsidR="00351584">
        <w:lastRenderedPageBreak/>
        <w:t>conseguir los mejores empleos que surgen gracias al desarrollo económico sostenido. En España, en cambio, predomina entre los jóvenes una sensación de falta de oportunidad.</w:t>
      </w:r>
    </w:p>
    <w:p w:rsidR="00EE12A0" w:rsidRDefault="00EE12A0" w:rsidP="00E90434">
      <w:pPr>
        <w:pStyle w:val="a0"/>
      </w:pPr>
      <w:r>
        <w:t xml:space="preserve">La integración de las mujeres al mercado laboral español se ha realizado de manera más intensa a lo largo de la última década, </w:t>
      </w:r>
      <w:r w:rsidR="00756462">
        <w:t>alcanzando el 45,6% de la población activa. En China, la proporción de mujeres en el mercado laboral se ha mantenido relativamente estable desde inicios del siglo XXI, incluso con leve descenso hasta situarse en el 43,9%. En España, las mujeres trabajan en casi un 90% en el sector de los s</w:t>
      </w:r>
      <w:r w:rsidR="00D36CC2">
        <w:t xml:space="preserve">ervicios. En China, a lo largo de la última década, una proporción importantes de mujeres han dejado los sectores de la agricultura y de la industria para integrase al sector de los servicios que agrupa al 75% de la población activa ocupada femenina. </w:t>
      </w:r>
    </w:p>
    <w:p w:rsidR="00BB38E7" w:rsidRDefault="00BB38E7" w:rsidP="00E90434">
      <w:pPr>
        <w:pStyle w:val="a0"/>
      </w:pPr>
      <w:r>
        <w:t xml:space="preserve">En ambos países, la estructura del mercado laboral evoluciona hacia la </w:t>
      </w:r>
      <w:proofErr w:type="spellStart"/>
      <w:r>
        <w:t>terciarización</w:t>
      </w:r>
      <w:proofErr w:type="spellEnd"/>
      <w:r>
        <w:t>, es decir que la fuerza laboral se desplaza desde los sectores primarios y segundarios hacia el sector terciario de los servicios. Este fenómeno explica también la mayor necesidad de educación para aumentar la productividad laboral, ya que muchas actividades de prestaciones de servicios se basan en una alta cualificación profesional. En un contexto tecnológico, legal y comercial cada vez más complejo, las empresas necesitan contratar o externalizar muchas funciones necesarias para su óptima adaptación al mercado. Este mismo fenómeno de externalización de algunas funciones de la producción hace que la frontera entre sector segundario y sector terciario se vuelve más difusa. Aun así, se puede afirmar que España se encuentra en un periodo de desindustrialización acelerado, mientras China está aumentando su fuerza laboral y su tejido industrial. La capacidad de producción industrial sigue siendo un factor importante de creación de empleo y resulta improbable avanzar hacia el pleno empleo sin un tejido industrial funcional.</w:t>
      </w:r>
      <w:r w:rsidR="002B2D64">
        <w:t xml:space="preserve"> China, que tiene un sector segundario sólido, presenta tasas de desempleo muy bajas, mientras la pérdida del empleo en la industria en España no se ha visto compensado por el aumento del empleo en el sector de los servicios. </w:t>
      </w:r>
    </w:p>
    <w:p w:rsidR="00743C3E" w:rsidRDefault="0060190E" w:rsidP="00743C3E">
      <w:pPr>
        <w:pStyle w:val="a0"/>
      </w:pPr>
      <w:r>
        <w:lastRenderedPageBreak/>
        <w:t>China y España se encuentran en momentos muy diferentes del desarrollo económico y sus respectivos mercados laborales pre</w:t>
      </w:r>
      <w:r w:rsidR="00BB38E7">
        <w:t>sentan características</w:t>
      </w:r>
      <w:r w:rsidR="00B43507">
        <w:t xml:space="preserve"> también</w:t>
      </w:r>
      <w:r w:rsidR="00BB38E7">
        <w:t xml:space="preserve"> muy diferentes. En el caso de España</w:t>
      </w:r>
      <w:r w:rsidR="00B43507">
        <w:t>,</w:t>
      </w:r>
      <w:r w:rsidR="00BB38E7">
        <w:t xml:space="preserve"> el mayor problema es</w:t>
      </w:r>
      <w:r w:rsidR="002B2D64">
        <w:t>,</w:t>
      </w:r>
      <w:r w:rsidR="00BB38E7">
        <w:t xml:space="preserve"> sin duda</w:t>
      </w:r>
      <w:r w:rsidR="002B2D64">
        <w:t>,</w:t>
      </w:r>
      <w:r w:rsidR="00BB38E7">
        <w:t xml:space="preserve"> el desempleo.</w:t>
      </w:r>
      <w:r w:rsidR="002B2D64">
        <w:t xml:space="preserve"> Las altas tasas de desempleo constituyen un reto de difícil resolución.</w:t>
      </w:r>
      <w:r w:rsidR="00BB38E7">
        <w:t xml:space="preserve"> En el caso de China, el mayor problema se encuentra </w:t>
      </w:r>
      <w:r w:rsidR="009E2D89">
        <w:t xml:space="preserve">la desigualdad, </w:t>
      </w:r>
      <w:r w:rsidR="00BB38E7">
        <w:t xml:space="preserve">en el subempleo de las poblaciones flotantes y en la brecha social </w:t>
      </w:r>
      <w:r w:rsidR="002B2D64">
        <w:t xml:space="preserve">y territorial </w:t>
      </w:r>
      <w:r w:rsidR="00BB38E7">
        <w:t>que está creando este fen</w:t>
      </w:r>
      <w:r w:rsidR="00B43507">
        <w:t>ómeno.</w:t>
      </w:r>
      <w:bookmarkStart w:id="60" w:name="_Toc471215321"/>
    </w:p>
    <w:p w:rsidR="0008433A" w:rsidRDefault="0008433A" w:rsidP="00743C3E">
      <w:pPr>
        <w:pStyle w:val="a0"/>
      </w:pPr>
    </w:p>
    <w:p w:rsidR="0008433A" w:rsidRDefault="0008433A" w:rsidP="00743C3E">
      <w:pPr>
        <w:pStyle w:val="a0"/>
      </w:pPr>
    </w:p>
    <w:p w:rsidR="0008433A" w:rsidRDefault="0008433A" w:rsidP="00743C3E">
      <w:pPr>
        <w:pStyle w:val="a0"/>
      </w:pPr>
    </w:p>
    <w:p w:rsidR="0008433A" w:rsidRDefault="0008433A" w:rsidP="00743C3E">
      <w:pPr>
        <w:pStyle w:val="a0"/>
      </w:pPr>
    </w:p>
    <w:p w:rsidR="0008433A" w:rsidRDefault="0008433A" w:rsidP="00743C3E">
      <w:pPr>
        <w:pStyle w:val="a0"/>
      </w:pPr>
    </w:p>
    <w:p w:rsidR="0008433A" w:rsidRDefault="0008433A" w:rsidP="00743C3E">
      <w:pPr>
        <w:pStyle w:val="a0"/>
      </w:pPr>
    </w:p>
    <w:p w:rsidR="0008433A" w:rsidRDefault="0008433A" w:rsidP="00743C3E">
      <w:pPr>
        <w:pStyle w:val="a0"/>
      </w:pPr>
    </w:p>
    <w:p w:rsidR="0008433A" w:rsidRDefault="0008433A" w:rsidP="00743C3E">
      <w:pPr>
        <w:pStyle w:val="a0"/>
      </w:pPr>
    </w:p>
    <w:p w:rsidR="0008433A" w:rsidRDefault="0008433A" w:rsidP="00743C3E">
      <w:pPr>
        <w:pStyle w:val="a0"/>
      </w:pPr>
    </w:p>
    <w:p w:rsidR="0008433A" w:rsidRDefault="0008433A" w:rsidP="00743C3E">
      <w:pPr>
        <w:pStyle w:val="a0"/>
      </w:pPr>
    </w:p>
    <w:p w:rsidR="0008433A" w:rsidRDefault="0008433A" w:rsidP="00743C3E">
      <w:pPr>
        <w:pStyle w:val="a0"/>
      </w:pPr>
    </w:p>
    <w:p w:rsidR="0008433A" w:rsidRDefault="0008433A" w:rsidP="00743C3E">
      <w:pPr>
        <w:pStyle w:val="a0"/>
      </w:pPr>
    </w:p>
    <w:p w:rsidR="0008433A" w:rsidRPr="00743C3E" w:rsidRDefault="0008433A" w:rsidP="00743C3E">
      <w:pPr>
        <w:pStyle w:val="a0"/>
      </w:pPr>
    </w:p>
    <w:p w:rsidR="001572ED" w:rsidRDefault="004B541A" w:rsidP="001572ED">
      <w:pPr>
        <w:pStyle w:val="Heading1"/>
        <w:rPr>
          <w:rFonts w:cs="Times New Roman"/>
          <w:lang w:val="es-ES"/>
        </w:rPr>
      </w:pPr>
      <w:r w:rsidRPr="00DF599B">
        <w:rPr>
          <w:rFonts w:cs="Times New Roman"/>
          <w:lang w:val="es-ES_tradnl"/>
        </w:rPr>
        <w:lastRenderedPageBreak/>
        <w:t>PARTE 5</w:t>
      </w:r>
      <w:r>
        <w:rPr>
          <w:rFonts w:cs="Times New Roman" w:hint="eastAsia"/>
          <w:lang w:val="es-ES_tradnl"/>
        </w:rPr>
        <w:t>.</w:t>
      </w:r>
      <w:r w:rsidRPr="00DF599B">
        <w:rPr>
          <w:rFonts w:cs="Times New Roman"/>
          <w:lang w:val="es-ES_tradnl"/>
        </w:rPr>
        <w:t xml:space="preserve"> </w:t>
      </w:r>
      <w:r w:rsidRPr="00DF599B">
        <w:rPr>
          <w:rFonts w:cs="Times New Roman"/>
          <w:lang w:val="es-ES"/>
        </w:rPr>
        <w:t>BIBLIOGRAFÍA</w:t>
      </w:r>
      <w:bookmarkEnd w:id="60"/>
    </w:p>
    <w:p w:rsidR="004378EB" w:rsidRDefault="00A11690" w:rsidP="00A11690">
      <w:pPr>
        <w:pStyle w:val="a4"/>
      </w:pPr>
      <w:r>
        <w:t>Belmonte, Ana</w:t>
      </w:r>
      <w:r w:rsidR="00E43019">
        <w:t>,</w:t>
      </w:r>
      <w:r w:rsidRPr="00A11690">
        <w:t xml:space="preserve"> </w:t>
      </w:r>
      <w:r>
        <w:t>&amp;</w:t>
      </w:r>
      <w:r w:rsidRPr="00A11690">
        <w:t xml:space="preserve"> Polo</w:t>
      </w:r>
      <w:r>
        <w:t>,</w:t>
      </w:r>
      <w:r w:rsidRPr="00A11690">
        <w:t xml:space="preserve"> Clemente</w:t>
      </w:r>
      <w:r w:rsidR="00E43019">
        <w:t>,</w:t>
      </w:r>
      <w:r>
        <w:t xml:space="preserve"> (2004)</w:t>
      </w:r>
      <w:r w:rsidR="00E43019">
        <w:t>.</w:t>
      </w:r>
      <w:r w:rsidRPr="00A11690">
        <w:t xml:space="preserve"> </w:t>
      </w:r>
      <w:r>
        <w:t>“</w:t>
      </w:r>
      <w:r w:rsidRPr="00A11690">
        <w:t xml:space="preserve">Formulaciones de la ley de </w:t>
      </w:r>
      <w:proofErr w:type="spellStart"/>
      <w:r w:rsidRPr="00A11690">
        <w:t>Okun</w:t>
      </w:r>
      <w:proofErr w:type="spellEnd"/>
      <w:r w:rsidRPr="00A11690">
        <w:t xml:space="preserve"> y resultados para España.</w:t>
      </w:r>
      <w:r>
        <w:t>”</w:t>
      </w:r>
      <w:r w:rsidR="006E54E8">
        <w:t xml:space="preserve"> In:</w:t>
      </w:r>
      <w:r w:rsidRPr="00A11690">
        <w:t xml:space="preserve"> </w:t>
      </w:r>
      <w:r w:rsidR="006E54E8" w:rsidRPr="006E54E8">
        <w:t>Pérez Fernández</w:t>
      </w:r>
      <w:r w:rsidR="006E54E8">
        <w:t xml:space="preserve">, (Ed.), </w:t>
      </w:r>
      <w:r w:rsidRPr="006E54E8">
        <w:rPr>
          <w:i/>
        </w:rPr>
        <w:t>Estudios en homenaje a Luis Ángel Rojo</w:t>
      </w:r>
      <w:r w:rsidR="006E54E8">
        <w:t>, pp. 263-294.</w:t>
      </w:r>
    </w:p>
    <w:p w:rsidR="004378EB" w:rsidRDefault="004378EB" w:rsidP="000B19C4">
      <w:pPr>
        <w:pStyle w:val="a4"/>
      </w:pPr>
      <w:proofErr w:type="spellStart"/>
      <w:r>
        <w:t>Blanchard</w:t>
      </w:r>
      <w:proofErr w:type="spellEnd"/>
      <w:r>
        <w:t xml:space="preserve">, Olivier; </w:t>
      </w:r>
      <w:proofErr w:type="spellStart"/>
      <w:r>
        <w:t>Amighini</w:t>
      </w:r>
      <w:proofErr w:type="spellEnd"/>
      <w:r>
        <w:t xml:space="preserve">, </w:t>
      </w:r>
      <w:proofErr w:type="spellStart"/>
      <w:r>
        <w:t>A</w:t>
      </w:r>
      <w:r w:rsidR="00E43019">
        <w:t>l</w:t>
      </w:r>
      <w:r>
        <w:t>essia</w:t>
      </w:r>
      <w:proofErr w:type="spellEnd"/>
      <w:r w:rsidR="00E43019">
        <w:t>,</w:t>
      </w:r>
      <w:r>
        <w:t xml:space="preserve"> &amp; </w:t>
      </w:r>
      <w:proofErr w:type="spellStart"/>
      <w:r>
        <w:t>Giavazzi</w:t>
      </w:r>
      <w:proofErr w:type="spellEnd"/>
      <w:r>
        <w:t>, Francesco</w:t>
      </w:r>
      <w:r w:rsidR="00E43019">
        <w:t>,</w:t>
      </w:r>
      <w:r>
        <w:t xml:space="preserve"> (2013). </w:t>
      </w:r>
      <w:r w:rsidRPr="004378EB">
        <w:rPr>
          <w:i/>
        </w:rPr>
        <w:t>Macroeconomía</w:t>
      </w:r>
      <w:r>
        <w:t xml:space="preserve">. 5ª Ed. Madrid: Pearson Educación. </w:t>
      </w:r>
    </w:p>
    <w:p w:rsidR="00E9441B" w:rsidRPr="0008433A" w:rsidRDefault="00E43019" w:rsidP="00E9441B">
      <w:pPr>
        <w:pStyle w:val="a4"/>
        <w:rPr>
          <w:lang w:val="en-US"/>
        </w:rPr>
      </w:pPr>
      <w:r w:rsidRPr="0008433A">
        <w:rPr>
          <w:lang w:val="en-US"/>
        </w:rPr>
        <w:t xml:space="preserve">Chan, </w:t>
      </w:r>
      <w:proofErr w:type="spellStart"/>
      <w:r w:rsidRPr="0008433A">
        <w:rPr>
          <w:lang w:val="en-US"/>
        </w:rPr>
        <w:t>Kam</w:t>
      </w:r>
      <w:proofErr w:type="spellEnd"/>
      <w:r w:rsidRPr="0008433A">
        <w:rPr>
          <w:lang w:val="en-US"/>
        </w:rPr>
        <w:t xml:space="preserve"> Wing, (2013).</w:t>
      </w:r>
      <w:r w:rsidR="00E9441B" w:rsidRPr="0008433A">
        <w:rPr>
          <w:lang w:val="en-US"/>
        </w:rPr>
        <w:t xml:space="preserve"> “China, Internal Migration”. In: Ness, Immanuel</w:t>
      </w:r>
      <w:r w:rsidRPr="0008433A">
        <w:rPr>
          <w:lang w:val="en-US"/>
        </w:rPr>
        <w:t>,</w:t>
      </w:r>
      <w:r w:rsidR="00E9441B" w:rsidRPr="0008433A">
        <w:rPr>
          <w:lang w:val="en-US"/>
        </w:rPr>
        <w:t xml:space="preserve"> &amp; Bellwood, Peter (eds.), </w:t>
      </w:r>
      <w:proofErr w:type="gramStart"/>
      <w:r w:rsidR="00E9441B" w:rsidRPr="0008433A">
        <w:rPr>
          <w:i/>
          <w:lang w:val="en-US"/>
        </w:rPr>
        <w:t>The</w:t>
      </w:r>
      <w:proofErr w:type="gramEnd"/>
      <w:r w:rsidR="00E9441B" w:rsidRPr="0008433A">
        <w:rPr>
          <w:i/>
          <w:lang w:val="en-US"/>
        </w:rPr>
        <w:t xml:space="preserve"> Encyclopedia of Global Migration</w:t>
      </w:r>
      <w:r w:rsidR="00E9441B" w:rsidRPr="0008433A">
        <w:rPr>
          <w:lang w:val="en-US"/>
        </w:rPr>
        <w:t xml:space="preserve">, </w:t>
      </w:r>
      <w:r w:rsidRPr="0008433A">
        <w:rPr>
          <w:lang w:val="en-US"/>
        </w:rPr>
        <w:t xml:space="preserve">pp. 1–46. </w:t>
      </w:r>
      <w:proofErr w:type="gramStart"/>
      <w:r w:rsidR="00E9441B" w:rsidRPr="0008433A">
        <w:rPr>
          <w:lang w:val="en-US"/>
        </w:rPr>
        <w:t>Blackwell Publishing.</w:t>
      </w:r>
      <w:proofErr w:type="gramEnd"/>
    </w:p>
    <w:p w:rsidR="004378EB" w:rsidRDefault="004378EB" w:rsidP="000B19C4">
      <w:pPr>
        <w:pStyle w:val="a4"/>
      </w:pPr>
      <w:proofErr w:type="spellStart"/>
      <w:proofErr w:type="gramStart"/>
      <w:r w:rsidRPr="0008433A">
        <w:rPr>
          <w:lang w:val="en-US"/>
        </w:rPr>
        <w:t>Coibion</w:t>
      </w:r>
      <w:proofErr w:type="spellEnd"/>
      <w:r w:rsidRPr="0008433A">
        <w:rPr>
          <w:lang w:val="en-US"/>
        </w:rPr>
        <w:t xml:space="preserve">, Olivier; </w:t>
      </w:r>
      <w:proofErr w:type="spellStart"/>
      <w:r w:rsidRPr="0008433A">
        <w:rPr>
          <w:lang w:val="en-US"/>
        </w:rPr>
        <w:t>Gorodnichenko</w:t>
      </w:r>
      <w:proofErr w:type="spellEnd"/>
      <w:r w:rsidRPr="0008433A">
        <w:rPr>
          <w:lang w:val="en-US"/>
        </w:rPr>
        <w:t xml:space="preserve">, </w:t>
      </w:r>
      <w:proofErr w:type="spellStart"/>
      <w:r w:rsidRPr="0008433A">
        <w:rPr>
          <w:lang w:val="en-US"/>
        </w:rPr>
        <w:t>Yuriy</w:t>
      </w:r>
      <w:proofErr w:type="spellEnd"/>
      <w:r w:rsidR="00E43019" w:rsidRPr="0008433A">
        <w:rPr>
          <w:lang w:val="en-US"/>
        </w:rPr>
        <w:t>,</w:t>
      </w:r>
      <w:r w:rsidRPr="0008433A">
        <w:rPr>
          <w:lang w:val="en-US"/>
        </w:rPr>
        <w:t xml:space="preserve"> &amp; Wieland Johannes</w:t>
      </w:r>
      <w:r w:rsidR="00E43019" w:rsidRPr="0008433A">
        <w:rPr>
          <w:lang w:val="en-US"/>
        </w:rPr>
        <w:t>,</w:t>
      </w:r>
      <w:r w:rsidRPr="0008433A">
        <w:rPr>
          <w:lang w:val="en-US"/>
        </w:rPr>
        <w:t xml:space="preserve"> (2012)</w:t>
      </w:r>
      <w:r w:rsidR="00E43019" w:rsidRPr="0008433A">
        <w:rPr>
          <w:lang w:val="en-US"/>
        </w:rPr>
        <w:t>.</w:t>
      </w:r>
      <w:proofErr w:type="gramEnd"/>
      <w:r w:rsidRPr="0008433A">
        <w:rPr>
          <w:lang w:val="en-US"/>
        </w:rPr>
        <w:t xml:space="preserve"> “The optimal inflation rate in New Keynesian models: should central banks raise their inflation targets in light of the zero lower bound?</w:t>
      </w:r>
      <w:proofErr w:type="gramStart"/>
      <w:r w:rsidRPr="0008433A">
        <w:rPr>
          <w:lang w:val="en-US"/>
        </w:rPr>
        <w:t>”.</w:t>
      </w:r>
      <w:proofErr w:type="gramEnd"/>
      <w:r w:rsidRPr="0008433A">
        <w:rPr>
          <w:lang w:val="en-US"/>
        </w:rPr>
        <w:t xml:space="preserve"> </w:t>
      </w:r>
      <w:r>
        <w:t>In:</w:t>
      </w:r>
      <w:r w:rsidRPr="004378EB">
        <w:t xml:space="preserve"> </w:t>
      </w:r>
      <w:proofErr w:type="spellStart"/>
      <w:r w:rsidRPr="004378EB">
        <w:rPr>
          <w:i/>
        </w:rPr>
        <w:t>The</w:t>
      </w:r>
      <w:proofErr w:type="spellEnd"/>
      <w:r w:rsidRPr="004378EB">
        <w:rPr>
          <w:i/>
        </w:rPr>
        <w:t xml:space="preserve"> </w:t>
      </w:r>
      <w:proofErr w:type="spellStart"/>
      <w:r w:rsidRPr="004378EB">
        <w:rPr>
          <w:i/>
        </w:rPr>
        <w:t>Review</w:t>
      </w:r>
      <w:proofErr w:type="spellEnd"/>
      <w:r w:rsidRPr="004378EB">
        <w:rPr>
          <w:i/>
        </w:rPr>
        <w:t xml:space="preserve"> of </w:t>
      </w:r>
      <w:proofErr w:type="spellStart"/>
      <w:r w:rsidRPr="004378EB">
        <w:rPr>
          <w:i/>
        </w:rPr>
        <w:t>Economic</w:t>
      </w:r>
      <w:proofErr w:type="spellEnd"/>
      <w:r w:rsidRPr="004378EB">
        <w:rPr>
          <w:i/>
        </w:rPr>
        <w:t xml:space="preserve"> </w:t>
      </w:r>
      <w:proofErr w:type="spellStart"/>
      <w:r w:rsidRPr="004378EB">
        <w:rPr>
          <w:i/>
        </w:rPr>
        <w:t>Studies</w:t>
      </w:r>
      <w:proofErr w:type="spellEnd"/>
      <w:r>
        <w:t>.</w:t>
      </w:r>
    </w:p>
    <w:p w:rsidR="00B43507" w:rsidRDefault="00B43507" w:rsidP="000B19C4">
      <w:pPr>
        <w:pStyle w:val="a4"/>
      </w:pPr>
      <w:proofErr w:type="spellStart"/>
      <w:r>
        <w:t>Compés</w:t>
      </w:r>
      <w:proofErr w:type="spellEnd"/>
      <w:r>
        <w:t xml:space="preserve"> López Raúl, </w:t>
      </w:r>
      <w:r w:rsidRPr="00B43507">
        <w:t xml:space="preserve">&amp; García Álvarez-Coque, José María (2009), </w:t>
      </w:r>
      <w:r>
        <w:t>“</w:t>
      </w:r>
      <w:r w:rsidRPr="00B43507">
        <w:t>La reforma de la PAC y la agricultura española: alternativas y oportunidades para España</w:t>
      </w:r>
      <w:r>
        <w:t>”</w:t>
      </w:r>
      <w:r w:rsidRPr="00B43507">
        <w:t>. OPEX, Observatorio de Política Exterior Española, Documento de trabajo 40/2009</w:t>
      </w:r>
      <w:r>
        <w:t>.</w:t>
      </w:r>
    </w:p>
    <w:p w:rsidR="00F16F25" w:rsidRDefault="003521F0" w:rsidP="00F16F25">
      <w:pPr>
        <w:pStyle w:val="a4"/>
      </w:pPr>
      <w:proofErr w:type="spellStart"/>
      <w:r>
        <w:t>Crabbe</w:t>
      </w:r>
      <w:proofErr w:type="spellEnd"/>
      <w:r>
        <w:t>, Matthew</w:t>
      </w:r>
      <w:r w:rsidR="00E43019">
        <w:t>,</w:t>
      </w:r>
      <w:r>
        <w:t xml:space="preserve"> (2014)</w:t>
      </w:r>
      <w:r w:rsidR="00E43019">
        <w:t>.</w:t>
      </w:r>
      <w:r>
        <w:t xml:space="preserve"> </w:t>
      </w:r>
      <w:proofErr w:type="gramStart"/>
      <w:r w:rsidRPr="0008433A">
        <w:rPr>
          <w:i/>
          <w:lang w:val="en-US"/>
        </w:rPr>
        <w:t>Myth-busting China’s numbers.</w:t>
      </w:r>
      <w:proofErr w:type="gramEnd"/>
      <w:r w:rsidRPr="0008433A">
        <w:rPr>
          <w:i/>
          <w:lang w:val="en-US"/>
        </w:rPr>
        <w:t xml:space="preserve"> </w:t>
      </w:r>
      <w:proofErr w:type="gramStart"/>
      <w:r w:rsidRPr="0008433A">
        <w:rPr>
          <w:i/>
          <w:lang w:val="en-US"/>
        </w:rPr>
        <w:t>Understanding and using China’s statistics</w:t>
      </w:r>
      <w:r w:rsidRPr="0008433A">
        <w:rPr>
          <w:lang w:val="en-US"/>
        </w:rPr>
        <w:t>.</w:t>
      </w:r>
      <w:proofErr w:type="gramEnd"/>
      <w:r w:rsidRPr="0008433A">
        <w:rPr>
          <w:lang w:val="en-US"/>
        </w:rPr>
        <w:t xml:space="preserve"> </w:t>
      </w:r>
      <w:r>
        <w:t xml:space="preserve">New York: </w:t>
      </w:r>
      <w:proofErr w:type="spellStart"/>
      <w:r>
        <w:t>Palgrave</w:t>
      </w:r>
      <w:proofErr w:type="spellEnd"/>
      <w:r>
        <w:t xml:space="preserve"> </w:t>
      </w:r>
      <w:proofErr w:type="spellStart"/>
      <w:r>
        <w:t>Macmillan</w:t>
      </w:r>
      <w:proofErr w:type="spellEnd"/>
      <w:r>
        <w:t xml:space="preserve">. </w:t>
      </w:r>
    </w:p>
    <w:p w:rsidR="00B43507" w:rsidRDefault="00B43507" w:rsidP="000B19C4">
      <w:pPr>
        <w:pStyle w:val="a4"/>
      </w:pPr>
      <w:r w:rsidRPr="00B43507">
        <w:t xml:space="preserve">Cuadrado </w:t>
      </w:r>
      <w:proofErr w:type="spellStart"/>
      <w:r w:rsidRPr="00B43507">
        <w:t>Roura</w:t>
      </w:r>
      <w:proofErr w:type="spellEnd"/>
      <w:r w:rsidRPr="00B43507">
        <w:t>, Juan Ramón</w:t>
      </w:r>
      <w:r w:rsidR="00E43019">
        <w:t>,</w:t>
      </w:r>
      <w:r>
        <w:t xml:space="preserve"> (2016)</w:t>
      </w:r>
      <w:r w:rsidR="00E43019">
        <w:t>.</w:t>
      </w:r>
      <w:r w:rsidRPr="00B43507">
        <w:t xml:space="preserve"> </w:t>
      </w:r>
      <w:r>
        <w:t>“</w:t>
      </w:r>
      <w:r w:rsidRPr="00B43507">
        <w:t xml:space="preserve">Desindustrialización versus </w:t>
      </w:r>
      <w:proofErr w:type="spellStart"/>
      <w:r w:rsidRPr="00B43507">
        <w:t>Terciarización</w:t>
      </w:r>
      <w:proofErr w:type="spellEnd"/>
      <w:r w:rsidRPr="00B43507">
        <w:t>: del aparente conflicto a una creciente integración</w:t>
      </w:r>
      <w:r>
        <w:t>”</w:t>
      </w:r>
      <w:r w:rsidRPr="00B43507">
        <w:t xml:space="preserve">. </w:t>
      </w:r>
      <w:r w:rsidRPr="00B43507">
        <w:rPr>
          <w:i/>
        </w:rPr>
        <w:t>Instituto Universitario de Análisis Económico y Social</w:t>
      </w:r>
      <w:r w:rsidRPr="00B43507">
        <w:t>, No. 08/16.</w:t>
      </w:r>
    </w:p>
    <w:p w:rsidR="00CC2D2B" w:rsidRPr="0008433A" w:rsidRDefault="00E43019" w:rsidP="000B19C4">
      <w:pPr>
        <w:pStyle w:val="a4"/>
        <w:rPr>
          <w:lang w:val="en-US"/>
        </w:rPr>
      </w:pPr>
      <w:r>
        <w:t xml:space="preserve">Fan, Cindy C., </w:t>
      </w:r>
      <w:r w:rsidR="00CC2D2B">
        <w:t>(2008)</w:t>
      </w:r>
      <w:r>
        <w:t>.</w:t>
      </w:r>
      <w:r w:rsidR="00CC2D2B" w:rsidRPr="00CC2D2B">
        <w:t xml:space="preserve"> </w:t>
      </w:r>
      <w:proofErr w:type="gramStart"/>
      <w:r w:rsidR="00CC2D2B" w:rsidRPr="0008433A">
        <w:rPr>
          <w:lang w:val="en-US"/>
        </w:rPr>
        <w:t xml:space="preserve">“Migration, </w:t>
      </w:r>
      <w:proofErr w:type="spellStart"/>
      <w:r w:rsidR="00CC2D2B" w:rsidRPr="0008433A">
        <w:rPr>
          <w:lang w:val="en-US"/>
        </w:rPr>
        <w:t>Hukou</w:t>
      </w:r>
      <w:proofErr w:type="spellEnd"/>
      <w:r w:rsidR="00CC2D2B" w:rsidRPr="0008433A">
        <w:rPr>
          <w:lang w:val="en-US"/>
        </w:rPr>
        <w:t>, and the City”.</w:t>
      </w:r>
      <w:proofErr w:type="gramEnd"/>
      <w:r w:rsidR="00CC2D2B" w:rsidRPr="0008433A">
        <w:rPr>
          <w:lang w:val="en-US"/>
        </w:rPr>
        <w:t xml:space="preserve"> In:</w:t>
      </w:r>
      <w:r w:rsidRPr="0008433A">
        <w:rPr>
          <w:lang w:val="en-US"/>
        </w:rPr>
        <w:t xml:space="preserve"> Yusuf, </w:t>
      </w:r>
      <w:proofErr w:type="spellStart"/>
      <w:r w:rsidRPr="0008433A">
        <w:rPr>
          <w:lang w:val="en-US"/>
        </w:rPr>
        <w:t>Shahid</w:t>
      </w:r>
      <w:proofErr w:type="spellEnd"/>
      <w:r w:rsidRPr="0008433A">
        <w:rPr>
          <w:lang w:val="en-US"/>
        </w:rPr>
        <w:t xml:space="preserve">, &amp; </w:t>
      </w:r>
      <w:proofErr w:type="spellStart"/>
      <w:r w:rsidRPr="0008433A">
        <w:rPr>
          <w:lang w:val="en-US"/>
        </w:rPr>
        <w:t>Saich</w:t>
      </w:r>
      <w:proofErr w:type="spellEnd"/>
      <w:r w:rsidRPr="0008433A">
        <w:rPr>
          <w:lang w:val="en-US"/>
        </w:rPr>
        <w:t xml:space="preserve">, Tony, </w:t>
      </w:r>
      <w:r w:rsidR="00CC2D2B" w:rsidRPr="0008433A">
        <w:rPr>
          <w:i/>
          <w:lang w:val="en-US"/>
        </w:rPr>
        <w:t>China urbanizes: Consequences, strategies, and policies</w:t>
      </w:r>
      <w:r w:rsidR="00CC2D2B" w:rsidRPr="0008433A">
        <w:rPr>
          <w:lang w:val="en-US"/>
        </w:rPr>
        <w:t>, pp.</w:t>
      </w:r>
      <w:r w:rsidRPr="0008433A">
        <w:rPr>
          <w:lang w:val="en-US"/>
        </w:rPr>
        <w:t xml:space="preserve"> </w:t>
      </w:r>
      <w:r w:rsidR="00CC2D2B" w:rsidRPr="0008433A">
        <w:rPr>
          <w:lang w:val="en-US"/>
        </w:rPr>
        <w:t>65</w:t>
      </w:r>
      <w:r w:rsidRPr="0008433A">
        <w:rPr>
          <w:lang w:val="en-US"/>
        </w:rPr>
        <w:t>–</w:t>
      </w:r>
      <w:r w:rsidR="00CC2D2B" w:rsidRPr="0008433A">
        <w:rPr>
          <w:lang w:val="en-US"/>
        </w:rPr>
        <w:t>89.</w:t>
      </w:r>
      <w:r w:rsidRPr="0008433A">
        <w:rPr>
          <w:lang w:val="en-US"/>
        </w:rPr>
        <w:t xml:space="preserve"> Washington DC: The World Bank.</w:t>
      </w:r>
    </w:p>
    <w:p w:rsidR="00124578" w:rsidRPr="0008433A" w:rsidRDefault="00124578" w:rsidP="000B19C4">
      <w:pPr>
        <w:pStyle w:val="a4"/>
        <w:rPr>
          <w:lang w:val="en-US"/>
        </w:rPr>
      </w:pPr>
      <w:proofErr w:type="spellStart"/>
      <w:proofErr w:type="gramStart"/>
      <w:r w:rsidRPr="0008433A">
        <w:rPr>
          <w:lang w:val="en-US"/>
        </w:rPr>
        <w:t>Galí</w:t>
      </w:r>
      <w:proofErr w:type="spellEnd"/>
      <w:r w:rsidRPr="0008433A">
        <w:rPr>
          <w:lang w:val="en-US"/>
        </w:rPr>
        <w:t xml:space="preserve">, </w:t>
      </w:r>
      <w:proofErr w:type="spellStart"/>
      <w:r w:rsidRPr="0008433A">
        <w:rPr>
          <w:lang w:val="en-US"/>
        </w:rPr>
        <w:t>Jordi</w:t>
      </w:r>
      <w:proofErr w:type="spellEnd"/>
      <w:r w:rsidRPr="0008433A">
        <w:rPr>
          <w:lang w:val="en-US"/>
        </w:rPr>
        <w:t xml:space="preserve">, &amp; </w:t>
      </w:r>
      <w:proofErr w:type="spellStart"/>
      <w:r w:rsidRPr="0008433A">
        <w:rPr>
          <w:lang w:val="en-US"/>
        </w:rPr>
        <w:t>Gertler</w:t>
      </w:r>
      <w:proofErr w:type="spellEnd"/>
      <w:r w:rsidRPr="0008433A">
        <w:rPr>
          <w:lang w:val="en-US"/>
        </w:rPr>
        <w:t>, Mark</w:t>
      </w:r>
      <w:r w:rsidR="00F16F25" w:rsidRPr="0008433A">
        <w:rPr>
          <w:lang w:val="en-US"/>
        </w:rPr>
        <w:t>,</w:t>
      </w:r>
      <w:r w:rsidRPr="0008433A">
        <w:rPr>
          <w:lang w:val="en-US"/>
        </w:rPr>
        <w:t xml:space="preserve"> (1999)</w:t>
      </w:r>
      <w:r w:rsidR="00F16F25" w:rsidRPr="0008433A">
        <w:rPr>
          <w:lang w:val="en-US"/>
        </w:rPr>
        <w:t>.</w:t>
      </w:r>
      <w:proofErr w:type="gramEnd"/>
      <w:r w:rsidRPr="0008433A">
        <w:rPr>
          <w:lang w:val="en-US"/>
        </w:rPr>
        <w:t xml:space="preserve"> “Inflation dynamics: A structural econometric analysis”. </w:t>
      </w:r>
      <w:proofErr w:type="gramStart"/>
      <w:r w:rsidRPr="0008433A">
        <w:rPr>
          <w:i/>
          <w:lang w:val="en-US"/>
        </w:rPr>
        <w:t>Journal of Monetary Economics</w:t>
      </w:r>
      <w:r w:rsidRPr="0008433A">
        <w:rPr>
          <w:lang w:val="en-US"/>
        </w:rPr>
        <w:t>, Vol. 44, pp. 195</w:t>
      </w:r>
      <w:r w:rsidR="00F16F25" w:rsidRPr="0008433A">
        <w:rPr>
          <w:lang w:val="en-US"/>
        </w:rPr>
        <w:t xml:space="preserve"> –</w:t>
      </w:r>
      <w:r w:rsidRPr="0008433A">
        <w:rPr>
          <w:lang w:val="en-US"/>
        </w:rPr>
        <w:t>222.</w:t>
      </w:r>
      <w:proofErr w:type="gramEnd"/>
    </w:p>
    <w:p w:rsidR="00B35948" w:rsidRPr="0008433A" w:rsidRDefault="00B35948" w:rsidP="00B35948">
      <w:pPr>
        <w:pStyle w:val="a4"/>
        <w:rPr>
          <w:lang w:val="en-US"/>
        </w:rPr>
      </w:pPr>
      <w:proofErr w:type="gramStart"/>
      <w:r w:rsidRPr="0008433A">
        <w:rPr>
          <w:lang w:val="en-US"/>
        </w:rPr>
        <w:lastRenderedPageBreak/>
        <w:t xml:space="preserve">Huang, Yi; </w:t>
      </w:r>
      <w:proofErr w:type="spellStart"/>
      <w:r w:rsidRPr="0008433A">
        <w:rPr>
          <w:lang w:val="en-US"/>
        </w:rPr>
        <w:t>Loungani</w:t>
      </w:r>
      <w:proofErr w:type="spellEnd"/>
      <w:r w:rsidRPr="0008433A">
        <w:rPr>
          <w:lang w:val="en-US"/>
        </w:rPr>
        <w:t xml:space="preserve">, </w:t>
      </w:r>
      <w:proofErr w:type="spellStart"/>
      <w:r w:rsidRPr="0008433A">
        <w:rPr>
          <w:lang w:val="en-US"/>
        </w:rPr>
        <w:t>Prakash</w:t>
      </w:r>
      <w:proofErr w:type="spellEnd"/>
      <w:r w:rsidR="00F16F25" w:rsidRPr="0008433A">
        <w:rPr>
          <w:lang w:val="en-US"/>
        </w:rPr>
        <w:t>,</w:t>
      </w:r>
      <w:r w:rsidRPr="0008433A">
        <w:rPr>
          <w:lang w:val="en-US"/>
        </w:rPr>
        <w:t xml:space="preserve"> &amp; Wang, </w:t>
      </w:r>
      <w:proofErr w:type="spellStart"/>
      <w:r w:rsidRPr="0008433A">
        <w:rPr>
          <w:lang w:val="en-US"/>
        </w:rPr>
        <w:t>Gewei</w:t>
      </w:r>
      <w:proofErr w:type="spellEnd"/>
      <w:r w:rsidR="00F16F25" w:rsidRPr="0008433A">
        <w:rPr>
          <w:lang w:val="en-US"/>
        </w:rPr>
        <w:t>,</w:t>
      </w:r>
      <w:r w:rsidRPr="0008433A">
        <w:rPr>
          <w:lang w:val="en-US"/>
        </w:rPr>
        <w:t xml:space="preserve"> (2014)</w:t>
      </w:r>
      <w:r w:rsidR="00F16F25" w:rsidRPr="0008433A">
        <w:rPr>
          <w:lang w:val="en-US"/>
        </w:rPr>
        <w:t>.</w:t>
      </w:r>
      <w:proofErr w:type="gramEnd"/>
      <w:r w:rsidRPr="0008433A">
        <w:rPr>
          <w:lang w:val="en-US"/>
        </w:rPr>
        <w:t xml:space="preserve"> “Minimum Wages and Firm Employment: Evidence from China”. </w:t>
      </w:r>
      <w:proofErr w:type="gramStart"/>
      <w:r w:rsidRPr="0008433A">
        <w:rPr>
          <w:lang w:val="en-US"/>
        </w:rPr>
        <w:t>Federal Reserve Bank of Dallas Globalization and Monetary Policy Institute, Working Paper No. 173</w:t>
      </w:r>
      <w:r w:rsidR="00E90AE2" w:rsidRPr="0008433A">
        <w:rPr>
          <w:lang w:val="en-US"/>
        </w:rPr>
        <w:t>.</w:t>
      </w:r>
      <w:proofErr w:type="gramEnd"/>
    </w:p>
    <w:p w:rsidR="00E90AE2" w:rsidRPr="0008433A" w:rsidRDefault="00E90AE2" w:rsidP="00E90AE2">
      <w:pPr>
        <w:pStyle w:val="a4"/>
        <w:rPr>
          <w:lang w:val="en-US"/>
        </w:rPr>
      </w:pPr>
      <w:proofErr w:type="gramStart"/>
      <w:r w:rsidRPr="0008433A">
        <w:rPr>
          <w:lang w:val="en-US"/>
        </w:rPr>
        <w:t>Knight, John</w:t>
      </w:r>
      <w:r w:rsidR="00F16F25" w:rsidRPr="0008433A">
        <w:rPr>
          <w:lang w:val="en-US"/>
        </w:rPr>
        <w:t>,</w:t>
      </w:r>
      <w:r w:rsidRPr="0008433A">
        <w:rPr>
          <w:lang w:val="en-US"/>
        </w:rPr>
        <w:t xml:space="preserve"> (2013)</w:t>
      </w:r>
      <w:r w:rsidR="00F16F25" w:rsidRPr="0008433A">
        <w:rPr>
          <w:lang w:val="en-US"/>
        </w:rPr>
        <w:t>.</w:t>
      </w:r>
      <w:proofErr w:type="gramEnd"/>
      <w:r w:rsidRPr="0008433A">
        <w:rPr>
          <w:lang w:val="en-US"/>
        </w:rPr>
        <w:t xml:space="preserve"> “Inequality in China: an overview.” </w:t>
      </w:r>
      <w:r w:rsidRPr="0008433A">
        <w:rPr>
          <w:i/>
          <w:lang w:val="en-US"/>
        </w:rPr>
        <w:t>The World Bank Research Observer</w:t>
      </w:r>
      <w:r w:rsidRPr="0008433A">
        <w:rPr>
          <w:lang w:val="en-US"/>
        </w:rPr>
        <w:t>, Policy Research Working Paper 6482.</w:t>
      </w:r>
    </w:p>
    <w:p w:rsidR="00BC1B47" w:rsidRDefault="00BC1B47" w:rsidP="00E90AE2">
      <w:pPr>
        <w:pStyle w:val="a4"/>
      </w:pPr>
      <w:proofErr w:type="spellStart"/>
      <w:r w:rsidRPr="00BC1B47">
        <w:t>Larraz</w:t>
      </w:r>
      <w:proofErr w:type="spellEnd"/>
      <w:r w:rsidRPr="00BC1B47">
        <w:t xml:space="preserve">, Beatriz, </w:t>
      </w:r>
      <w:r>
        <w:t>&amp;</w:t>
      </w:r>
      <w:r w:rsidRPr="00BC1B47">
        <w:t xml:space="preserve"> Herrera</w:t>
      </w:r>
      <w:r>
        <w:t xml:space="preserve">, </w:t>
      </w:r>
      <w:r w:rsidRPr="00BC1B47">
        <w:t>Marcos</w:t>
      </w:r>
      <w:r>
        <w:t xml:space="preserve"> (2016)</w:t>
      </w:r>
      <w:r w:rsidRPr="00BC1B47">
        <w:t xml:space="preserve">. </w:t>
      </w:r>
      <w:r>
        <w:t>“</w:t>
      </w:r>
      <w:r w:rsidRPr="00BC1B47">
        <w:t>Factores condicionantes y dependencia espacial en el grado de concentración salarial en España.</w:t>
      </w:r>
      <w:r>
        <w:t>”</w:t>
      </w:r>
      <w:r w:rsidRPr="00BC1B47">
        <w:t xml:space="preserve"> Estudios de Economía Aplicada</w:t>
      </w:r>
      <w:r>
        <w:t>,</w:t>
      </w:r>
      <w:r w:rsidRPr="00BC1B47">
        <w:t xml:space="preserve"> </w:t>
      </w:r>
      <w:r>
        <w:t>Vol. 34, no. 3, pp. 607-628.</w:t>
      </w:r>
    </w:p>
    <w:p w:rsidR="00E90AE2" w:rsidRPr="0008433A" w:rsidRDefault="00E90AE2" w:rsidP="00B35948">
      <w:pPr>
        <w:pStyle w:val="a4"/>
        <w:rPr>
          <w:lang w:val="en-US"/>
        </w:rPr>
      </w:pPr>
      <w:r w:rsidRPr="00E90AE2">
        <w:t xml:space="preserve">Li, </w:t>
      </w:r>
      <w:proofErr w:type="spellStart"/>
      <w:r w:rsidRPr="00E90AE2">
        <w:t>Shi</w:t>
      </w:r>
      <w:proofErr w:type="spellEnd"/>
      <w:r w:rsidRPr="00E90AE2">
        <w:t xml:space="preserve">, </w:t>
      </w:r>
      <w:r>
        <w:t>&amp;</w:t>
      </w:r>
      <w:r w:rsidRPr="00E90AE2">
        <w:t xml:space="preserve"> </w:t>
      </w:r>
      <w:proofErr w:type="spellStart"/>
      <w:r w:rsidRPr="00E90AE2">
        <w:t>Sicular</w:t>
      </w:r>
      <w:proofErr w:type="spellEnd"/>
      <w:r>
        <w:t>,</w:t>
      </w:r>
      <w:r w:rsidRPr="00E90AE2">
        <w:t xml:space="preserve"> Terry</w:t>
      </w:r>
      <w:r w:rsidR="00F16F25">
        <w:t>,</w:t>
      </w:r>
      <w:r>
        <w:t xml:space="preserve"> (2014)</w:t>
      </w:r>
      <w:r w:rsidR="00F16F25">
        <w:t>.</w:t>
      </w:r>
      <w:r>
        <w:t xml:space="preserve"> </w:t>
      </w:r>
      <w:r w:rsidRPr="0008433A">
        <w:rPr>
          <w:lang w:val="en-US"/>
        </w:rPr>
        <w:t xml:space="preserve">“The distribution of household income in China: Inequality, poverty and policies”. </w:t>
      </w:r>
      <w:r w:rsidRPr="0008433A">
        <w:rPr>
          <w:i/>
          <w:lang w:val="en-US"/>
        </w:rPr>
        <w:t>The China Quarterly</w:t>
      </w:r>
      <w:r w:rsidRPr="0008433A">
        <w:rPr>
          <w:lang w:val="en-US"/>
        </w:rPr>
        <w:t>, No. 217, pp. 1</w:t>
      </w:r>
      <w:r w:rsidR="00F16F25" w:rsidRPr="0008433A">
        <w:rPr>
          <w:lang w:val="en-US"/>
        </w:rPr>
        <w:t>–</w:t>
      </w:r>
      <w:r w:rsidRPr="0008433A">
        <w:rPr>
          <w:lang w:val="en-US"/>
        </w:rPr>
        <w:t>41.</w:t>
      </w:r>
    </w:p>
    <w:p w:rsidR="00E9441B" w:rsidRPr="0008433A" w:rsidRDefault="00E9441B" w:rsidP="00E9441B">
      <w:pPr>
        <w:pStyle w:val="a4"/>
        <w:rPr>
          <w:lang w:val="en-US"/>
        </w:rPr>
      </w:pPr>
      <w:proofErr w:type="gramStart"/>
      <w:r w:rsidRPr="0008433A">
        <w:rPr>
          <w:lang w:val="en-US"/>
        </w:rPr>
        <w:t xml:space="preserve">Li, </w:t>
      </w:r>
      <w:proofErr w:type="spellStart"/>
      <w:r w:rsidRPr="0008433A">
        <w:rPr>
          <w:lang w:val="en-US"/>
        </w:rPr>
        <w:t>Hongbin</w:t>
      </w:r>
      <w:proofErr w:type="spellEnd"/>
      <w:r w:rsidRPr="0008433A">
        <w:rPr>
          <w:lang w:val="en-US"/>
        </w:rPr>
        <w:t xml:space="preserve">; Li, Lei; Wu, </w:t>
      </w:r>
      <w:proofErr w:type="spellStart"/>
      <w:r w:rsidRPr="0008433A">
        <w:rPr>
          <w:lang w:val="en-US"/>
        </w:rPr>
        <w:t>Binzheng</w:t>
      </w:r>
      <w:proofErr w:type="spellEnd"/>
      <w:r w:rsidR="00F16F25" w:rsidRPr="0008433A">
        <w:rPr>
          <w:lang w:val="en-US"/>
        </w:rPr>
        <w:t>,</w:t>
      </w:r>
      <w:r w:rsidRPr="0008433A">
        <w:rPr>
          <w:lang w:val="en-US"/>
        </w:rPr>
        <w:t xml:space="preserve"> &amp; </w:t>
      </w:r>
      <w:proofErr w:type="spellStart"/>
      <w:r w:rsidRPr="0008433A">
        <w:rPr>
          <w:lang w:val="en-US"/>
        </w:rPr>
        <w:t>Xiong</w:t>
      </w:r>
      <w:proofErr w:type="spellEnd"/>
      <w:r w:rsidRPr="0008433A">
        <w:rPr>
          <w:lang w:val="en-US"/>
        </w:rPr>
        <w:t xml:space="preserve">, </w:t>
      </w:r>
      <w:proofErr w:type="spellStart"/>
      <w:r w:rsidRPr="0008433A">
        <w:rPr>
          <w:lang w:val="en-US"/>
        </w:rPr>
        <w:t>Yanyan</w:t>
      </w:r>
      <w:proofErr w:type="spellEnd"/>
      <w:r w:rsidR="00F16F25" w:rsidRPr="0008433A">
        <w:rPr>
          <w:lang w:val="en-US"/>
        </w:rPr>
        <w:t>,</w:t>
      </w:r>
      <w:r w:rsidRPr="0008433A">
        <w:rPr>
          <w:lang w:val="en-US"/>
        </w:rPr>
        <w:t xml:space="preserve"> (2012)</w:t>
      </w:r>
      <w:r w:rsidR="00F16F25" w:rsidRPr="0008433A">
        <w:rPr>
          <w:lang w:val="en-US"/>
        </w:rPr>
        <w:t>.</w:t>
      </w:r>
      <w:proofErr w:type="gramEnd"/>
      <w:r w:rsidRPr="0008433A">
        <w:rPr>
          <w:lang w:val="en-US"/>
        </w:rPr>
        <w:t xml:space="preserve"> </w:t>
      </w:r>
      <w:proofErr w:type="gramStart"/>
      <w:r w:rsidRPr="0008433A">
        <w:rPr>
          <w:lang w:val="en-US"/>
        </w:rPr>
        <w:t>“The end of cheap Chinese labor”.</w:t>
      </w:r>
      <w:proofErr w:type="gramEnd"/>
      <w:r w:rsidRPr="0008433A">
        <w:rPr>
          <w:lang w:val="en-US"/>
        </w:rPr>
        <w:t xml:space="preserve"> </w:t>
      </w:r>
      <w:r w:rsidRPr="0008433A">
        <w:rPr>
          <w:i/>
          <w:lang w:val="en-US"/>
        </w:rPr>
        <w:t>Journal of Economic Perspectives</w:t>
      </w:r>
      <w:r w:rsidRPr="0008433A">
        <w:rPr>
          <w:lang w:val="en-US"/>
        </w:rPr>
        <w:t>, Vol. 26, no.4, pp. 57–74.</w:t>
      </w:r>
    </w:p>
    <w:p w:rsidR="000B19C4" w:rsidRDefault="000B19C4" w:rsidP="000B19C4">
      <w:pPr>
        <w:pStyle w:val="a4"/>
      </w:pPr>
      <w:proofErr w:type="spellStart"/>
      <w:r w:rsidRPr="0008433A">
        <w:rPr>
          <w:lang w:val="en-US"/>
        </w:rPr>
        <w:t>Mankiw</w:t>
      </w:r>
      <w:proofErr w:type="spellEnd"/>
      <w:r w:rsidRPr="0008433A">
        <w:rPr>
          <w:lang w:val="en-US"/>
        </w:rPr>
        <w:t>, Gregory</w:t>
      </w:r>
      <w:r w:rsidR="00F16F25" w:rsidRPr="0008433A">
        <w:rPr>
          <w:lang w:val="en-US"/>
        </w:rPr>
        <w:t>,</w:t>
      </w:r>
      <w:r w:rsidRPr="0008433A">
        <w:rPr>
          <w:lang w:val="en-US"/>
        </w:rPr>
        <w:t xml:space="preserve"> (2014). </w:t>
      </w:r>
      <w:proofErr w:type="spellStart"/>
      <w:proofErr w:type="gramStart"/>
      <w:r w:rsidRPr="0008433A">
        <w:rPr>
          <w:i/>
          <w:lang w:val="en-US"/>
        </w:rPr>
        <w:t>Macroeconomía</w:t>
      </w:r>
      <w:proofErr w:type="spellEnd"/>
      <w:r w:rsidR="004378EB" w:rsidRPr="0008433A">
        <w:rPr>
          <w:lang w:val="en-US"/>
        </w:rPr>
        <w:t>.</w:t>
      </w:r>
      <w:proofErr w:type="gramEnd"/>
      <w:r w:rsidRPr="0008433A">
        <w:rPr>
          <w:lang w:val="en-US"/>
        </w:rPr>
        <w:t xml:space="preserve"> </w:t>
      </w:r>
      <w:r>
        <w:t>8ª Ed. Barcelona: Antoni Bosch</w:t>
      </w:r>
    </w:p>
    <w:p w:rsidR="000B19C4" w:rsidRDefault="000B19C4" w:rsidP="000B19C4">
      <w:pPr>
        <w:pStyle w:val="a4"/>
      </w:pPr>
      <w:r>
        <w:t xml:space="preserve">Martínez </w:t>
      </w:r>
      <w:proofErr w:type="spellStart"/>
      <w:r>
        <w:t>Moure</w:t>
      </w:r>
      <w:proofErr w:type="spellEnd"/>
      <w:r>
        <w:t>, Olga</w:t>
      </w:r>
      <w:r w:rsidR="00F16F25">
        <w:t>,</w:t>
      </w:r>
      <w:r>
        <w:t xml:space="preserve"> (2014)</w:t>
      </w:r>
      <w:r w:rsidR="00F16F25">
        <w:t xml:space="preserve">. </w:t>
      </w:r>
      <w:r w:rsidRPr="004378EB">
        <w:rPr>
          <w:i/>
        </w:rPr>
        <w:t>Mercado de trabajo y empleo</w:t>
      </w:r>
      <w:r>
        <w:t>. Madrid: Centro de Estudios financieros.</w:t>
      </w:r>
    </w:p>
    <w:p w:rsidR="00A87146" w:rsidRPr="0008433A" w:rsidRDefault="00A87146" w:rsidP="000B19C4">
      <w:pPr>
        <w:pStyle w:val="a4"/>
        <w:rPr>
          <w:lang w:val="en-US"/>
        </w:rPr>
      </w:pPr>
      <w:proofErr w:type="spellStart"/>
      <w:proofErr w:type="gramStart"/>
      <w:r w:rsidRPr="0008433A">
        <w:rPr>
          <w:lang w:val="en-US"/>
        </w:rPr>
        <w:t>Meng</w:t>
      </w:r>
      <w:proofErr w:type="spellEnd"/>
      <w:r w:rsidRPr="0008433A">
        <w:rPr>
          <w:lang w:val="en-US"/>
        </w:rPr>
        <w:t xml:space="preserve">, </w:t>
      </w:r>
      <w:proofErr w:type="spellStart"/>
      <w:r w:rsidRPr="0008433A">
        <w:rPr>
          <w:lang w:val="en-US"/>
        </w:rPr>
        <w:t>Xin</w:t>
      </w:r>
      <w:proofErr w:type="spellEnd"/>
      <w:r w:rsidRPr="0008433A">
        <w:rPr>
          <w:lang w:val="en-US"/>
        </w:rPr>
        <w:t xml:space="preserve">; </w:t>
      </w:r>
      <w:proofErr w:type="spellStart"/>
      <w:r w:rsidRPr="0008433A">
        <w:rPr>
          <w:lang w:val="en-US"/>
        </w:rPr>
        <w:t>Shen</w:t>
      </w:r>
      <w:proofErr w:type="spellEnd"/>
      <w:r w:rsidRPr="0008433A">
        <w:rPr>
          <w:lang w:val="en-US"/>
        </w:rPr>
        <w:t xml:space="preserve">, </w:t>
      </w:r>
      <w:proofErr w:type="spellStart"/>
      <w:r w:rsidRPr="0008433A">
        <w:rPr>
          <w:lang w:val="en-US"/>
        </w:rPr>
        <w:t>Kailing</w:t>
      </w:r>
      <w:proofErr w:type="spellEnd"/>
      <w:r w:rsidR="00F16F25" w:rsidRPr="0008433A">
        <w:rPr>
          <w:lang w:val="en-US"/>
        </w:rPr>
        <w:t>,</w:t>
      </w:r>
      <w:r w:rsidRPr="0008433A">
        <w:rPr>
          <w:lang w:val="en-US"/>
        </w:rPr>
        <w:t xml:space="preserve"> &amp; </w:t>
      </w:r>
      <w:proofErr w:type="spellStart"/>
      <w:r w:rsidRPr="0008433A">
        <w:rPr>
          <w:lang w:val="en-US"/>
        </w:rPr>
        <w:t>Xue</w:t>
      </w:r>
      <w:proofErr w:type="spellEnd"/>
      <w:r w:rsidRPr="0008433A">
        <w:rPr>
          <w:lang w:val="en-US"/>
        </w:rPr>
        <w:t xml:space="preserve">, </w:t>
      </w:r>
      <w:proofErr w:type="spellStart"/>
      <w:r w:rsidRPr="0008433A">
        <w:rPr>
          <w:lang w:val="en-US"/>
        </w:rPr>
        <w:t>Sen</w:t>
      </w:r>
      <w:proofErr w:type="spellEnd"/>
      <w:r w:rsidR="00F16F25" w:rsidRPr="0008433A">
        <w:rPr>
          <w:lang w:val="en-US"/>
        </w:rPr>
        <w:t>,</w:t>
      </w:r>
      <w:r w:rsidRPr="0008433A">
        <w:rPr>
          <w:lang w:val="en-US"/>
        </w:rPr>
        <w:t xml:space="preserve"> (2013)</w:t>
      </w:r>
      <w:r w:rsidR="00F16F25" w:rsidRPr="0008433A">
        <w:rPr>
          <w:lang w:val="en-US"/>
        </w:rPr>
        <w:t>.</w:t>
      </w:r>
      <w:proofErr w:type="gramEnd"/>
      <w:r w:rsidRPr="0008433A">
        <w:rPr>
          <w:lang w:val="en-US"/>
        </w:rPr>
        <w:t xml:space="preserve"> “Economic reform, education expansion, and earnings inequality for urban males in China, 1988–2009.” </w:t>
      </w:r>
      <w:r w:rsidRPr="0008433A">
        <w:rPr>
          <w:i/>
          <w:lang w:val="en-US"/>
        </w:rPr>
        <w:t>Journal of Comparative Economics</w:t>
      </w:r>
      <w:r w:rsidRPr="0008433A">
        <w:rPr>
          <w:lang w:val="en-US"/>
        </w:rPr>
        <w:t>, Vol. 41, no. 1, pp. 227</w:t>
      </w:r>
      <w:r w:rsidR="00F16F25" w:rsidRPr="0008433A">
        <w:rPr>
          <w:lang w:val="en-US"/>
        </w:rPr>
        <w:t>–</w:t>
      </w:r>
      <w:r w:rsidRPr="0008433A">
        <w:rPr>
          <w:lang w:val="en-US"/>
        </w:rPr>
        <w:t>244.</w:t>
      </w:r>
    </w:p>
    <w:p w:rsidR="000B19C4" w:rsidRPr="0008433A" w:rsidRDefault="000B19C4" w:rsidP="000B19C4">
      <w:pPr>
        <w:pStyle w:val="a4"/>
        <w:rPr>
          <w:lang w:val="en-US"/>
        </w:rPr>
      </w:pPr>
      <w:r w:rsidRPr="0008433A">
        <w:rPr>
          <w:lang w:val="en-US"/>
        </w:rPr>
        <w:t>Müller, Armin</w:t>
      </w:r>
      <w:r w:rsidR="00F16F25" w:rsidRPr="0008433A">
        <w:rPr>
          <w:lang w:val="en-US"/>
        </w:rPr>
        <w:t>,</w:t>
      </w:r>
      <w:r w:rsidRPr="0008433A">
        <w:rPr>
          <w:lang w:val="en-US"/>
        </w:rPr>
        <w:t xml:space="preserve"> (2016)</w:t>
      </w:r>
      <w:r w:rsidR="00F16F25" w:rsidRPr="0008433A">
        <w:rPr>
          <w:lang w:val="en-US"/>
        </w:rPr>
        <w:t>.</w:t>
      </w:r>
      <w:r w:rsidRPr="0008433A">
        <w:rPr>
          <w:lang w:val="en-US"/>
        </w:rPr>
        <w:t xml:space="preserve"> </w:t>
      </w:r>
      <w:proofErr w:type="gramStart"/>
      <w:r w:rsidRPr="0008433A">
        <w:rPr>
          <w:lang w:val="en-US"/>
        </w:rPr>
        <w:t>“</w:t>
      </w:r>
      <w:proofErr w:type="spellStart"/>
      <w:r w:rsidRPr="0008433A">
        <w:rPr>
          <w:lang w:val="en-US"/>
        </w:rPr>
        <w:t>Hukou</w:t>
      </w:r>
      <w:proofErr w:type="spellEnd"/>
      <w:r w:rsidRPr="0008433A">
        <w:rPr>
          <w:lang w:val="en-US"/>
        </w:rPr>
        <w:t xml:space="preserve"> and Health Insurance Coverage for Migrant Workers”.</w:t>
      </w:r>
      <w:proofErr w:type="gramEnd"/>
      <w:r w:rsidRPr="0008433A">
        <w:rPr>
          <w:lang w:val="en-US"/>
        </w:rPr>
        <w:t xml:space="preserve"> </w:t>
      </w:r>
      <w:r w:rsidRPr="0008433A">
        <w:rPr>
          <w:i/>
          <w:lang w:val="en-US"/>
        </w:rPr>
        <w:t>Journal of Current Chinese Affairs</w:t>
      </w:r>
      <w:r w:rsidRPr="0008433A">
        <w:rPr>
          <w:lang w:val="en-US"/>
        </w:rPr>
        <w:t>, Vol. 45, No. 2, pp. 53–82.</w:t>
      </w:r>
    </w:p>
    <w:p w:rsidR="005D1942" w:rsidRPr="0008433A" w:rsidRDefault="005D1942" w:rsidP="000B19C4">
      <w:pPr>
        <w:pStyle w:val="a4"/>
        <w:rPr>
          <w:lang w:val="en-US"/>
        </w:rPr>
      </w:pPr>
      <w:proofErr w:type="gramStart"/>
      <w:r w:rsidRPr="0008433A">
        <w:rPr>
          <w:lang w:val="en-US"/>
        </w:rPr>
        <w:t>National Bureau of Statistics of China</w:t>
      </w:r>
      <w:r w:rsidR="003521F0" w:rsidRPr="0008433A">
        <w:rPr>
          <w:lang w:val="en-US"/>
        </w:rPr>
        <w:t xml:space="preserve"> (2015)</w:t>
      </w:r>
      <w:r w:rsidR="00F16F25" w:rsidRPr="0008433A">
        <w:rPr>
          <w:lang w:val="en-US"/>
        </w:rPr>
        <w:t>.</w:t>
      </w:r>
      <w:proofErr w:type="gramEnd"/>
      <w:r w:rsidRPr="0008433A">
        <w:rPr>
          <w:lang w:val="en-US"/>
        </w:rPr>
        <w:t xml:space="preserve"> </w:t>
      </w:r>
      <w:proofErr w:type="gramStart"/>
      <w:r w:rsidRPr="0008433A">
        <w:rPr>
          <w:i/>
          <w:lang w:val="en-US"/>
        </w:rPr>
        <w:t>Statistical Yearbook of China</w:t>
      </w:r>
      <w:r w:rsidRPr="0008433A">
        <w:rPr>
          <w:lang w:val="en-US"/>
        </w:rPr>
        <w:t>.</w:t>
      </w:r>
      <w:proofErr w:type="gramEnd"/>
      <w:r w:rsidRPr="0008433A">
        <w:rPr>
          <w:lang w:val="en-US"/>
        </w:rPr>
        <w:t xml:space="preserve"> Beijing: China Statistics Press</w:t>
      </w:r>
      <w:r w:rsidR="00F16F25" w:rsidRPr="0008433A">
        <w:rPr>
          <w:lang w:val="en-US"/>
        </w:rPr>
        <w:t>.</w:t>
      </w:r>
    </w:p>
    <w:p w:rsidR="00C77680" w:rsidRDefault="00C77680" w:rsidP="000B19C4">
      <w:pPr>
        <w:pStyle w:val="a4"/>
      </w:pPr>
      <w:r>
        <w:t>OIT (2016)</w:t>
      </w:r>
      <w:r w:rsidR="00F16F25">
        <w:t>.</w:t>
      </w:r>
      <w:r>
        <w:t xml:space="preserve"> </w:t>
      </w:r>
      <w:r w:rsidRPr="00C77680">
        <w:rPr>
          <w:i/>
        </w:rPr>
        <w:t>Informe Mundial sobre Salarios 2014/2015. Salarios y desigualdad de ingresos</w:t>
      </w:r>
      <w:r>
        <w:t xml:space="preserve">. Ginebra: Organización Internacional del Trabajo. </w:t>
      </w:r>
    </w:p>
    <w:p w:rsidR="00F16F25" w:rsidRDefault="00F16F25" w:rsidP="000B19C4">
      <w:pPr>
        <w:pStyle w:val="a4"/>
      </w:pPr>
      <w:r w:rsidRPr="00F16F25">
        <w:t xml:space="preserve">Recio, Albert; </w:t>
      </w:r>
      <w:proofErr w:type="spellStart"/>
      <w:r w:rsidRPr="00F16F25">
        <w:t>Banyuls</w:t>
      </w:r>
      <w:proofErr w:type="spellEnd"/>
      <w:r w:rsidRPr="00F16F25">
        <w:t xml:space="preserve">, Josep; Cano, </w:t>
      </w:r>
      <w:proofErr w:type="spellStart"/>
      <w:r w:rsidRPr="00F16F25">
        <w:t>Ernest</w:t>
      </w:r>
      <w:proofErr w:type="spellEnd"/>
      <w:r w:rsidRPr="00F16F25">
        <w:t xml:space="preserve">, &amp; </w:t>
      </w:r>
      <w:proofErr w:type="spellStart"/>
      <w:r w:rsidRPr="00F16F25">
        <w:t>Miguélez</w:t>
      </w:r>
      <w:proofErr w:type="spellEnd"/>
      <w:r w:rsidRPr="00F16F25">
        <w:t xml:space="preserve">, Fausto (2006). “Migraciones y mercado laboral”. </w:t>
      </w:r>
      <w:r w:rsidRPr="00F16F25">
        <w:rPr>
          <w:i/>
        </w:rPr>
        <w:t xml:space="preserve">Revista de </w:t>
      </w:r>
      <w:r>
        <w:rPr>
          <w:i/>
        </w:rPr>
        <w:t>E</w:t>
      </w:r>
      <w:r w:rsidRPr="00F16F25">
        <w:rPr>
          <w:i/>
        </w:rPr>
        <w:t xml:space="preserve">conomía </w:t>
      </w:r>
      <w:r>
        <w:rPr>
          <w:i/>
        </w:rPr>
        <w:t>M</w:t>
      </w:r>
      <w:r w:rsidRPr="00F16F25">
        <w:rPr>
          <w:i/>
        </w:rPr>
        <w:t>undial</w:t>
      </w:r>
      <w:r w:rsidRPr="00F16F25">
        <w:t>, Vol. 4, pp. 171–193.</w:t>
      </w:r>
    </w:p>
    <w:p w:rsidR="00C71993" w:rsidRDefault="00E72E6F" w:rsidP="000B19C4">
      <w:pPr>
        <w:pStyle w:val="a4"/>
      </w:pPr>
      <w:r>
        <w:lastRenderedPageBreak/>
        <w:t>Smith, A</w:t>
      </w:r>
      <w:r w:rsidRPr="00E72E6F">
        <w:t>dam</w:t>
      </w:r>
      <w:r w:rsidR="00F16F25">
        <w:t>,</w:t>
      </w:r>
      <w:r>
        <w:t xml:space="preserve"> ([1776], 1994)</w:t>
      </w:r>
      <w:r w:rsidR="00F16F25">
        <w:t>.</w:t>
      </w:r>
      <w:r>
        <w:t xml:space="preserve"> </w:t>
      </w:r>
      <w:r w:rsidR="000B19C4" w:rsidRPr="000B19C4">
        <w:rPr>
          <w:i/>
        </w:rPr>
        <w:t>La riqueza de las naciones</w:t>
      </w:r>
      <w:r w:rsidR="000B19C4">
        <w:t xml:space="preserve">. Madrid: Alianza Editorial. </w:t>
      </w:r>
    </w:p>
    <w:p w:rsidR="000B19C4" w:rsidRPr="0008433A" w:rsidRDefault="000B19C4" w:rsidP="000B19C4">
      <w:pPr>
        <w:pStyle w:val="a4"/>
        <w:rPr>
          <w:lang w:val="en-US"/>
        </w:rPr>
      </w:pPr>
      <w:proofErr w:type="spellStart"/>
      <w:r w:rsidRPr="000B19C4">
        <w:t>Shi</w:t>
      </w:r>
      <w:proofErr w:type="spellEnd"/>
      <w:r w:rsidRPr="000B19C4">
        <w:t xml:space="preserve">, </w:t>
      </w:r>
      <w:r>
        <w:t>Henry X.</w:t>
      </w:r>
      <w:r w:rsidR="00F16F25">
        <w:t>,</w:t>
      </w:r>
      <w:r>
        <w:t xml:space="preserve"> (2014)</w:t>
      </w:r>
      <w:r w:rsidR="00F16F25">
        <w:t>.</w:t>
      </w:r>
      <w:r w:rsidRPr="000B19C4">
        <w:t xml:space="preserve"> </w:t>
      </w:r>
      <w:proofErr w:type="gramStart"/>
      <w:r w:rsidRPr="0008433A">
        <w:rPr>
          <w:i/>
          <w:lang w:val="en-US"/>
        </w:rPr>
        <w:t>Entrepreneurship in Family Business.</w:t>
      </w:r>
      <w:proofErr w:type="gramEnd"/>
      <w:r w:rsidRPr="0008433A">
        <w:rPr>
          <w:i/>
          <w:lang w:val="en-US"/>
        </w:rPr>
        <w:t xml:space="preserve"> </w:t>
      </w:r>
      <w:proofErr w:type="gramStart"/>
      <w:r w:rsidRPr="0008433A">
        <w:rPr>
          <w:i/>
          <w:lang w:val="en-US"/>
        </w:rPr>
        <w:t>Cases from China</w:t>
      </w:r>
      <w:r w:rsidRPr="0008433A">
        <w:rPr>
          <w:lang w:val="en-US"/>
        </w:rPr>
        <w:t>.</w:t>
      </w:r>
      <w:proofErr w:type="gramEnd"/>
      <w:r w:rsidRPr="0008433A">
        <w:rPr>
          <w:lang w:val="en-US"/>
        </w:rPr>
        <w:t xml:space="preserve"> London: Springer.</w:t>
      </w:r>
    </w:p>
    <w:p w:rsidR="00424323" w:rsidRDefault="00424323" w:rsidP="00424323">
      <w:pPr>
        <w:pStyle w:val="a4"/>
      </w:pPr>
      <w:proofErr w:type="gramStart"/>
      <w:r w:rsidRPr="0008433A">
        <w:rPr>
          <w:lang w:val="en-US"/>
        </w:rPr>
        <w:t>Shi, Li, &amp; Sato, Hiroshi, (2006).</w:t>
      </w:r>
      <w:proofErr w:type="gramEnd"/>
      <w:r w:rsidRPr="0008433A">
        <w:rPr>
          <w:lang w:val="en-US"/>
        </w:rPr>
        <w:t xml:space="preserve"> </w:t>
      </w:r>
      <w:proofErr w:type="gramStart"/>
      <w:r w:rsidRPr="0008433A">
        <w:rPr>
          <w:i/>
          <w:lang w:val="en-US"/>
        </w:rPr>
        <w:t>Unemployment, Inequality and Poverty in Urban China</w:t>
      </w:r>
      <w:r w:rsidRPr="0008433A">
        <w:rPr>
          <w:lang w:val="en-US"/>
        </w:rPr>
        <w:t>.</w:t>
      </w:r>
      <w:proofErr w:type="gramEnd"/>
      <w:r w:rsidRPr="0008433A">
        <w:rPr>
          <w:lang w:val="en-US"/>
        </w:rPr>
        <w:t xml:space="preserve"> </w:t>
      </w:r>
      <w:r>
        <w:t xml:space="preserve">London: </w:t>
      </w:r>
      <w:proofErr w:type="spellStart"/>
      <w:r>
        <w:t>Routledge</w:t>
      </w:r>
      <w:proofErr w:type="spellEnd"/>
      <w:r>
        <w:t>.</w:t>
      </w:r>
    </w:p>
    <w:p w:rsidR="00124578" w:rsidRDefault="00124578" w:rsidP="00124578">
      <w:pPr>
        <w:pStyle w:val="a4"/>
      </w:pPr>
      <w:r w:rsidRPr="00124578">
        <w:t xml:space="preserve">Simón Pérez, </w:t>
      </w:r>
      <w:proofErr w:type="spellStart"/>
      <w:r w:rsidRPr="00124578">
        <w:t>Hipolito</w:t>
      </w:r>
      <w:proofErr w:type="spellEnd"/>
      <w:r w:rsidRPr="00124578">
        <w:t xml:space="preserve"> J. </w:t>
      </w:r>
      <w:r>
        <w:t>(2001), “</w:t>
      </w:r>
      <w:r w:rsidRPr="00124578">
        <w:t>Negociación colectiva sectorial y tarifas salariales</w:t>
      </w:r>
      <w:r>
        <w:t xml:space="preserve">”. </w:t>
      </w:r>
      <w:r w:rsidRPr="00124578">
        <w:rPr>
          <w:i/>
        </w:rPr>
        <w:t>Revista del Ministerio de Trabajo y Asuntos Sociales</w:t>
      </w:r>
      <w:r>
        <w:t>, Vol. 31, pp. 55-70.</w:t>
      </w:r>
    </w:p>
    <w:p w:rsidR="00E90AE2" w:rsidRDefault="00E90AE2" w:rsidP="00124578">
      <w:pPr>
        <w:pStyle w:val="a4"/>
      </w:pPr>
      <w:proofErr w:type="spellStart"/>
      <w:r w:rsidRPr="00E90AE2">
        <w:t>Stiglitz</w:t>
      </w:r>
      <w:proofErr w:type="spellEnd"/>
      <w:r>
        <w:t xml:space="preserve">, Joseph E. (2012), </w:t>
      </w:r>
      <w:r w:rsidRPr="00E90AE2">
        <w:rPr>
          <w:i/>
        </w:rPr>
        <w:t>El precio de la desigualdad</w:t>
      </w:r>
      <w:r w:rsidRPr="00E90AE2">
        <w:t>. Madrid: Taurus.</w:t>
      </w:r>
    </w:p>
    <w:p w:rsidR="006E54E8" w:rsidRDefault="006E54E8" w:rsidP="00124578">
      <w:pPr>
        <w:pStyle w:val="a4"/>
      </w:pPr>
      <w:proofErr w:type="spellStart"/>
      <w:r>
        <w:t>Tamames</w:t>
      </w:r>
      <w:proofErr w:type="spellEnd"/>
      <w:r>
        <w:t xml:space="preserve">, Ramón, &amp; </w:t>
      </w:r>
      <w:proofErr w:type="spellStart"/>
      <w:r>
        <w:t>Debasa</w:t>
      </w:r>
      <w:proofErr w:type="spellEnd"/>
      <w:r>
        <w:t xml:space="preserve">, Felipe (2013). </w:t>
      </w:r>
      <w:r w:rsidRPr="006E54E8">
        <w:rPr>
          <w:i/>
        </w:rPr>
        <w:t>China tercer milenio</w:t>
      </w:r>
      <w:r>
        <w:t>. Barcelona: Planeta.</w:t>
      </w:r>
    </w:p>
    <w:p w:rsidR="005D1942" w:rsidRPr="0008433A" w:rsidRDefault="005D1942" w:rsidP="000B19C4">
      <w:pPr>
        <w:pStyle w:val="a4"/>
        <w:rPr>
          <w:lang w:val="en-US"/>
        </w:rPr>
      </w:pPr>
      <w:r w:rsidRPr="0008433A">
        <w:rPr>
          <w:lang w:val="en-US"/>
        </w:rPr>
        <w:t xml:space="preserve">Tucker, Catherine, &amp; Van Hook, Jennifer (2013), “Surplus Chinese men: Demographic determinants of the sex ratio at marriageable ages in China.” </w:t>
      </w:r>
      <w:r w:rsidRPr="0008433A">
        <w:rPr>
          <w:i/>
          <w:lang w:val="en-US"/>
        </w:rPr>
        <w:t>Population and development review</w:t>
      </w:r>
      <w:r w:rsidRPr="0008433A">
        <w:rPr>
          <w:lang w:val="en-US"/>
        </w:rPr>
        <w:t>, Vol. 39, No. 2, pp. 209-229.</w:t>
      </w:r>
    </w:p>
    <w:p w:rsidR="00C77680" w:rsidRDefault="00C77680" w:rsidP="000B19C4">
      <w:pPr>
        <w:pStyle w:val="a4"/>
      </w:pPr>
      <w:proofErr w:type="spellStart"/>
      <w:r w:rsidRPr="0008433A">
        <w:rPr>
          <w:lang w:val="en-US"/>
        </w:rPr>
        <w:t>Yue</w:t>
      </w:r>
      <w:proofErr w:type="spellEnd"/>
      <w:r w:rsidRPr="0008433A">
        <w:rPr>
          <w:lang w:val="en-US"/>
        </w:rPr>
        <w:t xml:space="preserve">, </w:t>
      </w:r>
      <w:proofErr w:type="spellStart"/>
      <w:r w:rsidRPr="0008433A">
        <w:rPr>
          <w:lang w:val="en-US"/>
        </w:rPr>
        <w:t>Ximing</w:t>
      </w:r>
      <w:proofErr w:type="spellEnd"/>
      <w:r w:rsidRPr="0008433A">
        <w:rPr>
          <w:lang w:val="en-US"/>
        </w:rPr>
        <w:t xml:space="preserve">; Li, Shi &amp; </w:t>
      </w:r>
      <w:proofErr w:type="spellStart"/>
      <w:proofErr w:type="gramStart"/>
      <w:r w:rsidRPr="0008433A">
        <w:rPr>
          <w:lang w:val="en-US"/>
        </w:rPr>
        <w:t>Gao</w:t>
      </w:r>
      <w:proofErr w:type="spellEnd"/>
      <w:proofErr w:type="gramEnd"/>
      <w:r w:rsidRPr="0008433A">
        <w:rPr>
          <w:lang w:val="en-US"/>
        </w:rPr>
        <w:t xml:space="preserve">, Xia (2013), “How large is income inequality in China: assessment on different estimates of </w:t>
      </w:r>
      <w:proofErr w:type="spellStart"/>
      <w:r w:rsidRPr="0008433A">
        <w:rPr>
          <w:lang w:val="en-US"/>
        </w:rPr>
        <w:t>Gini</w:t>
      </w:r>
      <w:proofErr w:type="spellEnd"/>
      <w:r w:rsidRPr="0008433A">
        <w:rPr>
          <w:lang w:val="en-US"/>
        </w:rPr>
        <w:t xml:space="preserve"> coefficient”. </w:t>
      </w:r>
      <w:r w:rsidRPr="00C77680">
        <w:rPr>
          <w:i/>
        </w:rPr>
        <w:t xml:space="preserve">China </w:t>
      </w:r>
      <w:proofErr w:type="spellStart"/>
      <w:r w:rsidRPr="00C77680">
        <w:rPr>
          <w:i/>
        </w:rPr>
        <w:t>Economic</w:t>
      </w:r>
      <w:proofErr w:type="spellEnd"/>
      <w:r w:rsidRPr="00C77680">
        <w:rPr>
          <w:i/>
        </w:rPr>
        <w:t xml:space="preserve"> </w:t>
      </w:r>
      <w:proofErr w:type="spellStart"/>
      <w:r w:rsidRPr="00C77680">
        <w:rPr>
          <w:i/>
        </w:rPr>
        <w:t>Journal</w:t>
      </w:r>
      <w:proofErr w:type="spellEnd"/>
      <w:r w:rsidRPr="00C77680">
        <w:t xml:space="preserve">, </w:t>
      </w:r>
      <w:r>
        <w:t xml:space="preserve">Vol. 6, Nos. </w:t>
      </w:r>
      <w:r w:rsidRPr="00C77680">
        <w:t xml:space="preserve">2-3, </w:t>
      </w:r>
      <w:r>
        <w:t xml:space="preserve">pp. </w:t>
      </w:r>
      <w:r w:rsidRPr="00C77680">
        <w:t>113-122</w:t>
      </w:r>
      <w:r>
        <w:t>.</w:t>
      </w:r>
    </w:p>
    <w:p w:rsidR="004378EB" w:rsidRDefault="004378EB" w:rsidP="004378EB">
      <w:pPr>
        <w:pStyle w:val="a4"/>
      </w:pPr>
    </w:p>
    <w:sectPr w:rsidR="004378EB" w:rsidSect="008B2AAF">
      <w:footerReference w:type="default" r:id="rId37"/>
      <w:pgSz w:w="11906" w:h="16838"/>
      <w:pgMar w:top="1440" w:right="1701" w:bottom="1440" w:left="1701" w:header="851" w:footer="851"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5853" w:rsidRDefault="00D95853" w:rsidP="004D39B3">
      <w:r>
        <w:separator/>
      </w:r>
    </w:p>
  </w:endnote>
  <w:endnote w:type="continuationSeparator" w:id="0">
    <w:p w:rsidR="00D95853" w:rsidRDefault="00D95853" w:rsidP="004D39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19377"/>
      <w:docPartObj>
        <w:docPartGallery w:val="Page Numbers (Bottom of Page)"/>
        <w:docPartUnique/>
      </w:docPartObj>
    </w:sdtPr>
    <w:sdtEndPr>
      <w:rPr>
        <w:rFonts w:ascii="Times New Roman" w:hAnsi="Times New Roman" w:cs="Times New Roman"/>
        <w:sz w:val="22"/>
        <w:szCs w:val="24"/>
      </w:rPr>
    </w:sdtEndPr>
    <w:sdtContent>
      <w:p w:rsidR="0008433A" w:rsidRPr="0093746E" w:rsidRDefault="0008433A" w:rsidP="0093746E">
        <w:pPr>
          <w:pStyle w:val="Footer"/>
          <w:spacing w:before="240"/>
          <w:jc w:val="right"/>
          <w:rPr>
            <w:rFonts w:ascii="Times New Roman" w:hAnsi="Times New Roman" w:cs="Times New Roman"/>
            <w:sz w:val="22"/>
            <w:szCs w:val="24"/>
          </w:rPr>
        </w:pPr>
        <w:r w:rsidRPr="0093746E">
          <w:t>–</w:t>
        </w:r>
        <w:r>
          <w:t xml:space="preserve"> </w:t>
        </w:r>
        <w:r w:rsidRPr="0093746E">
          <w:rPr>
            <w:rFonts w:ascii="Times New Roman" w:hAnsi="Times New Roman" w:cs="Times New Roman"/>
            <w:sz w:val="22"/>
            <w:szCs w:val="24"/>
          </w:rPr>
          <w:fldChar w:fldCharType="begin"/>
        </w:r>
        <w:r w:rsidRPr="0093746E">
          <w:rPr>
            <w:rFonts w:ascii="Times New Roman" w:hAnsi="Times New Roman" w:cs="Times New Roman"/>
            <w:sz w:val="22"/>
            <w:szCs w:val="24"/>
          </w:rPr>
          <w:instrText xml:space="preserve"> PAGE   \* MERGEFORMAT </w:instrText>
        </w:r>
        <w:r w:rsidRPr="0093746E">
          <w:rPr>
            <w:rFonts w:ascii="Times New Roman" w:hAnsi="Times New Roman" w:cs="Times New Roman"/>
            <w:sz w:val="22"/>
            <w:szCs w:val="24"/>
          </w:rPr>
          <w:fldChar w:fldCharType="separate"/>
        </w:r>
        <w:r w:rsidR="00183782" w:rsidRPr="00183782">
          <w:rPr>
            <w:rFonts w:ascii="Times New Roman" w:hAnsi="Times New Roman" w:cs="Times New Roman"/>
            <w:noProof/>
            <w:sz w:val="22"/>
            <w:szCs w:val="24"/>
            <w:lang w:val="zh-CN"/>
          </w:rPr>
          <w:t>1</w:t>
        </w:r>
        <w:r w:rsidRPr="0093746E">
          <w:rPr>
            <w:rFonts w:ascii="Times New Roman" w:hAnsi="Times New Roman" w:cs="Times New Roman"/>
            <w:noProof/>
            <w:sz w:val="22"/>
            <w:szCs w:val="24"/>
            <w:lang w:val="zh-CN"/>
          </w:rPr>
          <w:fldChar w:fldCharType="end"/>
        </w:r>
        <w:r>
          <w:rPr>
            <w:rFonts w:ascii="Times New Roman" w:hAnsi="Times New Roman" w:cs="Times New Roman"/>
            <w:noProof/>
            <w:sz w:val="22"/>
            <w:szCs w:val="24"/>
            <w:lang w:val="es-ES"/>
          </w:rPr>
          <w:t xml:space="preserve"> </w:t>
        </w:r>
        <w:r w:rsidRPr="0093746E">
          <w:t>–</w:t>
        </w:r>
      </w:p>
    </w:sdtContent>
  </w:sdt>
  <w:p w:rsidR="0008433A" w:rsidRDefault="0008433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5853" w:rsidRDefault="00D95853" w:rsidP="004D39B3">
      <w:r>
        <w:separator/>
      </w:r>
    </w:p>
  </w:footnote>
  <w:footnote w:type="continuationSeparator" w:id="0">
    <w:p w:rsidR="00D95853" w:rsidRDefault="00D95853" w:rsidP="004D39B3">
      <w:r>
        <w:continuationSeparator/>
      </w:r>
    </w:p>
  </w:footnote>
  <w:footnote w:type="continuationNotice" w:id="1">
    <w:p w:rsidR="00D95853" w:rsidRDefault="00D95853"/>
  </w:footnote>
  <w:footnote w:id="2">
    <w:p w:rsidR="0008433A" w:rsidRPr="007D08A5" w:rsidRDefault="0008433A" w:rsidP="007D08A5">
      <w:pPr>
        <w:pStyle w:val="a2"/>
      </w:pPr>
      <w:r w:rsidRPr="007D08A5">
        <w:rPr>
          <w:rStyle w:val="FootnoteReference"/>
        </w:rPr>
        <w:footnoteRef/>
      </w:r>
      <w:r w:rsidRPr="007D08A5">
        <w:t xml:space="preserve"> Smith, Adam</w:t>
      </w:r>
      <w:r>
        <w:t>, ([1776], 1994).</w:t>
      </w:r>
      <w:r w:rsidRPr="007D08A5">
        <w:t xml:space="preserve"> </w:t>
      </w:r>
      <w:r w:rsidRPr="007D08A5">
        <w:rPr>
          <w:i/>
        </w:rPr>
        <w:t>La riqueza de las naciones</w:t>
      </w:r>
      <w:r w:rsidRPr="007D08A5">
        <w:t>. Madrid: Alianza Editorial.</w:t>
      </w:r>
    </w:p>
  </w:footnote>
  <w:footnote w:id="3">
    <w:p w:rsidR="0008433A" w:rsidRDefault="0008433A" w:rsidP="007D08A5">
      <w:pPr>
        <w:pStyle w:val="a2"/>
      </w:pPr>
      <w:r>
        <w:rPr>
          <w:rStyle w:val="FootnoteReference"/>
        </w:rPr>
        <w:footnoteRef/>
      </w:r>
      <w:r>
        <w:t xml:space="preserve"> </w:t>
      </w:r>
      <w:proofErr w:type="spellStart"/>
      <w:r w:rsidRPr="007D08A5">
        <w:t>Blanchard</w:t>
      </w:r>
      <w:proofErr w:type="spellEnd"/>
      <w:r w:rsidRPr="007D08A5">
        <w:t xml:space="preserve">, Olivier; </w:t>
      </w:r>
      <w:proofErr w:type="spellStart"/>
      <w:r w:rsidRPr="007D08A5">
        <w:t>Amighini</w:t>
      </w:r>
      <w:proofErr w:type="spellEnd"/>
      <w:r w:rsidRPr="007D08A5">
        <w:t xml:space="preserve">, </w:t>
      </w:r>
      <w:proofErr w:type="spellStart"/>
      <w:r w:rsidRPr="007D08A5">
        <w:t>A</w:t>
      </w:r>
      <w:r>
        <w:t>l</w:t>
      </w:r>
      <w:r w:rsidRPr="007D08A5">
        <w:t>essia</w:t>
      </w:r>
      <w:proofErr w:type="spellEnd"/>
      <w:r>
        <w:t>,</w:t>
      </w:r>
      <w:r w:rsidRPr="007D08A5">
        <w:t xml:space="preserve"> &amp; </w:t>
      </w:r>
      <w:proofErr w:type="spellStart"/>
      <w:r w:rsidRPr="007D08A5">
        <w:t>Giavazzi</w:t>
      </w:r>
      <w:proofErr w:type="spellEnd"/>
      <w:r w:rsidRPr="007D08A5">
        <w:t>, Francesco</w:t>
      </w:r>
      <w:r>
        <w:t>,</w:t>
      </w:r>
      <w:r w:rsidRPr="007D08A5">
        <w:t xml:space="preserve"> (2013). </w:t>
      </w:r>
      <w:r w:rsidRPr="007D08A5">
        <w:rPr>
          <w:i/>
        </w:rPr>
        <w:t>Macroeconomía</w:t>
      </w:r>
      <w:r w:rsidRPr="007D08A5">
        <w:t>. 5</w:t>
      </w:r>
      <w:r>
        <w:t>ª Ed. Madrid: Pearson Educación.</w:t>
      </w:r>
    </w:p>
    <w:p w:rsidR="0008433A" w:rsidRPr="007D08A5" w:rsidRDefault="0008433A" w:rsidP="007D08A5">
      <w:pPr>
        <w:pStyle w:val="a2"/>
      </w:pPr>
      <w:proofErr w:type="spellStart"/>
      <w:r w:rsidRPr="007D08A5">
        <w:t>Mankiw</w:t>
      </w:r>
      <w:proofErr w:type="spellEnd"/>
      <w:r w:rsidRPr="007D08A5">
        <w:t>, Gregory</w:t>
      </w:r>
      <w:r>
        <w:t>,</w:t>
      </w:r>
      <w:r w:rsidRPr="007D08A5">
        <w:t xml:space="preserve"> (2014). </w:t>
      </w:r>
      <w:r w:rsidRPr="007D08A5">
        <w:rPr>
          <w:i/>
        </w:rPr>
        <w:t>Macroeconomía.</w:t>
      </w:r>
      <w:r w:rsidRPr="007D08A5">
        <w:t xml:space="preserve"> 8ª Ed. Barcelona: Antoni Bosch</w:t>
      </w:r>
    </w:p>
  </w:footnote>
  <w:footnote w:id="4">
    <w:p w:rsidR="0008433A" w:rsidRPr="00E43019" w:rsidRDefault="0008433A" w:rsidP="00E43019">
      <w:pPr>
        <w:pStyle w:val="a2"/>
      </w:pPr>
      <w:r>
        <w:rPr>
          <w:rStyle w:val="FootnoteReference"/>
        </w:rPr>
        <w:footnoteRef/>
      </w:r>
      <w:r>
        <w:t xml:space="preserve"> Recio, Albert;</w:t>
      </w:r>
      <w:r w:rsidRPr="00E43019">
        <w:t xml:space="preserve"> </w:t>
      </w:r>
      <w:proofErr w:type="spellStart"/>
      <w:r w:rsidRPr="00E43019">
        <w:t>Banyuls</w:t>
      </w:r>
      <w:proofErr w:type="spellEnd"/>
      <w:r w:rsidRPr="00E43019">
        <w:t xml:space="preserve">, </w:t>
      </w:r>
      <w:r>
        <w:t xml:space="preserve">Josep; </w:t>
      </w:r>
      <w:r w:rsidRPr="00E43019">
        <w:t xml:space="preserve">Cano, </w:t>
      </w:r>
      <w:proofErr w:type="spellStart"/>
      <w:r>
        <w:t>Ernest</w:t>
      </w:r>
      <w:proofErr w:type="spellEnd"/>
      <w:r>
        <w:t>, &amp;</w:t>
      </w:r>
      <w:r w:rsidRPr="00E43019">
        <w:t xml:space="preserve"> </w:t>
      </w:r>
      <w:proofErr w:type="spellStart"/>
      <w:r w:rsidRPr="00E43019">
        <w:t>Miguélez</w:t>
      </w:r>
      <w:proofErr w:type="spellEnd"/>
      <w:r>
        <w:t xml:space="preserve">, </w:t>
      </w:r>
      <w:r w:rsidRPr="00E43019">
        <w:t>Fausto</w:t>
      </w:r>
      <w:r>
        <w:t>, (2006). “Migraciones y mercado laboral”.</w:t>
      </w:r>
      <w:r w:rsidRPr="00E43019">
        <w:t xml:space="preserve"> </w:t>
      </w:r>
      <w:r>
        <w:t>Revista de economía mundial, Vol. 4, pp. 171</w:t>
      </w:r>
      <w:r w:rsidRPr="00F6318E">
        <w:t>–</w:t>
      </w:r>
      <w:r w:rsidRPr="00E43019">
        <w:t>193.</w:t>
      </w:r>
    </w:p>
  </w:footnote>
  <w:footnote w:id="5">
    <w:p w:rsidR="0008433A" w:rsidRPr="00C63133" w:rsidRDefault="0008433A" w:rsidP="00C63133">
      <w:pPr>
        <w:pStyle w:val="a2"/>
        <w:rPr>
          <w:i/>
        </w:rPr>
      </w:pPr>
      <w:r>
        <w:rPr>
          <w:rStyle w:val="FootnoteReference"/>
        </w:rPr>
        <w:footnoteRef/>
      </w:r>
      <w:r>
        <w:t xml:space="preserve"> </w:t>
      </w:r>
      <w:r w:rsidRPr="00C63133">
        <w:t>Smith, Adam</w:t>
      </w:r>
      <w:r>
        <w:t>. ([1776], 1994).</w:t>
      </w:r>
      <w:r w:rsidRPr="00C63133">
        <w:t xml:space="preserve"> </w:t>
      </w:r>
      <w:proofErr w:type="spellStart"/>
      <w:r w:rsidRPr="00C63133">
        <w:rPr>
          <w:i/>
        </w:rPr>
        <w:t>Op.cit</w:t>
      </w:r>
      <w:proofErr w:type="spellEnd"/>
      <w:r w:rsidRPr="00C63133">
        <w:rPr>
          <w:i/>
        </w:rPr>
        <w:t>.</w:t>
      </w:r>
    </w:p>
  </w:footnote>
  <w:footnote w:id="6">
    <w:p w:rsidR="0008433A" w:rsidRPr="00F6318E" w:rsidRDefault="0008433A" w:rsidP="00F6318E">
      <w:pPr>
        <w:pStyle w:val="a2"/>
      </w:pPr>
      <w:r>
        <w:rPr>
          <w:rStyle w:val="FootnoteReference"/>
        </w:rPr>
        <w:footnoteRef/>
      </w:r>
      <w:r>
        <w:t xml:space="preserve"> </w:t>
      </w:r>
      <w:proofErr w:type="spellStart"/>
      <w:r w:rsidRPr="00E90AE2">
        <w:t>Stiglitz</w:t>
      </w:r>
      <w:proofErr w:type="spellEnd"/>
      <w:r>
        <w:t xml:space="preserve">, Joseph E., (2012). </w:t>
      </w:r>
      <w:r w:rsidRPr="00E90AE2">
        <w:rPr>
          <w:i/>
        </w:rPr>
        <w:t>El precio de la desigualdad</w:t>
      </w:r>
      <w:r w:rsidRPr="00E90AE2">
        <w:t>. Madrid: Taurus.</w:t>
      </w:r>
    </w:p>
  </w:footnote>
  <w:footnote w:id="7">
    <w:p w:rsidR="0008433A" w:rsidRPr="0008433A" w:rsidRDefault="0008433A" w:rsidP="00B7507F">
      <w:pPr>
        <w:pStyle w:val="a2"/>
        <w:rPr>
          <w:lang w:val="en-US"/>
        </w:rPr>
      </w:pPr>
      <w:r>
        <w:rPr>
          <w:rStyle w:val="FootnoteReference"/>
        </w:rPr>
        <w:footnoteRef/>
      </w:r>
      <w:r>
        <w:t xml:space="preserve"> </w:t>
      </w:r>
      <w:proofErr w:type="spellStart"/>
      <w:r w:rsidRPr="00B7507F">
        <w:t>Blanchard</w:t>
      </w:r>
      <w:proofErr w:type="spellEnd"/>
      <w:r w:rsidRPr="00B7507F">
        <w:t xml:space="preserve">, Olivier; </w:t>
      </w:r>
      <w:proofErr w:type="spellStart"/>
      <w:r w:rsidRPr="00B7507F">
        <w:t>Amighini</w:t>
      </w:r>
      <w:proofErr w:type="spellEnd"/>
      <w:r w:rsidRPr="00B7507F">
        <w:t xml:space="preserve">, </w:t>
      </w:r>
      <w:proofErr w:type="spellStart"/>
      <w:r w:rsidRPr="00B7507F">
        <w:t>Alessia</w:t>
      </w:r>
      <w:proofErr w:type="spellEnd"/>
      <w:r w:rsidRPr="00B7507F">
        <w:t xml:space="preserve">, &amp; </w:t>
      </w:r>
      <w:proofErr w:type="spellStart"/>
      <w:r w:rsidRPr="00B7507F">
        <w:t>Giavazzi</w:t>
      </w:r>
      <w:proofErr w:type="spellEnd"/>
      <w:r w:rsidRPr="00B7507F">
        <w:t xml:space="preserve">, Francesco, (2013). </w:t>
      </w:r>
      <w:r w:rsidRPr="0008433A">
        <w:rPr>
          <w:i/>
          <w:lang w:val="en-US"/>
        </w:rPr>
        <w:t>Op.cit.</w:t>
      </w:r>
    </w:p>
  </w:footnote>
  <w:footnote w:id="8">
    <w:p w:rsidR="0008433A" w:rsidRPr="00A24FFC" w:rsidRDefault="0008433A" w:rsidP="00A24FFC">
      <w:pPr>
        <w:pStyle w:val="a2"/>
        <w:jc w:val="left"/>
      </w:pPr>
      <w:r>
        <w:rPr>
          <w:rStyle w:val="FootnoteReference"/>
        </w:rPr>
        <w:footnoteRef/>
      </w:r>
      <w:r w:rsidRPr="0008433A">
        <w:rPr>
          <w:lang w:val="en-US"/>
        </w:rPr>
        <w:t xml:space="preserve"> Crabbe, Matthew, (2014). </w:t>
      </w:r>
      <w:r w:rsidRPr="0008433A">
        <w:rPr>
          <w:i/>
          <w:lang w:val="en-US"/>
        </w:rPr>
        <w:t>Myth-busting China’s numbers. Understanding and using China’s statistics.</w:t>
      </w:r>
      <w:r w:rsidRPr="0008433A">
        <w:rPr>
          <w:lang w:val="en-US"/>
        </w:rPr>
        <w:t xml:space="preserve"> </w:t>
      </w:r>
      <w:r>
        <w:t xml:space="preserve">New York: </w:t>
      </w:r>
      <w:proofErr w:type="spellStart"/>
      <w:r>
        <w:t>Palgrave</w:t>
      </w:r>
      <w:proofErr w:type="spellEnd"/>
      <w:r>
        <w:t xml:space="preserve"> </w:t>
      </w:r>
      <w:proofErr w:type="spellStart"/>
      <w:r>
        <w:t>Macmillan</w:t>
      </w:r>
      <w:proofErr w:type="spellEnd"/>
      <w:r>
        <w:t xml:space="preserve">. </w:t>
      </w:r>
    </w:p>
  </w:footnote>
  <w:footnote w:id="9">
    <w:p w:rsidR="0008433A" w:rsidRPr="0008433A" w:rsidRDefault="0008433A" w:rsidP="00E50B8D">
      <w:pPr>
        <w:pStyle w:val="a2"/>
        <w:rPr>
          <w:lang w:val="en-US"/>
        </w:rPr>
      </w:pPr>
      <w:r w:rsidRPr="00E50B8D">
        <w:rPr>
          <w:rStyle w:val="FootnoteReference"/>
        </w:rPr>
        <w:footnoteRef/>
      </w:r>
      <w:r w:rsidRPr="00E50B8D">
        <w:t xml:space="preserve">“Promover el empleo, proteger a las personas”. </w:t>
      </w:r>
      <w:r w:rsidRPr="0008433A">
        <w:rPr>
          <w:lang w:val="en-US"/>
        </w:rPr>
        <w:t>URL: http://www.ilo.org/global/statistics-and-databases/statistics-overview-and-topics/underemployment/lang--es/index.htm</w:t>
      </w:r>
    </w:p>
  </w:footnote>
  <w:footnote w:id="10">
    <w:p w:rsidR="0008433A" w:rsidRPr="00A24FFC" w:rsidRDefault="0008433A" w:rsidP="00A24FFC">
      <w:pPr>
        <w:pStyle w:val="a2"/>
      </w:pPr>
      <w:r>
        <w:rPr>
          <w:rStyle w:val="FootnoteReference"/>
        </w:rPr>
        <w:footnoteRef/>
      </w:r>
      <w:r>
        <w:t xml:space="preserve"> </w:t>
      </w:r>
      <w:r w:rsidRPr="00A24FFC">
        <w:t xml:space="preserve">Belmonte, Ana, &amp; Polo, Clemente, (2004). “Formulaciones de la ley de </w:t>
      </w:r>
      <w:proofErr w:type="spellStart"/>
      <w:r w:rsidRPr="00A24FFC">
        <w:t>Okun</w:t>
      </w:r>
      <w:proofErr w:type="spellEnd"/>
      <w:r w:rsidRPr="00A24FFC">
        <w:t xml:space="preserve"> y resultados para España.” In: Pérez Fernández, (Ed.), </w:t>
      </w:r>
      <w:r w:rsidRPr="00A24FFC">
        <w:rPr>
          <w:i/>
        </w:rPr>
        <w:t>Estudios en homenaje a Luis Ángel Rojo</w:t>
      </w:r>
      <w:r w:rsidRPr="00A24FFC">
        <w:t>, pp. 263-294.</w:t>
      </w:r>
    </w:p>
  </w:footnote>
  <w:footnote w:id="11">
    <w:p w:rsidR="0008433A" w:rsidRPr="00BC1B47" w:rsidRDefault="0008433A" w:rsidP="00BC1B47">
      <w:pPr>
        <w:pStyle w:val="a2"/>
      </w:pPr>
      <w:r>
        <w:rPr>
          <w:rStyle w:val="FootnoteReference"/>
        </w:rPr>
        <w:footnoteRef/>
      </w:r>
      <w:r>
        <w:t xml:space="preserve"> </w:t>
      </w:r>
      <w:r w:rsidRPr="00BC1B47">
        <w:t xml:space="preserve">Simón Pérez, </w:t>
      </w:r>
      <w:proofErr w:type="spellStart"/>
      <w:r w:rsidRPr="00BC1B47">
        <w:t>Hipolito</w:t>
      </w:r>
      <w:proofErr w:type="spellEnd"/>
      <w:r w:rsidRPr="00BC1B47">
        <w:t xml:space="preserve"> J. (2001)</w:t>
      </w:r>
      <w:r>
        <w:t>.</w:t>
      </w:r>
      <w:r w:rsidRPr="00BC1B47">
        <w:t xml:space="preserve"> “Negociación colectiva sectorial y tarifas salariales”. </w:t>
      </w:r>
      <w:r w:rsidRPr="00BC1B47">
        <w:rPr>
          <w:i/>
        </w:rPr>
        <w:t>Revista del Ministerio de Trabajo y Asuntos Sociales</w:t>
      </w:r>
      <w:r w:rsidRPr="00BC1B47">
        <w:t>, Vol. 31, pp. 55-70.</w:t>
      </w:r>
    </w:p>
  </w:footnote>
  <w:footnote w:id="12">
    <w:p w:rsidR="0008433A" w:rsidRPr="0008433A" w:rsidRDefault="0008433A" w:rsidP="00D14E93">
      <w:pPr>
        <w:pStyle w:val="a2"/>
        <w:rPr>
          <w:lang w:val="en-US"/>
        </w:rPr>
      </w:pPr>
      <w:r>
        <w:rPr>
          <w:rStyle w:val="FootnoteReference"/>
        </w:rPr>
        <w:footnoteRef/>
      </w:r>
      <w:r w:rsidRPr="0008433A">
        <w:rPr>
          <w:lang w:val="en-US"/>
        </w:rPr>
        <w:t xml:space="preserve"> </w:t>
      </w:r>
      <w:r w:rsidRPr="0008433A">
        <w:rPr>
          <w:lang w:val="en-US"/>
        </w:rPr>
        <w:t xml:space="preserve">Galí, Jordi, &amp; Gertler, Mark, (1999). “Inflation dynamics: A structural econometric analysis”. </w:t>
      </w:r>
      <w:r w:rsidRPr="0008433A">
        <w:rPr>
          <w:i/>
          <w:lang w:val="en-US"/>
        </w:rPr>
        <w:t>Journal of Monetary Economics</w:t>
      </w:r>
      <w:r w:rsidRPr="0008433A">
        <w:rPr>
          <w:lang w:val="en-US"/>
        </w:rPr>
        <w:t>, Vol. 44, pp. 195 –222.</w:t>
      </w:r>
    </w:p>
  </w:footnote>
  <w:footnote w:id="13">
    <w:p w:rsidR="0008433A" w:rsidRPr="0008433A" w:rsidRDefault="0008433A" w:rsidP="00D14E93">
      <w:pPr>
        <w:pStyle w:val="a2"/>
        <w:rPr>
          <w:lang w:val="en-US"/>
        </w:rPr>
      </w:pPr>
      <w:r>
        <w:rPr>
          <w:rStyle w:val="FootnoteReference"/>
        </w:rPr>
        <w:footnoteRef/>
      </w:r>
      <w:r w:rsidRPr="0008433A">
        <w:rPr>
          <w:lang w:val="en-US"/>
        </w:rPr>
        <w:t xml:space="preserve"> Coibion, Olivier; Gorodnichenko, Yuriy, &amp; Wieland Johannes, (2012). “The optimal inflation rate in New Keynesian models: should central banks raise their inflation targets in light of the zero lower bound?</w:t>
      </w:r>
      <w:proofErr w:type="gramStart"/>
      <w:r w:rsidRPr="0008433A">
        <w:rPr>
          <w:lang w:val="en-US"/>
        </w:rPr>
        <w:t>”.</w:t>
      </w:r>
      <w:proofErr w:type="gramEnd"/>
      <w:r w:rsidRPr="0008433A">
        <w:rPr>
          <w:lang w:val="en-US"/>
        </w:rPr>
        <w:t xml:space="preserve"> In: </w:t>
      </w:r>
      <w:r w:rsidRPr="0008433A">
        <w:rPr>
          <w:i/>
          <w:lang w:val="en-US"/>
        </w:rPr>
        <w:t>The Review of Economic Studies</w:t>
      </w:r>
      <w:r w:rsidRPr="0008433A">
        <w:rPr>
          <w:lang w:val="en-US"/>
        </w:rPr>
        <w:t>.</w:t>
      </w:r>
    </w:p>
  </w:footnote>
  <w:footnote w:id="14">
    <w:p w:rsidR="0008433A" w:rsidRPr="0064103D" w:rsidRDefault="0008433A" w:rsidP="0064103D">
      <w:pPr>
        <w:pStyle w:val="a2"/>
      </w:pPr>
      <w:r>
        <w:rPr>
          <w:rStyle w:val="FootnoteReference"/>
        </w:rPr>
        <w:footnoteRef/>
      </w:r>
      <w:r w:rsidRPr="0008433A">
        <w:rPr>
          <w:lang w:val="en-US"/>
        </w:rPr>
        <w:t xml:space="preserve"> Yue, Ximing; Li, Shi, &amp; Gao, Xia, (2013). “How large is income inequality in China: assessment on different estimates of Gini coefficient”. </w:t>
      </w:r>
      <w:r w:rsidRPr="0064103D">
        <w:rPr>
          <w:i/>
        </w:rPr>
        <w:t xml:space="preserve">China </w:t>
      </w:r>
      <w:proofErr w:type="spellStart"/>
      <w:r w:rsidRPr="0064103D">
        <w:rPr>
          <w:i/>
        </w:rPr>
        <w:t>Economic</w:t>
      </w:r>
      <w:proofErr w:type="spellEnd"/>
      <w:r w:rsidRPr="0064103D">
        <w:rPr>
          <w:i/>
        </w:rPr>
        <w:t xml:space="preserve"> </w:t>
      </w:r>
      <w:proofErr w:type="spellStart"/>
      <w:r w:rsidRPr="0064103D">
        <w:rPr>
          <w:i/>
        </w:rPr>
        <w:t>Journal</w:t>
      </w:r>
      <w:proofErr w:type="spellEnd"/>
      <w:r w:rsidRPr="0064103D">
        <w:t>, Vol. 6, Nos. 2-3, pp. 113–122</w:t>
      </w:r>
    </w:p>
  </w:footnote>
  <w:footnote w:id="15">
    <w:p w:rsidR="0008433A" w:rsidRPr="002D672F" w:rsidRDefault="0008433A" w:rsidP="002D672F">
      <w:pPr>
        <w:pStyle w:val="a2"/>
      </w:pPr>
      <w:r>
        <w:rPr>
          <w:rStyle w:val="FootnoteReference"/>
        </w:rPr>
        <w:footnoteRef/>
      </w:r>
      <w:r>
        <w:t xml:space="preserve"> </w:t>
      </w:r>
      <w:proofErr w:type="spellStart"/>
      <w:r w:rsidRPr="002D672F">
        <w:t>Larraz</w:t>
      </w:r>
      <w:proofErr w:type="spellEnd"/>
      <w:r w:rsidRPr="002D672F">
        <w:t>, Beatriz, &amp; Herrera, Marcos (2016). “Factores condicionantes y dependencia espacial en el grado de c</w:t>
      </w:r>
      <w:r>
        <w:t>oncentración salarial en España</w:t>
      </w:r>
      <w:r w:rsidRPr="002D672F">
        <w:t>”</w:t>
      </w:r>
      <w:r>
        <w:t>.</w:t>
      </w:r>
      <w:r w:rsidRPr="002D672F">
        <w:t xml:space="preserve"> </w:t>
      </w:r>
      <w:r w:rsidRPr="002D672F">
        <w:rPr>
          <w:i/>
        </w:rPr>
        <w:t>Estudios de Economía Aplicada</w:t>
      </w:r>
      <w:r w:rsidRPr="002D672F">
        <w:t>, Vol. 34, no. 3, pp. 607-628.</w:t>
      </w:r>
    </w:p>
  </w:footnote>
  <w:footnote w:id="16">
    <w:p w:rsidR="0008433A" w:rsidRPr="0008433A" w:rsidRDefault="0008433A" w:rsidP="002D672F">
      <w:pPr>
        <w:pStyle w:val="a2"/>
        <w:rPr>
          <w:i/>
          <w:lang w:val="en-US"/>
        </w:rPr>
      </w:pPr>
      <w:r>
        <w:rPr>
          <w:rStyle w:val="FootnoteReference"/>
        </w:rPr>
        <w:footnoteRef/>
      </w:r>
      <w:r>
        <w:t xml:space="preserve"> </w:t>
      </w:r>
      <w:proofErr w:type="spellStart"/>
      <w:r>
        <w:t>Blanchard</w:t>
      </w:r>
      <w:proofErr w:type="spellEnd"/>
      <w:r>
        <w:t xml:space="preserve">, Olivier; </w:t>
      </w:r>
      <w:proofErr w:type="spellStart"/>
      <w:r>
        <w:t>Amighini</w:t>
      </w:r>
      <w:proofErr w:type="spellEnd"/>
      <w:r>
        <w:t xml:space="preserve">, </w:t>
      </w:r>
      <w:proofErr w:type="spellStart"/>
      <w:r>
        <w:t>Alessia</w:t>
      </w:r>
      <w:proofErr w:type="spellEnd"/>
      <w:r>
        <w:t xml:space="preserve"> &amp; </w:t>
      </w:r>
      <w:proofErr w:type="spellStart"/>
      <w:r>
        <w:t>Giavazzi</w:t>
      </w:r>
      <w:proofErr w:type="spellEnd"/>
      <w:r>
        <w:t xml:space="preserve">, Francesco, </w:t>
      </w:r>
      <w:r w:rsidRPr="002D672F">
        <w:t xml:space="preserve">(2013). </w:t>
      </w:r>
      <w:r w:rsidRPr="0008433A">
        <w:rPr>
          <w:i/>
          <w:lang w:val="en-US"/>
        </w:rPr>
        <w:t>Op.cit.</w:t>
      </w:r>
    </w:p>
  </w:footnote>
  <w:footnote w:id="17">
    <w:p w:rsidR="0008433A" w:rsidRPr="0008433A" w:rsidRDefault="0008433A" w:rsidP="002D672F">
      <w:pPr>
        <w:pStyle w:val="a2"/>
        <w:rPr>
          <w:lang w:val="en-US"/>
        </w:rPr>
      </w:pPr>
      <w:r>
        <w:rPr>
          <w:rStyle w:val="FootnoteReference"/>
        </w:rPr>
        <w:footnoteRef/>
      </w:r>
      <w:r w:rsidRPr="0008433A">
        <w:rPr>
          <w:lang w:val="en-US"/>
        </w:rPr>
        <w:t xml:space="preserve"> Huang, Yi; Loungani, Prakash, &amp; Wang, Gewei, (2014). “Minimum Wages and Firm Employment: Evidence from China”. </w:t>
      </w:r>
      <w:proofErr w:type="gramStart"/>
      <w:r w:rsidRPr="0008433A">
        <w:rPr>
          <w:lang w:val="en-US"/>
        </w:rPr>
        <w:t>Federal Reserve Bank of Dallas Globalization and Monetary Policy Institute, Working Paper No. 173.</w:t>
      </w:r>
      <w:proofErr w:type="gramEnd"/>
    </w:p>
  </w:footnote>
  <w:footnote w:id="18">
    <w:p w:rsidR="0008433A" w:rsidRPr="0008433A" w:rsidRDefault="0008433A" w:rsidP="00A423B0">
      <w:pPr>
        <w:pStyle w:val="a2"/>
        <w:rPr>
          <w:lang w:val="en-US"/>
        </w:rPr>
      </w:pPr>
      <w:r>
        <w:rPr>
          <w:rStyle w:val="FootnoteReference"/>
        </w:rPr>
        <w:footnoteRef/>
      </w:r>
      <w:r w:rsidRPr="0008433A">
        <w:rPr>
          <w:lang w:val="en-US"/>
        </w:rPr>
        <w:t xml:space="preserve"> Crabbe, Matthew, (2014). </w:t>
      </w:r>
      <w:r w:rsidRPr="0008433A">
        <w:rPr>
          <w:i/>
          <w:lang w:val="en-US"/>
        </w:rPr>
        <w:t>Op.cit.</w:t>
      </w:r>
    </w:p>
  </w:footnote>
  <w:footnote w:id="19">
    <w:p w:rsidR="0008433A" w:rsidRPr="0008433A" w:rsidRDefault="0008433A" w:rsidP="00275EE5">
      <w:pPr>
        <w:pStyle w:val="a2"/>
        <w:rPr>
          <w:lang w:val="en-US"/>
        </w:rPr>
      </w:pPr>
      <w:r>
        <w:rPr>
          <w:rStyle w:val="FootnoteReference"/>
        </w:rPr>
        <w:footnoteRef/>
      </w:r>
      <w:r w:rsidRPr="0008433A">
        <w:rPr>
          <w:lang w:val="en-US"/>
        </w:rPr>
        <w:t xml:space="preserve"> Crabbe, Matthew, (2014). </w:t>
      </w:r>
      <w:r w:rsidRPr="0008433A">
        <w:rPr>
          <w:i/>
          <w:lang w:val="en-US"/>
        </w:rPr>
        <w:t>Op.cit.</w:t>
      </w:r>
    </w:p>
  </w:footnote>
  <w:footnote w:id="20">
    <w:p w:rsidR="0008433A" w:rsidRPr="0008433A" w:rsidRDefault="0008433A" w:rsidP="00844775">
      <w:pPr>
        <w:pStyle w:val="a2"/>
        <w:rPr>
          <w:lang w:val="en-US"/>
        </w:rPr>
      </w:pPr>
      <w:r>
        <w:rPr>
          <w:rStyle w:val="FootnoteReference"/>
        </w:rPr>
        <w:footnoteRef/>
      </w:r>
      <w:r w:rsidRPr="0008433A">
        <w:rPr>
          <w:lang w:val="en-US"/>
        </w:rPr>
        <w:t xml:space="preserve"> Fan, Cindy C., (2008). </w:t>
      </w:r>
      <w:proofErr w:type="gramStart"/>
      <w:r w:rsidRPr="0008433A">
        <w:rPr>
          <w:lang w:val="en-US"/>
        </w:rPr>
        <w:t>“Migration, Hukou, and the City”.</w:t>
      </w:r>
      <w:proofErr w:type="gramEnd"/>
      <w:r w:rsidRPr="0008433A">
        <w:rPr>
          <w:lang w:val="en-US"/>
        </w:rPr>
        <w:t xml:space="preserve"> In: Yusuf, Shahid, &amp; Saich, Tony, </w:t>
      </w:r>
      <w:r w:rsidRPr="0008433A">
        <w:rPr>
          <w:i/>
          <w:lang w:val="en-US"/>
        </w:rPr>
        <w:t>China urbanizes: Consequences, strategies, and policies</w:t>
      </w:r>
      <w:r w:rsidRPr="0008433A">
        <w:rPr>
          <w:lang w:val="en-US"/>
        </w:rPr>
        <w:t>, pp. 65–89. Washington DC: The World Bank.</w:t>
      </w:r>
    </w:p>
  </w:footnote>
  <w:footnote w:id="21">
    <w:p w:rsidR="0008433A" w:rsidRPr="0008433A" w:rsidRDefault="0008433A" w:rsidP="00380211">
      <w:pPr>
        <w:pStyle w:val="a2"/>
        <w:rPr>
          <w:lang w:val="en-US"/>
        </w:rPr>
      </w:pPr>
      <w:r>
        <w:rPr>
          <w:rStyle w:val="FootnoteReference"/>
        </w:rPr>
        <w:footnoteRef/>
      </w:r>
      <w:r w:rsidRPr="0008433A">
        <w:rPr>
          <w:lang w:val="en-US"/>
        </w:rPr>
        <w:t xml:space="preserve"> Chan, Kam Wing, (2013). “China, Internal Migration”. In: Ness, Immanuel, &amp; Bellwood, Peter (eds.), </w:t>
      </w:r>
      <w:proofErr w:type="gramStart"/>
      <w:r w:rsidRPr="0008433A">
        <w:rPr>
          <w:i/>
          <w:lang w:val="en-US"/>
        </w:rPr>
        <w:t>The</w:t>
      </w:r>
      <w:proofErr w:type="gramEnd"/>
      <w:r w:rsidRPr="0008433A">
        <w:rPr>
          <w:i/>
          <w:lang w:val="en-US"/>
        </w:rPr>
        <w:t xml:space="preserve"> Encyclopedia of Global Migration</w:t>
      </w:r>
      <w:r w:rsidRPr="0008433A">
        <w:rPr>
          <w:lang w:val="en-US"/>
        </w:rPr>
        <w:t>, pp. 1–46. Blackwell Publishing.</w:t>
      </w:r>
    </w:p>
  </w:footnote>
  <w:footnote w:id="22">
    <w:p w:rsidR="0008433A" w:rsidRPr="0008433A" w:rsidRDefault="0008433A" w:rsidP="008F6509">
      <w:pPr>
        <w:pStyle w:val="a2"/>
        <w:rPr>
          <w:lang w:val="en-US"/>
        </w:rPr>
      </w:pPr>
      <w:r>
        <w:rPr>
          <w:rStyle w:val="FootnoteReference"/>
        </w:rPr>
        <w:footnoteRef/>
      </w:r>
      <w:r w:rsidRPr="0008433A">
        <w:rPr>
          <w:lang w:val="en-US"/>
        </w:rPr>
        <w:t xml:space="preserve"> Li, Hongbin; Li, Lei; Wu, Binzheng, &amp; Xiong, Yanyan, (2012). </w:t>
      </w:r>
      <w:proofErr w:type="gramStart"/>
      <w:r w:rsidRPr="0008433A">
        <w:rPr>
          <w:lang w:val="en-US"/>
        </w:rPr>
        <w:t>“The end of cheap Chinese labor”.</w:t>
      </w:r>
      <w:proofErr w:type="gramEnd"/>
      <w:r w:rsidRPr="0008433A">
        <w:rPr>
          <w:lang w:val="en-US"/>
        </w:rPr>
        <w:t xml:space="preserve"> </w:t>
      </w:r>
      <w:r w:rsidRPr="0008433A">
        <w:rPr>
          <w:i/>
          <w:lang w:val="en-US"/>
        </w:rPr>
        <w:t>Journal of Economic Perspectives</w:t>
      </w:r>
      <w:r w:rsidRPr="0008433A">
        <w:rPr>
          <w:lang w:val="en-US"/>
        </w:rPr>
        <w:t>, Vol. 26, no.4, pp. 57–74</w:t>
      </w:r>
    </w:p>
  </w:footnote>
  <w:footnote w:id="23">
    <w:p w:rsidR="0008433A" w:rsidRPr="0008433A" w:rsidRDefault="0008433A" w:rsidP="008F6509">
      <w:pPr>
        <w:pStyle w:val="a2"/>
        <w:rPr>
          <w:lang w:val="en-US"/>
        </w:rPr>
      </w:pPr>
      <w:r>
        <w:rPr>
          <w:rStyle w:val="FootnoteReference"/>
        </w:rPr>
        <w:footnoteRef/>
      </w:r>
      <w:r w:rsidRPr="0008433A">
        <w:rPr>
          <w:lang w:val="en-US"/>
        </w:rPr>
        <w:t xml:space="preserve"> Tucker, Catherine, &amp; Van Hook, Jennifer, (2013). “Surplus Chinese men: Demographic determinants of the sex ratio at marriageable ages in China.” </w:t>
      </w:r>
      <w:r w:rsidRPr="0008433A">
        <w:rPr>
          <w:i/>
          <w:lang w:val="en-US"/>
        </w:rPr>
        <w:t>Population and development review</w:t>
      </w:r>
      <w:r w:rsidRPr="0008433A">
        <w:rPr>
          <w:lang w:val="en-US"/>
        </w:rPr>
        <w:t>, Vol. 39, No. 2, pp. 209–229.</w:t>
      </w:r>
    </w:p>
  </w:footnote>
  <w:footnote w:id="24">
    <w:p w:rsidR="0008433A" w:rsidRPr="0008433A" w:rsidRDefault="0008433A" w:rsidP="001D244F">
      <w:pPr>
        <w:pStyle w:val="a2"/>
        <w:rPr>
          <w:lang w:val="en-US"/>
        </w:rPr>
      </w:pPr>
      <w:r>
        <w:rPr>
          <w:rStyle w:val="FootnoteReference"/>
        </w:rPr>
        <w:footnoteRef/>
      </w:r>
      <w:r w:rsidRPr="0008433A">
        <w:rPr>
          <w:lang w:val="en-US"/>
        </w:rPr>
        <w:t xml:space="preserve"> Müller, Armin, (2016). “Hukou and Health Insurance Coverage for Migrant Workers”. </w:t>
      </w:r>
      <w:r w:rsidRPr="0008433A">
        <w:rPr>
          <w:i/>
          <w:lang w:val="en-US"/>
        </w:rPr>
        <w:t>Journal of Current Chinese Affairs</w:t>
      </w:r>
      <w:r w:rsidRPr="0008433A">
        <w:rPr>
          <w:lang w:val="en-US"/>
        </w:rPr>
        <w:t>, Vol. 45, No. 2, pp. 53–82.</w:t>
      </w:r>
    </w:p>
  </w:footnote>
  <w:footnote w:id="25">
    <w:p w:rsidR="0008433A" w:rsidRPr="001D244F" w:rsidRDefault="0008433A" w:rsidP="001D244F">
      <w:pPr>
        <w:pStyle w:val="a2"/>
      </w:pPr>
      <w:r>
        <w:rPr>
          <w:rStyle w:val="FootnoteReference"/>
        </w:rPr>
        <w:footnoteRef/>
      </w:r>
      <w:r w:rsidRPr="0008433A">
        <w:rPr>
          <w:lang w:val="en-US"/>
        </w:rPr>
        <w:t xml:space="preserve"> Crabbe, Matthew, (2014). </w:t>
      </w:r>
      <w:proofErr w:type="spellStart"/>
      <w:r w:rsidRPr="001D244F">
        <w:rPr>
          <w:i/>
        </w:rPr>
        <w:t>Op.cit</w:t>
      </w:r>
      <w:proofErr w:type="spellEnd"/>
      <w:r w:rsidRPr="001D244F">
        <w:rPr>
          <w:i/>
        </w:rPr>
        <w:t>.</w:t>
      </w:r>
    </w:p>
  </w:footnote>
  <w:footnote w:id="26">
    <w:p w:rsidR="0008433A" w:rsidRPr="001D244F" w:rsidRDefault="0008433A" w:rsidP="001D244F">
      <w:pPr>
        <w:pStyle w:val="a2"/>
      </w:pPr>
      <w:r>
        <w:rPr>
          <w:rStyle w:val="FootnoteReference"/>
        </w:rPr>
        <w:footnoteRef/>
      </w:r>
      <w:r>
        <w:t xml:space="preserve"> </w:t>
      </w:r>
      <w:proofErr w:type="spellStart"/>
      <w:r>
        <w:t>Tamames</w:t>
      </w:r>
      <w:proofErr w:type="spellEnd"/>
      <w:r>
        <w:t xml:space="preserve">, Ramón, &amp; </w:t>
      </w:r>
      <w:proofErr w:type="spellStart"/>
      <w:r>
        <w:t>Debasa</w:t>
      </w:r>
      <w:proofErr w:type="spellEnd"/>
      <w:r>
        <w:t xml:space="preserve">, Felipe, (2013). </w:t>
      </w:r>
      <w:r w:rsidRPr="006E54E8">
        <w:rPr>
          <w:i/>
        </w:rPr>
        <w:t>China tercer milenio</w:t>
      </w:r>
      <w:r>
        <w:t>. Barcelona: Planeta.</w:t>
      </w:r>
    </w:p>
  </w:footnote>
  <w:footnote w:id="27">
    <w:p w:rsidR="0008433A" w:rsidRPr="0008433A" w:rsidRDefault="0008433A" w:rsidP="002B0217">
      <w:pPr>
        <w:pStyle w:val="a2"/>
        <w:rPr>
          <w:lang w:val="en-US"/>
        </w:rPr>
      </w:pPr>
      <w:r>
        <w:rPr>
          <w:rStyle w:val="FootnoteReference"/>
        </w:rPr>
        <w:footnoteRef/>
      </w:r>
      <w:r w:rsidRPr="0008433A">
        <w:rPr>
          <w:lang w:val="en-US"/>
        </w:rPr>
        <w:t xml:space="preserve"> </w:t>
      </w:r>
      <w:r w:rsidRPr="0008433A">
        <w:rPr>
          <w:lang w:val="en-US"/>
        </w:rPr>
        <w:t xml:space="preserve">Shi, Li, &amp; Sato, Hiroshi, (2006). </w:t>
      </w:r>
      <w:r w:rsidRPr="0008433A">
        <w:rPr>
          <w:i/>
          <w:lang w:val="en-US"/>
        </w:rPr>
        <w:t>Unemployment, Inequality and Poverty in Urban China</w:t>
      </w:r>
      <w:r w:rsidRPr="0008433A">
        <w:rPr>
          <w:lang w:val="en-US"/>
        </w:rPr>
        <w:t>. London: Routledge.</w:t>
      </w:r>
    </w:p>
  </w:footnote>
  <w:footnote w:id="28">
    <w:p w:rsidR="0008433A" w:rsidRPr="0008433A" w:rsidRDefault="0008433A" w:rsidP="002B0217">
      <w:pPr>
        <w:pStyle w:val="a2"/>
        <w:rPr>
          <w:lang w:val="en-US"/>
        </w:rPr>
      </w:pPr>
      <w:r>
        <w:rPr>
          <w:rStyle w:val="FootnoteReference"/>
        </w:rPr>
        <w:footnoteRef/>
      </w:r>
      <w:r w:rsidRPr="0008433A">
        <w:rPr>
          <w:lang w:val="en-US"/>
        </w:rPr>
        <w:t xml:space="preserve"> Shi, Li, &amp; Sato, Hiroshi, (2006). </w:t>
      </w:r>
      <w:r w:rsidRPr="0008433A">
        <w:rPr>
          <w:i/>
          <w:lang w:val="en-US"/>
        </w:rPr>
        <w:t>Op.cit.</w:t>
      </w:r>
    </w:p>
  </w:footnote>
  <w:footnote w:id="29">
    <w:p w:rsidR="0008433A" w:rsidRPr="0008433A" w:rsidRDefault="0008433A" w:rsidP="00C12DA0">
      <w:pPr>
        <w:pStyle w:val="a2"/>
        <w:rPr>
          <w:lang w:val="en-US"/>
        </w:rPr>
      </w:pPr>
      <w:r>
        <w:rPr>
          <w:rStyle w:val="FootnoteReference"/>
        </w:rPr>
        <w:footnoteRef/>
      </w:r>
      <w:r w:rsidRPr="0008433A">
        <w:rPr>
          <w:lang w:val="en-US"/>
        </w:rPr>
        <w:t xml:space="preserve"> Shi, Henry X., (2014). </w:t>
      </w:r>
      <w:r w:rsidRPr="0008433A">
        <w:rPr>
          <w:i/>
          <w:lang w:val="en-US"/>
        </w:rPr>
        <w:t>Entrepreneurship in Family Business. Cases from China</w:t>
      </w:r>
      <w:r w:rsidRPr="0008433A">
        <w:rPr>
          <w:lang w:val="en-US"/>
        </w:rPr>
        <w:t>. London: Springer.</w:t>
      </w:r>
    </w:p>
  </w:footnote>
  <w:footnote w:id="30">
    <w:p w:rsidR="0008433A" w:rsidRPr="0008433A" w:rsidRDefault="0008433A" w:rsidP="00C12DA0">
      <w:pPr>
        <w:pStyle w:val="a2"/>
        <w:rPr>
          <w:lang w:val="en-US"/>
        </w:rPr>
      </w:pPr>
      <w:r>
        <w:rPr>
          <w:rStyle w:val="FootnoteReference"/>
        </w:rPr>
        <w:footnoteRef/>
      </w:r>
      <w:r w:rsidRPr="0008433A">
        <w:rPr>
          <w:lang w:val="en-US"/>
        </w:rPr>
        <w:t xml:space="preserve"> Shi, Li, &amp; Sato, Hiroshi, (2006).</w:t>
      </w:r>
      <w:r w:rsidRPr="0008433A">
        <w:rPr>
          <w:i/>
          <w:lang w:val="en-US"/>
        </w:rPr>
        <w:t>Op.cit</w:t>
      </w:r>
      <w:r w:rsidRPr="0008433A">
        <w:rPr>
          <w:lang w:val="en-US"/>
        </w:rPr>
        <w:t>.</w:t>
      </w:r>
    </w:p>
  </w:footnote>
  <w:footnote w:id="31">
    <w:p w:rsidR="0008433A" w:rsidRPr="0008433A" w:rsidRDefault="0008433A" w:rsidP="00C12DA0">
      <w:pPr>
        <w:pStyle w:val="a2"/>
        <w:rPr>
          <w:lang w:val="en-US"/>
        </w:rPr>
      </w:pPr>
      <w:r>
        <w:rPr>
          <w:rStyle w:val="FootnoteReference"/>
        </w:rPr>
        <w:footnoteRef/>
      </w:r>
      <w:r w:rsidRPr="0008433A">
        <w:rPr>
          <w:lang w:val="en-US"/>
        </w:rPr>
        <w:t xml:space="preserve"> Huang, Yi; Loungani, Prakash &amp; Wang, Gewei (2014). </w:t>
      </w:r>
      <w:r w:rsidRPr="0008433A">
        <w:rPr>
          <w:i/>
          <w:lang w:val="en-US"/>
        </w:rPr>
        <w:t>Op.cit.</w:t>
      </w:r>
    </w:p>
  </w:footnote>
  <w:footnote w:id="32">
    <w:p w:rsidR="0008433A" w:rsidRPr="0008433A" w:rsidRDefault="0008433A" w:rsidP="00F47C35">
      <w:pPr>
        <w:pStyle w:val="a2"/>
        <w:rPr>
          <w:lang w:val="en-US"/>
        </w:rPr>
      </w:pPr>
      <w:r>
        <w:rPr>
          <w:rStyle w:val="FootnoteReference"/>
        </w:rPr>
        <w:footnoteRef/>
      </w:r>
      <w:r w:rsidRPr="0008433A">
        <w:rPr>
          <w:lang w:val="en-US"/>
        </w:rPr>
        <w:t xml:space="preserve"> Meng, Xin; Shen, Kailing, &amp; Xue, Sen, (2013). “Economic reform, education expansion, and earnings inequality for urban males in China, 1988–2009.” </w:t>
      </w:r>
      <w:r w:rsidRPr="0008433A">
        <w:rPr>
          <w:i/>
          <w:lang w:val="en-US"/>
        </w:rPr>
        <w:t>Journal of Comparative Economics</w:t>
      </w:r>
      <w:r w:rsidRPr="0008433A">
        <w:rPr>
          <w:lang w:val="en-US"/>
        </w:rPr>
        <w:t>, Vol. 41, no. 1, pp. 227–244.</w:t>
      </w:r>
    </w:p>
  </w:footnote>
  <w:footnote w:id="33">
    <w:p w:rsidR="0008433A" w:rsidRPr="0008433A" w:rsidRDefault="0008433A" w:rsidP="00F61C7C">
      <w:pPr>
        <w:pStyle w:val="a2"/>
        <w:rPr>
          <w:lang w:val="en-US"/>
        </w:rPr>
      </w:pPr>
      <w:r>
        <w:rPr>
          <w:rStyle w:val="FootnoteReference"/>
        </w:rPr>
        <w:footnoteRef/>
      </w:r>
      <w:r w:rsidRPr="0008433A">
        <w:rPr>
          <w:lang w:val="en-US"/>
        </w:rPr>
        <w:t xml:space="preserve"> Crabbe, Matthew, (2014). </w:t>
      </w:r>
      <w:r w:rsidRPr="0008433A">
        <w:rPr>
          <w:i/>
          <w:lang w:val="en-US"/>
        </w:rPr>
        <w:t>Op.cit.</w:t>
      </w:r>
    </w:p>
  </w:footnote>
  <w:footnote w:id="34">
    <w:p w:rsidR="0008433A" w:rsidRPr="0008433A" w:rsidRDefault="0008433A" w:rsidP="00393744">
      <w:pPr>
        <w:pStyle w:val="a2"/>
        <w:rPr>
          <w:lang w:val="en-US"/>
        </w:rPr>
      </w:pPr>
      <w:r>
        <w:rPr>
          <w:rStyle w:val="FootnoteReference"/>
        </w:rPr>
        <w:footnoteRef/>
      </w:r>
      <w:r w:rsidRPr="0008433A">
        <w:rPr>
          <w:lang w:val="en-US"/>
        </w:rPr>
        <w:t xml:space="preserve"> Shi, Li, &amp; Sato, Hiroshi, (2006).</w:t>
      </w:r>
      <w:r w:rsidRPr="0008433A">
        <w:rPr>
          <w:i/>
          <w:lang w:val="en-US"/>
        </w:rPr>
        <w:t>Op.cit</w:t>
      </w:r>
      <w:r w:rsidRPr="0008433A">
        <w:rPr>
          <w:lang w:val="en-US"/>
        </w:rPr>
        <w:t>.</w:t>
      </w:r>
    </w:p>
  </w:footnote>
  <w:footnote w:id="35">
    <w:p w:rsidR="0008433A" w:rsidRPr="0008433A" w:rsidRDefault="0008433A" w:rsidP="00060125">
      <w:pPr>
        <w:pStyle w:val="a2"/>
        <w:rPr>
          <w:lang w:val="en-US"/>
        </w:rPr>
      </w:pPr>
      <w:r>
        <w:rPr>
          <w:rStyle w:val="FootnoteReference"/>
        </w:rPr>
        <w:footnoteRef/>
      </w:r>
      <w:r w:rsidRPr="0008433A">
        <w:rPr>
          <w:lang w:val="en-US"/>
        </w:rPr>
        <w:t xml:space="preserve"> Li, Shi, &amp; Sicular, Terry (2014). “The distribution of household income in China: Inequality, poverty and policies.” </w:t>
      </w:r>
      <w:r w:rsidRPr="0008433A">
        <w:rPr>
          <w:i/>
          <w:lang w:val="en-US"/>
        </w:rPr>
        <w:t>The China Quarterly</w:t>
      </w:r>
      <w:r w:rsidRPr="0008433A">
        <w:rPr>
          <w:lang w:val="en-US"/>
        </w:rPr>
        <w:t>, no. 217, pp. 1-41.</w:t>
      </w:r>
    </w:p>
  </w:footnote>
  <w:footnote w:id="36">
    <w:p w:rsidR="0008433A" w:rsidRPr="0008433A" w:rsidRDefault="0008433A" w:rsidP="00060125">
      <w:pPr>
        <w:pStyle w:val="a2"/>
        <w:rPr>
          <w:lang w:val="en-US"/>
        </w:rPr>
      </w:pPr>
      <w:r>
        <w:rPr>
          <w:rStyle w:val="FootnoteReference"/>
        </w:rPr>
        <w:footnoteRef/>
      </w:r>
      <w:r w:rsidRPr="0008433A">
        <w:rPr>
          <w:lang w:val="en-US"/>
        </w:rPr>
        <w:t xml:space="preserve"> Knight, John, (2013). “Inequality in China: an overview.” </w:t>
      </w:r>
      <w:r w:rsidRPr="0008433A">
        <w:rPr>
          <w:i/>
          <w:lang w:val="en-US"/>
        </w:rPr>
        <w:t>The World Bank Research Observer</w:t>
      </w:r>
      <w:r w:rsidRPr="0008433A">
        <w:rPr>
          <w:lang w:val="en-US"/>
        </w:rPr>
        <w:t>, Policy Research Working Paper 6482.</w:t>
      </w:r>
    </w:p>
  </w:footnote>
  <w:footnote w:id="37">
    <w:p w:rsidR="0008433A" w:rsidRPr="0008433A" w:rsidRDefault="0008433A" w:rsidP="003D13E0">
      <w:pPr>
        <w:pStyle w:val="a2"/>
        <w:rPr>
          <w:lang w:val="en-US"/>
        </w:rPr>
      </w:pPr>
      <w:r>
        <w:rPr>
          <w:rStyle w:val="FootnoteReference"/>
        </w:rPr>
        <w:footnoteRef/>
      </w:r>
      <w:r w:rsidRPr="0008433A">
        <w:rPr>
          <w:lang w:val="en-US"/>
        </w:rPr>
        <w:t xml:space="preserve"> Stiglitz, Joseph E., (2012). </w:t>
      </w:r>
      <w:r w:rsidRPr="0008433A">
        <w:rPr>
          <w:i/>
          <w:lang w:val="en-US"/>
        </w:rPr>
        <w:t>Op.cit.</w:t>
      </w:r>
    </w:p>
  </w:footnote>
  <w:footnote w:id="38">
    <w:p w:rsidR="0008433A" w:rsidRPr="001368DA" w:rsidRDefault="0008433A" w:rsidP="001368DA">
      <w:pPr>
        <w:pStyle w:val="a2"/>
      </w:pPr>
      <w:r>
        <w:rPr>
          <w:rStyle w:val="FootnoteReference"/>
        </w:rPr>
        <w:footnoteRef/>
      </w:r>
      <w:r>
        <w:t xml:space="preserve"> </w:t>
      </w:r>
      <w:r w:rsidRPr="00B43507">
        <w:t xml:space="preserve">Cuadrado </w:t>
      </w:r>
      <w:proofErr w:type="spellStart"/>
      <w:r w:rsidRPr="00B43507">
        <w:t>Roura</w:t>
      </w:r>
      <w:proofErr w:type="spellEnd"/>
      <w:r w:rsidRPr="00B43507">
        <w:t>, Juan Ramón</w:t>
      </w:r>
      <w:r>
        <w:t>, (2016).</w:t>
      </w:r>
      <w:r w:rsidRPr="00B43507">
        <w:t xml:space="preserve"> </w:t>
      </w:r>
      <w:r>
        <w:t>“</w:t>
      </w:r>
      <w:r w:rsidRPr="00B43507">
        <w:t xml:space="preserve">Desindustrialización versus </w:t>
      </w:r>
      <w:proofErr w:type="spellStart"/>
      <w:r w:rsidRPr="00B43507">
        <w:t>Terciarización</w:t>
      </w:r>
      <w:proofErr w:type="spellEnd"/>
      <w:r w:rsidRPr="00B43507">
        <w:t>: del aparente conflicto a una creciente integración</w:t>
      </w:r>
      <w:r>
        <w:t>”</w:t>
      </w:r>
      <w:r w:rsidRPr="00B43507">
        <w:t xml:space="preserve">. </w:t>
      </w:r>
      <w:r w:rsidRPr="00B43507">
        <w:rPr>
          <w:i/>
        </w:rPr>
        <w:t>Instituto Universitario de Análisis Económico y Social</w:t>
      </w:r>
      <w:r w:rsidRPr="00B43507">
        <w:t>, No. 08/16</w:t>
      </w:r>
    </w:p>
  </w:footnote>
  <w:footnote w:id="39">
    <w:p w:rsidR="0008433A" w:rsidRPr="00A14628" w:rsidRDefault="0008433A" w:rsidP="00A14628">
      <w:pPr>
        <w:pStyle w:val="a2"/>
      </w:pPr>
      <w:r>
        <w:rPr>
          <w:rStyle w:val="FootnoteReference"/>
        </w:rPr>
        <w:footnoteRef/>
      </w:r>
      <w:r>
        <w:t xml:space="preserve"> </w:t>
      </w:r>
      <w:proofErr w:type="spellStart"/>
      <w:r>
        <w:t>Compés</w:t>
      </w:r>
      <w:proofErr w:type="spellEnd"/>
      <w:r>
        <w:t xml:space="preserve"> López Raúl, </w:t>
      </w:r>
      <w:r w:rsidRPr="00B43507">
        <w:t xml:space="preserve">&amp; García Álvarez-Coque, José María (2009), </w:t>
      </w:r>
      <w:r>
        <w:t>“</w:t>
      </w:r>
      <w:r w:rsidRPr="00B43507">
        <w:t>La reforma de la PAC y la agricultura española: alternativas y oportunidades para España</w:t>
      </w:r>
      <w:r>
        <w:t>”</w:t>
      </w:r>
      <w:r w:rsidRPr="00B43507">
        <w:t>. OPEX, Observatorio de Política Exterior Española, Documento de trabajo 40/2009</w:t>
      </w:r>
      <w:r>
        <w:t>.</w:t>
      </w:r>
    </w:p>
  </w:footnote>
  <w:footnote w:id="40">
    <w:p w:rsidR="0008433A" w:rsidRPr="0008433A" w:rsidRDefault="0008433A" w:rsidP="00F37445">
      <w:pPr>
        <w:pStyle w:val="a2"/>
        <w:rPr>
          <w:lang w:val="en-US"/>
        </w:rPr>
      </w:pPr>
      <w:r>
        <w:rPr>
          <w:rStyle w:val="FootnoteReference"/>
        </w:rPr>
        <w:footnoteRef/>
      </w:r>
      <w:r>
        <w:t xml:space="preserve"> </w:t>
      </w:r>
      <w:r w:rsidRPr="00F37445">
        <w:t>Cuadr</w:t>
      </w:r>
      <w:r>
        <w:t xml:space="preserve">ado </w:t>
      </w:r>
      <w:proofErr w:type="spellStart"/>
      <w:r>
        <w:t>Roura</w:t>
      </w:r>
      <w:proofErr w:type="spellEnd"/>
      <w:r>
        <w:t xml:space="preserve">, Juan Ramón, (2016). </w:t>
      </w:r>
      <w:r w:rsidRPr="0008433A">
        <w:rPr>
          <w:i/>
          <w:lang w:val="en-US"/>
        </w:rPr>
        <w:t>Op.cit.</w:t>
      </w:r>
    </w:p>
  </w:footnote>
  <w:footnote w:id="41">
    <w:p w:rsidR="0008433A" w:rsidRPr="003C5082" w:rsidRDefault="0008433A" w:rsidP="003C5082">
      <w:pPr>
        <w:pStyle w:val="a2"/>
      </w:pPr>
      <w:r>
        <w:rPr>
          <w:rStyle w:val="FootnoteReference"/>
        </w:rPr>
        <w:footnoteRef/>
      </w:r>
      <w:r w:rsidRPr="0008433A">
        <w:rPr>
          <w:lang w:val="en-US"/>
        </w:rPr>
        <w:t xml:space="preserve"> Meng, Xin; Shen, Kailing, &amp; Xue, Sen, (2013). </w:t>
      </w:r>
      <w:proofErr w:type="spellStart"/>
      <w:r w:rsidRPr="003C5082">
        <w:rPr>
          <w:i/>
        </w:rPr>
        <w:t>Op.cit</w:t>
      </w:r>
      <w:proofErr w:type="spellEnd"/>
      <w:r w:rsidRPr="003C5082">
        <w:rPr>
          <w:i/>
        </w:rPr>
        <w:t>.</w:t>
      </w:r>
    </w:p>
  </w:footnote>
  <w:footnote w:id="42">
    <w:p w:rsidR="0008433A" w:rsidRPr="00182625" w:rsidRDefault="0008433A" w:rsidP="00182625">
      <w:pPr>
        <w:pStyle w:val="a2"/>
      </w:pPr>
      <w:r>
        <w:rPr>
          <w:rStyle w:val="FootnoteReference"/>
        </w:rPr>
        <w:footnoteRef/>
      </w:r>
      <w:r>
        <w:t xml:space="preserve"> OIT (2016). </w:t>
      </w:r>
      <w:r w:rsidRPr="00C77680">
        <w:t>Informe Mundial sobre Salarios 2014/2015. Salarios y desigualdad de ingresos</w:t>
      </w:r>
      <w:r>
        <w:t>. Ginebra: Organización Internacional del Trabajo.</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11.25pt;height:11.25pt" o:bullet="t">
        <v:imagedata r:id="rId1" o:title="mso251"/>
      </v:shape>
    </w:pict>
  </w:numPicBullet>
  <w:abstractNum w:abstractNumId="0">
    <w:nsid w:val="006D7F3E"/>
    <w:multiLevelType w:val="hybridMultilevel"/>
    <w:tmpl w:val="23189DBA"/>
    <w:lvl w:ilvl="0" w:tplc="CC380D3C">
      <w:start w:val="1"/>
      <w:numFmt w:val="decim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
    <w:nsid w:val="00B42BCC"/>
    <w:multiLevelType w:val="hybridMultilevel"/>
    <w:tmpl w:val="E4C85C4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4794DF2"/>
    <w:multiLevelType w:val="hybridMultilevel"/>
    <w:tmpl w:val="83106746"/>
    <w:lvl w:ilvl="0" w:tplc="04090005">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nsid w:val="07504B00"/>
    <w:multiLevelType w:val="hybridMultilevel"/>
    <w:tmpl w:val="F7284952"/>
    <w:lvl w:ilvl="0" w:tplc="04090011">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08043357"/>
    <w:multiLevelType w:val="hybridMultilevel"/>
    <w:tmpl w:val="82EAE7C6"/>
    <w:lvl w:ilvl="0" w:tplc="04090011">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0A505F6A"/>
    <w:multiLevelType w:val="multilevel"/>
    <w:tmpl w:val="73D88BB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
    <w:nsid w:val="11F64876"/>
    <w:multiLevelType w:val="hybridMultilevel"/>
    <w:tmpl w:val="3AE0F340"/>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9DD744C"/>
    <w:multiLevelType w:val="hybridMultilevel"/>
    <w:tmpl w:val="5C80F53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9F343C4"/>
    <w:multiLevelType w:val="hybridMultilevel"/>
    <w:tmpl w:val="EB82826C"/>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9">
    <w:nsid w:val="1DCA0310"/>
    <w:multiLevelType w:val="multilevel"/>
    <w:tmpl w:val="6BDA2092"/>
    <w:lvl w:ilvl="0">
      <w:start w:val="3"/>
      <w:numFmt w:val="decimal"/>
      <w:lvlText w:val="%1"/>
      <w:lvlJc w:val="left"/>
      <w:pPr>
        <w:ind w:left="456" w:hanging="456"/>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
    <w:nsid w:val="20EF394E"/>
    <w:multiLevelType w:val="multilevel"/>
    <w:tmpl w:val="6392430E"/>
    <w:lvl w:ilvl="0">
      <w:start w:val="3"/>
      <w:numFmt w:val="decimal"/>
      <w:lvlText w:val="%1"/>
      <w:lvlJc w:val="left"/>
      <w:pPr>
        <w:ind w:left="456" w:hanging="456"/>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nsid w:val="23D71D59"/>
    <w:multiLevelType w:val="hybridMultilevel"/>
    <w:tmpl w:val="18446B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260541A2"/>
    <w:multiLevelType w:val="multilevel"/>
    <w:tmpl w:val="6B82E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83816B7"/>
    <w:multiLevelType w:val="hybridMultilevel"/>
    <w:tmpl w:val="6C2C6CC8"/>
    <w:lvl w:ilvl="0" w:tplc="A30A5D58">
      <w:start w:val="2"/>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4">
    <w:nsid w:val="2BFD34F0"/>
    <w:multiLevelType w:val="hybridMultilevel"/>
    <w:tmpl w:val="8E8E46E8"/>
    <w:lvl w:ilvl="0" w:tplc="7B0267B2">
      <w:start w:val="3"/>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5">
    <w:nsid w:val="33AB5E2F"/>
    <w:multiLevelType w:val="hybridMultilevel"/>
    <w:tmpl w:val="458EE93C"/>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346675E9"/>
    <w:multiLevelType w:val="hybridMultilevel"/>
    <w:tmpl w:val="A6488B78"/>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7">
    <w:nsid w:val="354A046A"/>
    <w:multiLevelType w:val="hybridMultilevel"/>
    <w:tmpl w:val="E62234FE"/>
    <w:lvl w:ilvl="0" w:tplc="04090005">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
    <w:nsid w:val="370170AD"/>
    <w:multiLevelType w:val="hybridMultilevel"/>
    <w:tmpl w:val="13A86CAC"/>
    <w:lvl w:ilvl="0" w:tplc="04090007">
      <w:start w:val="1"/>
      <w:numFmt w:val="bullet"/>
      <w:lvlText w:val=""/>
      <w:lvlPicBulletId w:val="0"/>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9">
    <w:nsid w:val="394B2577"/>
    <w:multiLevelType w:val="multilevel"/>
    <w:tmpl w:val="F6E2E1A6"/>
    <w:lvl w:ilvl="0">
      <w:start w:val="3"/>
      <w:numFmt w:val="decimal"/>
      <w:lvlText w:val="%1"/>
      <w:lvlJc w:val="left"/>
      <w:pPr>
        <w:ind w:left="456" w:hanging="456"/>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0">
    <w:nsid w:val="399E1076"/>
    <w:multiLevelType w:val="hybridMultilevel"/>
    <w:tmpl w:val="49CA2C94"/>
    <w:lvl w:ilvl="0" w:tplc="04090009">
      <w:start w:val="1"/>
      <w:numFmt w:val="bullet"/>
      <w:lvlText w:val=""/>
      <w:lvlJc w:val="left"/>
      <w:pPr>
        <w:ind w:left="840" w:hanging="420"/>
      </w:pPr>
      <w:rPr>
        <w:rFonts w:ascii="Wingdings" w:hAnsi="Wingdings" w:hint="default"/>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21">
    <w:nsid w:val="39FB0764"/>
    <w:multiLevelType w:val="hybridMultilevel"/>
    <w:tmpl w:val="A3568792"/>
    <w:lvl w:ilvl="0" w:tplc="906C282C">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2">
    <w:nsid w:val="4341664A"/>
    <w:multiLevelType w:val="hybridMultilevel"/>
    <w:tmpl w:val="F454D44C"/>
    <w:lvl w:ilvl="0" w:tplc="833E6620">
      <w:start w:val="1"/>
      <w:numFmt w:val="bullet"/>
      <w:lvlText w:val=""/>
      <w:lvlJc w:val="left"/>
      <w:pPr>
        <w:ind w:left="420" w:hanging="420"/>
      </w:pPr>
      <w:rPr>
        <w:rFonts w:ascii="Symbol" w:hAnsi="Symbol"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3">
    <w:nsid w:val="45702ABA"/>
    <w:multiLevelType w:val="hybridMultilevel"/>
    <w:tmpl w:val="95B23CA6"/>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
    <w:nsid w:val="46601D86"/>
    <w:multiLevelType w:val="multilevel"/>
    <w:tmpl w:val="04EAF2B2"/>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nsid w:val="4A3A61D3"/>
    <w:multiLevelType w:val="hybridMultilevel"/>
    <w:tmpl w:val="745A312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4AC06606"/>
    <w:multiLevelType w:val="hybridMultilevel"/>
    <w:tmpl w:val="FD0A0E38"/>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7">
    <w:nsid w:val="4D643D8C"/>
    <w:multiLevelType w:val="hybridMultilevel"/>
    <w:tmpl w:val="A412EE0A"/>
    <w:lvl w:ilvl="0" w:tplc="0C0A0017">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8">
    <w:nsid w:val="55403EFA"/>
    <w:multiLevelType w:val="hybridMultilevel"/>
    <w:tmpl w:val="4E8222A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5603782D"/>
    <w:multiLevelType w:val="hybridMultilevel"/>
    <w:tmpl w:val="6598DE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56B51EE1"/>
    <w:multiLevelType w:val="hybridMultilevel"/>
    <w:tmpl w:val="A4EECF2E"/>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
    <w:nsid w:val="5BF060CE"/>
    <w:multiLevelType w:val="hybridMultilevel"/>
    <w:tmpl w:val="1F6863EA"/>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5D887235"/>
    <w:multiLevelType w:val="hybridMultilevel"/>
    <w:tmpl w:val="4FA4E0FE"/>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3">
    <w:nsid w:val="60CA6BDB"/>
    <w:multiLevelType w:val="multilevel"/>
    <w:tmpl w:val="E7380FB4"/>
    <w:lvl w:ilvl="0">
      <w:start w:val="2"/>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34">
    <w:nsid w:val="614D185D"/>
    <w:multiLevelType w:val="multilevel"/>
    <w:tmpl w:val="6BDA2092"/>
    <w:lvl w:ilvl="0">
      <w:start w:val="3"/>
      <w:numFmt w:val="decimal"/>
      <w:lvlText w:val="%1"/>
      <w:lvlJc w:val="left"/>
      <w:pPr>
        <w:ind w:left="456" w:hanging="456"/>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5">
    <w:nsid w:val="636B4844"/>
    <w:multiLevelType w:val="multilevel"/>
    <w:tmpl w:val="1F7084FE"/>
    <w:lvl w:ilvl="0">
      <w:start w:val="2"/>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65F24F1D"/>
    <w:multiLevelType w:val="multilevel"/>
    <w:tmpl w:val="BB8C8E66"/>
    <w:lvl w:ilvl="0">
      <w:start w:val="3"/>
      <w:numFmt w:val="decimal"/>
      <w:lvlText w:val="%1"/>
      <w:lvlJc w:val="left"/>
      <w:pPr>
        <w:ind w:left="456" w:hanging="456"/>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7">
    <w:nsid w:val="693863E6"/>
    <w:multiLevelType w:val="hybridMultilevel"/>
    <w:tmpl w:val="BCD60BCC"/>
    <w:lvl w:ilvl="0" w:tplc="97F6474C">
      <w:start w:val="1"/>
      <w:numFmt w:val="lowerLetter"/>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38">
    <w:nsid w:val="69EC48E7"/>
    <w:multiLevelType w:val="multilevel"/>
    <w:tmpl w:val="D2CC864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abstractNum w:abstractNumId="39">
    <w:nsid w:val="6E050DAD"/>
    <w:multiLevelType w:val="hybridMultilevel"/>
    <w:tmpl w:val="945E4E52"/>
    <w:lvl w:ilvl="0" w:tplc="F6EE9626">
      <w:start w:val="1"/>
      <w:numFmt w:val="decimal"/>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40">
    <w:nsid w:val="6E3240E9"/>
    <w:multiLevelType w:val="hybridMultilevel"/>
    <w:tmpl w:val="FA3A366C"/>
    <w:lvl w:ilvl="0" w:tplc="13561646">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70A702CE"/>
    <w:multiLevelType w:val="hybridMultilevel"/>
    <w:tmpl w:val="CB5C39E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nsid w:val="70D5749E"/>
    <w:multiLevelType w:val="hybridMultilevel"/>
    <w:tmpl w:val="642C6F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nsid w:val="7A3C1F99"/>
    <w:multiLevelType w:val="hybridMultilevel"/>
    <w:tmpl w:val="E588294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
    <w:nsid w:val="7BF95598"/>
    <w:multiLevelType w:val="hybridMultilevel"/>
    <w:tmpl w:val="D696BDC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5">
    <w:nsid w:val="7E443B8A"/>
    <w:multiLevelType w:val="multilevel"/>
    <w:tmpl w:val="B476C46E"/>
    <w:lvl w:ilvl="0">
      <w:start w:val="3"/>
      <w:numFmt w:val="decimal"/>
      <w:lvlText w:val="%1"/>
      <w:lvlJc w:val="left"/>
      <w:pPr>
        <w:ind w:left="456" w:hanging="456"/>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6">
    <w:nsid w:val="7FC04791"/>
    <w:multiLevelType w:val="hybridMultilevel"/>
    <w:tmpl w:val="797E6F8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0"/>
  </w:num>
  <w:num w:numId="2">
    <w:abstractNumId w:val="17"/>
  </w:num>
  <w:num w:numId="3">
    <w:abstractNumId w:val="22"/>
  </w:num>
  <w:num w:numId="4">
    <w:abstractNumId w:val="2"/>
  </w:num>
  <w:num w:numId="5">
    <w:abstractNumId w:val="23"/>
  </w:num>
  <w:num w:numId="6">
    <w:abstractNumId w:val="16"/>
  </w:num>
  <w:num w:numId="7">
    <w:abstractNumId w:val="18"/>
  </w:num>
  <w:num w:numId="8">
    <w:abstractNumId w:val="20"/>
  </w:num>
  <w:num w:numId="9">
    <w:abstractNumId w:val="32"/>
  </w:num>
  <w:num w:numId="10">
    <w:abstractNumId w:val="8"/>
  </w:num>
  <w:num w:numId="11">
    <w:abstractNumId w:val="7"/>
  </w:num>
  <w:num w:numId="12">
    <w:abstractNumId w:val="28"/>
  </w:num>
  <w:num w:numId="13">
    <w:abstractNumId w:val="15"/>
  </w:num>
  <w:num w:numId="14">
    <w:abstractNumId w:val="27"/>
  </w:num>
  <w:num w:numId="15">
    <w:abstractNumId w:val="37"/>
  </w:num>
  <w:num w:numId="16">
    <w:abstractNumId w:val="43"/>
  </w:num>
  <w:num w:numId="17">
    <w:abstractNumId w:val="44"/>
  </w:num>
  <w:num w:numId="18">
    <w:abstractNumId w:val="26"/>
  </w:num>
  <w:num w:numId="19">
    <w:abstractNumId w:val="13"/>
  </w:num>
  <w:num w:numId="20">
    <w:abstractNumId w:val="40"/>
  </w:num>
  <w:num w:numId="21">
    <w:abstractNumId w:val="21"/>
  </w:num>
  <w:num w:numId="22">
    <w:abstractNumId w:val="0"/>
  </w:num>
  <w:num w:numId="23">
    <w:abstractNumId w:val="39"/>
  </w:num>
  <w:num w:numId="24">
    <w:abstractNumId w:val="46"/>
  </w:num>
  <w:num w:numId="25">
    <w:abstractNumId w:val="35"/>
  </w:num>
  <w:num w:numId="26">
    <w:abstractNumId w:val="33"/>
  </w:num>
  <w:num w:numId="27">
    <w:abstractNumId w:val="29"/>
  </w:num>
  <w:num w:numId="28">
    <w:abstractNumId w:val="5"/>
  </w:num>
  <w:num w:numId="29">
    <w:abstractNumId w:val="1"/>
  </w:num>
  <w:num w:numId="30">
    <w:abstractNumId w:val="38"/>
  </w:num>
  <w:num w:numId="31">
    <w:abstractNumId w:val="14"/>
  </w:num>
  <w:num w:numId="32">
    <w:abstractNumId w:val="45"/>
  </w:num>
  <w:num w:numId="33">
    <w:abstractNumId w:val="36"/>
  </w:num>
  <w:num w:numId="34">
    <w:abstractNumId w:val="10"/>
  </w:num>
  <w:num w:numId="35">
    <w:abstractNumId w:val="19"/>
  </w:num>
  <w:num w:numId="36">
    <w:abstractNumId w:val="9"/>
  </w:num>
  <w:num w:numId="37">
    <w:abstractNumId w:val="12"/>
  </w:num>
  <w:num w:numId="38">
    <w:abstractNumId w:val="34"/>
  </w:num>
  <w:num w:numId="39">
    <w:abstractNumId w:val="3"/>
  </w:num>
  <w:num w:numId="40">
    <w:abstractNumId w:val="4"/>
  </w:num>
  <w:num w:numId="41">
    <w:abstractNumId w:val="25"/>
  </w:num>
  <w:num w:numId="42">
    <w:abstractNumId w:val="41"/>
  </w:num>
  <w:num w:numId="43">
    <w:abstractNumId w:val="24"/>
  </w:num>
  <w:num w:numId="44">
    <w:abstractNumId w:val="11"/>
  </w:num>
  <w:num w:numId="45">
    <w:abstractNumId w:val="31"/>
  </w:num>
  <w:num w:numId="46">
    <w:abstractNumId w:val="42"/>
  </w:num>
  <w:num w:numId="4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hyphenationZone w:val="425"/>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 w:id="1"/>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39B3"/>
    <w:rsid w:val="00001623"/>
    <w:rsid w:val="0000305D"/>
    <w:rsid w:val="000052F5"/>
    <w:rsid w:val="00016B6E"/>
    <w:rsid w:val="00021F4E"/>
    <w:rsid w:val="00022B62"/>
    <w:rsid w:val="00024159"/>
    <w:rsid w:val="00025E57"/>
    <w:rsid w:val="000405CC"/>
    <w:rsid w:val="0004660E"/>
    <w:rsid w:val="00046799"/>
    <w:rsid w:val="00050FDB"/>
    <w:rsid w:val="00052509"/>
    <w:rsid w:val="00060125"/>
    <w:rsid w:val="00060EC2"/>
    <w:rsid w:val="00061BB4"/>
    <w:rsid w:val="000731CF"/>
    <w:rsid w:val="0007366C"/>
    <w:rsid w:val="0008433A"/>
    <w:rsid w:val="00086056"/>
    <w:rsid w:val="00092D1A"/>
    <w:rsid w:val="000A1004"/>
    <w:rsid w:val="000A3938"/>
    <w:rsid w:val="000A4017"/>
    <w:rsid w:val="000A4BE1"/>
    <w:rsid w:val="000A665F"/>
    <w:rsid w:val="000A706E"/>
    <w:rsid w:val="000B19C4"/>
    <w:rsid w:val="000B258E"/>
    <w:rsid w:val="000B26A8"/>
    <w:rsid w:val="000B4A6C"/>
    <w:rsid w:val="000B6796"/>
    <w:rsid w:val="000C1741"/>
    <w:rsid w:val="000C63C0"/>
    <w:rsid w:val="000D3200"/>
    <w:rsid w:val="000D3BF9"/>
    <w:rsid w:val="000D3D52"/>
    <w:rsid w:val="000D433F"/>
    <w:rsid w:val="000E36A3"/>
    <w:rsid w:val="000E3E33"/>
    <w:rsid w:val="000E7635"/>
    <w:rsid w:val="000F0AD1"/>
    <w:rsid w:val="000F41B2"/>
    <w:rsid w:val="000F5D3A"/>
    <w:rsid w:val="00100F75"/>
    <w:rsid w:val="001047A4"/>
    <w:rsid w:val="00104F7F"/>
    <w:rsid w:val="00111536"/>
    <w:rsid w:val="00114D22"/>
    <w:rsid w:val="00120AA3"/>
    <w:rsid w:val="0012220C"/>
    <w:rsid w:val="00123F0D"/>
    <w:rsid w:val="00124578"/>
    <w:rsid w:val="00136859"/>
    <w:rsid w:val="001368DA"/>
    <w:rsid w:val="00141951"/>
    <w:rsid w:val="00143442"/>
    <w:rsid w:val="00143686"/>
    <w:rsid w:val="001444F4"/>
    <w:rsid w:val="00150514"/>
    <w:rsid w:val="001522FE"/>
    <w:rsid w:val="001525AC"/>
    <w:rsid w:val="00153038"/>
    <w:rsid w:val="001537D0"/>
    <w:rsid w:val="001572ED"/>
    <w:rsid w:val="001604CA"/>
    <w:rsid w:val="0018128C"/>
    <w:rsid w:val="0018146E"/>
    <w:rsid w:val="00182625"/>
    <w:rsid w:val="00182B80"/>
    <w:rsid w:val="00183782"/>
    <w:rsid w:val="00183A42"/>
    <w:rsid w:val="001906A4"/>
    <w:rsid w:val="001945E1"/>
    <w:rsid w:val="001A3FF1"/>
    <w:rsid w:val="001A6CC7"/>
    <w:rsid w:val="001B650D"/>
    <w:rsid w:val="001C0784"/>
    <w:rsid w:val="001C1A87"/>
    <w:rsid w:val="001C3B44"/>
    <w:rsid w:val="001C4EF0"/>
    <w:rsid w:val="001C501D"/>
    <w:rsid w:val="001D244F"/>
    <w:rsid w:val="001D2FB9"/>
    <w:rsid w:val="001D6765"/>
    <w:rsid w:val="001F1F45"/>
    <w:rsid w:val="001F532C"/>
    <w:rsid w:val="002009FE"/>
    <w:rsid w:val="00203523"/>
    <w:rsid w:val="00203EC3"/>
    <w:rsid w:val="00213462"/>
    <w:rsid w:val="00214148"/>
    <w:rsid w:val="00221F87"/>
    <w:rsid w:val="0022212C"/>
    <w:rsid w:val="00225638"/>
    <w:rsid w:val="00227FE7"/>
    <w:rsid w:val="002307F5"/>
    <w:rsid w:val="002355AD"/>
    <w:rsid w:val="00236117"/>
    <w:rsid w:val="00242060"/>
    <w:rsid w:val="0024782A"/>
    <w:rsid w:val="00262115"/>
    <w:rsid w:val="00270EF0"/>
    <w:rsid w:val="002727E0"/>
    <w:rsid w:val="00272BB2"/>
    <w:rsid w:val="00272E94"/>
    <w:rsid w:val="00274041"/>
    <w:rsid w:val="00275186"/>
    <w:rsid w:val="00275EE5"/>
    <w:rsid w:val="00276B8F"/>
    <w:rsid w:val="00281B63"/>
    <w:rsid w:val="00282ED3"/>
    <w:rsid w:val="00285C17"/>
    <w:rsid w:val="00287EDC"/>
    <w:rsid w:val="002A7804"/>
    <w:rsid w:val="002B0217"/>
    <w:rsid w:val="002B20DB"/>
    <w:rsid w:val="002B2D64"/>
    <w:rsid w:val="002B6578"/>
    <w:rsid w:val="002B6AD8"/>
    <w:rsid w:val="002B6F80"/>
    <w:rsid w:val="002D3976"/>
    <w:rsid w:val="002D4C96"/>
    <w:rsid w:val="002D501C"/>
    <w:rsid w:val="002D672F"/>
    <w:rsid w:val="002E0A42"/>
    <w:rsid w:val="002E0D06"/>
    <w:rsid w:val="002E104B"/>
    <w:rsid w:val="002E20FE"/>
    <w:rsid w:val="002E54D8"/>
    <w:rsid w:val="002E695B"/>
    <w:rsid w:val="002F0031"/>
    <w:rsid w:val="002F4140"/>
    <w:rsid w:val="00301EFF"/>
    <w:rsid w:val="00304D42"/>
    <w:rsid w:val="00310FCB"/>
    <w:rsid w:val="00312BE3"/>
    <w:rsid w:val="00313450"/>
    <w:rsid w:val="00313BA9"/>
    <w:rsid w:val="003147A0"/>
    <w:rsid w:val="00321643"/>
    <w:rsid w:val="00321C15"/>
    <w:rsid w:val="00330F0C"/>
    <w:rsid w:val="00351584"/>
    <w:rsid w:val="003521F0"/>
    <w:rsid w:val="003545C9"/>
    <w:rsid w:val="00357279"/>
    <w:rsid w:val="00362E89"/>
    <w:rsid w:val="00367C64"/>
    <w:rsid w:val="003703DB"/>
    <w:rsid w:val="00371BF7"/>
    <w:rsid w:val="003727D8"/>
    <w:rsid w:val="00372D57"/>
    <w:rsid w:val="00376E47"/>
    <w:rsid w:val="00380211"/>
    <w:rsid w:val="00385098"/>
    <w:rsid w:val="00385C38"/>
    <w:rsid w:val="00385D34"/>
    <w:rsid w:val="0038672B"/>
    <w:rsid w:val="00390CC4"/>
    <w:rsid w:val="00391D67"/>
    <w:rsid w:val="00393744"/>
    <w:rsid w:val="00394E9E"/>
    <w:rsid w:val="00395F5C"/>
    <w:rsid w:val="003A16F8"/>
    <w:rsid w:val="003A628D"/>
    <w:rsid w:val="003B0B1D"/>
    <w:rsid w:val="003C5082"/>
    <w:rsid w:val="003C5BBF"/>
    <w:rsid w:val="003C723D"/>
    <w:rsid w:val="003D13E0"/>
    <w:rsid w:val="003D5DEB"/>
    <w:rsid w:val="003E025C"/>
    <w:rsid w:val="003E18F7"/>
    <w:rsid w:val="003E31F3"/>
    <w:rsid w:val="003E5FAA"/>
    <w:rsid w:val="003F18E9"/>
    <w:rsid w:val="003F35F2"/>
    <w:rsid w:val="00402FCA"/>
    <w:rsid w:val="0040753C"/>
    <w:rsid w:val="00410319"/>
    <w:rsid w:val="00410B5C"/>
    <w:rsid w:val="0041783B"/>
    <w:rsid w:val="00417BCE"/>
    <w:rsid w:val="00421458"/>
    <w:rsid w:val="00423B63"/>
    <w:rsid w:val="00424323"/>
    <w:rsid w:val="004331BB"/>
    <w:rsid w:val="00433668"/>
    <w:rsid w:val="00435DE6"/>
    <w:rsid w:val="004378EB"/>
    <w:rsid w:val="00441D02"/>
    <w:rsid w:val="00441E77"/>
    <w:rsid w:val="004438BA"/>
    <w:rsid w:val="00445E9C"/>
    <w:rsid w:val="00446DBA"/>
    <w:rsid w:val="00450039"/>
    <w:rsid w:val="00455A79"/>
    <w:rsid w:val="00457F1D"/>
    <w:rsid w:val="0046243E"/>
    <w:rsid w:val="00465C23"/>
    <w:rsid w:val="00466A0B"/>
    <w:rsid w:val="00476195"/>
    <w:rsid w:val="00480FE1"/>
    <w:rsid w:val="00481560"/>
    <w:rsid w:val="00486636"/>
    <w:rsid w:val="004876CF"/>
    <w:rsid w:val="004A40B4"/>
    <w:rsid w:val="004B541A"/>
    <w:rsid w:val="004B69A7"/>
    <w:rsid w:val="004B7E6A"/>
    <w:rsid w:val="004C004F"/>
    <w:rsid w:val="004D36CF"/>
    <w:rsid w:val="004D39B3"/>
    <w:rsid w:val="004D508E"/>
    <w:rsid w:val="004E56D3"/>
    <w:rsid w:val="004F5621"/>
    <w:rsid w:val="004F633D"/>
    <w:rsid w:val="00506EDA"/>
    <w:rsid w:val="0051137D"/>
    <w:rsid w:val="00513668"/>
    <w:rsid w:val="00515030"/>
    <w:rsid w:val="00516320"/>
    <w:rsid w:val="00522FCD"/>
    <w:rsid w:val="00524E1E"/>
    <w:rsid w:val="00527D63"/>
    <w:rsid w:val="00530B42"/>
    <w:rsid w:val="005343AC"/>
    <w:rsid w:val="005343AE"/>
    <w:rsid w:val="005425F0"/>
    <w:rsid w:val="00542C50"/>
    <w:rsid w:val="0054576B"/>
    <w:rsid w:val="00554242"/>
    <w:rsid w:val="005616AF"/>
    <w:rsid w:val="00567564"/>
    <w:rsid w:val="00567E08"/>
    <w:rsid w:val="005721BD"/>
    <w:rsid w:val="00572E97"/>
    <w:rsid w:val="005745D6"/>
    <w:rsid w:val="005769CC"/>
    <w:rsid w:val="00581D32"/>
    <w:rsid w:val="00592DF5"/>
    <w:rsid w:val="0059312A"/>
    <w:rsid w:val="0059448A"/>
    <w:rsid w:val="0059719F"/>
    <w:rsid w:val="005972BE"/>
    <w:rsid w:val="0059750B"/>
    <w:rsid w:val="005A1B91"/>
    <w:rsid w:val="005A62D0"/>
    <w:rsid w:val="005A7AE8"/>
    <w:rsid w:val="005B2FEC"/>
    <w:rsid w:val="005B466C"/>
    <w:rsid w:val="005B51E5"/>
    <w:rsid w:val="005B73B2"/>
    <w:rsid w:val="005C1611"/>
    <w:rsid w:val="005C3E27"/>
    <w:rsid w:val="005C4197"/>
    <w:rsid w:val="005D0434"/>
    <w:rsid w:val="005D0CC4"/>
    <w:rsid w:val="005D1942"/>
    <w:rsid w:val="005D216A"/>
    <w:rsid w:val="005D4266"/>
    <w:rsid w:val="005D75A6"/>
    <w:rsid w:val="005E003F"/>
    <w:rsid w:val="005E2F44"/>
    <w:rsid w:val="005E3C16"/>
    <w:rsid w:val="005E5B35"/>
    <w:rsid w:val="0060190E"/>
    <w:rsid w:val="00607314"/>
    <w:rsid w:val="00607411"/>
    <w:rsid w:val="006161F4"/>
    <w:rsid w:val="00621FA0"/>
    <w:rsid w:val="006257A3"/>
    <w:rsid w:val="00627E7F"/>
    <w:rsid w:val="00635974"/>
    <w:rsid w:val="00636627"/>
    <w:rsid w:val="00640348"/>
    <w:rsid w:val="0064103D"/>
    <w:rsid w:val="006574B0"/>
    <w:rsid w:val="00672644"/>
    <w:rsid w:val="00674AB9"/>
    <w:rsid w:val="00680018"/>
    <w:rsid w:val="00680B9C"/>
    <w:rsid w:val="0068113E"/>
    <w:rsid w:val="006837E4"/>
    <w:rsid w:val="006918C9"/>
    <w:rsid w:val="00691940"/>
    <w:rsid w:val="0069312B"/>
    <w:rsid w:val="006966F8"/>
    <w:rsid w:val="006A3054"/>
    <w:rsid w:val="006A4423"/>
    <w:rsid w:val="006A6A95"/>
    <w:rsid w:val="006B1F43"/>
    <w:rsid w:val="006B39BA"/>
    <w:rsid w:val="006C025E"/>
    <w:rsid w:val="006C540C"/>
    <w:rsid w:val="006D3F4C"/>
    <w:rsid w:val="006D3F6B"/>
    <w:rsid w:val="006D6F74"/>
    <w:rsid w:val="006E1AC4"/>
    <w:rsid w:val="006E1E2D"/>
    <w:rsid w:val="006E54E8"/>
    <w:rsid w:val="006E754A"/>
    <w:rsid w:val="006F13E6"/>
    <w:rsid w:val="006F369A"/>
    <w:rsid w:val="006F5FBC"/>
    <w:rsid w:val="006F6A89"/>
    <w:rsid w:val="00701557"/>
    <w:rsid w:val="00704C3C"/>
    <w:rsid w:val="007058C7"/>
    <w:rsid w:val="00707FC0"/>
    <w:rsid w:val="00710150"/>
    <w:rsid w:val="0071059D"/>
    <w:rsid w:val="00713E92"/>
    <w:rsid w:val="007141A4"/>
    <w:rsid w:val="00715244"/>
    <w:rsid w:val="00720B3A"/>
    <w:rsid w:val="0072154D"/>
    <w:rsid w:val="007345E0"/>
    <w:rsid w:val="007436D6"/>
    <w:rsid w:val="00743C3E"/>
    <w:rsid w:val="00745AD9"/>
    <w:rsid w:val="00750A6F"/>
    <w:rsid w:val="00756462"/>
    <w:rsid w:val="00760657"/>
    <w:rsid w:val="0077215B"/>
    <w:rsid w:val="00775C8A"/>
    <w:rsid w:val="00776162"/>
    <w:rsid w:val="007809F1"/>
    <w:rsid w:val="00783288"/>
    <w:rsid w:val="00783B57"/>
    <w:rsid w:val="00790366"/>
    <w:rsid w:val="007A5E02"/>
    <w:rsid w:val="007C041F"/>
    <w:rsid w:val="007C25F9"/>
    <w:rsid w:val="007D08A5"/>
    <w:rsid w:val="007D1E0D"/>
    <w:rsid w:val="007D2DF5"/>
    <w:rsid w:val="007D7D8F"/>
    <w:rsid w:val="007E2E62"/>
    <w:rsid w:val="007E3029"/>
    <w:rsid w:val="007E321D"/>
    <w:rsid w:val="007E4597"/>
    <w:rsid w:val="007F3AC3"/>
    <w:rsid w:val="00800C84"/>
    <w:rsid w:val="008026BD"/>
    <w:rsid w:val="00804CB7"/>
    <w:rsid w:val="00807863"/>
    <w:rsid w:val="00810182"/>
    <w:rsid w:val="008168B5"/>
    <w:rsid w:val="00822888"/>
    <w:rsid w:val="00824362"/>
    <w:rsid w:val="00833E6F"/>
    <w:rsid w:val="00834EF6"/>
    <w:rsid w:val="00835F8A"/>
    <w:rsid w:val="00841D4C"/>
    <w:rsid w:val="00842F56"/>
    <w:rsid w:val="00844775"/>
    <w:rsid w:val="008545C1"/>
    <w:rsid w:val="00854A86"/>
    <w:rsid w:val="00857DF5"/>
    <w:rsid w:val="00865E38"/>
    <w:rsid w:val="0087061B"/>
    <w:rsid w:val="008709F2"/>
    <w:rsid w:val="0088041D"/>
    <w:rsid w:val="00881AB8"/>
    <w:rsid w:val="00892147"/>
    <w:rsid w:val="00892512"/>
    <w:rsid w:val="008A13AD"/>
    <w:rsid w:val="008B1B37"/>
    <w:rsid w:val="008B2AAF"/>
    <w:rsid w:val="008B3D6F"/>
    <w:rsid w:val="008C52AD"/>
    <w:rsid w:val="008C5D4D"/>
    <w:rsid w:val="008D3E9F"/>
    <w:rsid w:val="008D44FE"/>
    <w:rsid w:val="008E530E"/>
    <w:rsid w:val="008F267D"/>
    <w:rsid w:val="008F6509"/>
    <w:rsid w:val="00905969"/>
    <w:rsid w:val="00910705"/>
    <w:rsid w:val="00911B24"/>
    <w:rsid w:val="009122C1"/>
    <w:rsid w:val="00913878"/>
    <w:rsid w:val="0092297A"/>
    <w:rsid w:val="00924931"/>
    <w:rsid w:val="00925DD7"/>
    <w:rsid w:val="0092619A"/>
    <w:rsid w:val="0092637F"/>
    <w:rsid w:val="00926F2A"/>
    <w:rsid w:val="009273F2"/>
    <w:rsid w:val="009341E4"/>
    <w:rsid w:val="009355B4"/>
    <w:rsid w:val="0093746E"/>
    <w:rsid w:val="0094239A"/>
    <w:rsid w:val="0094785F"/>
    <w:rsid w:val="009507E4"/>
    <w:rsid w:val="009627DC"/>
    <w:rsid w:val="00962874"/>
    <w:rsid w:val="00964EE0"/>
    <w:rsid w:val="009668B6"/>
    <w:rsid w:val="009711AC"/>
    <w:rsid w:val="00974A38"/>
    <w:rsid w:val="00977F8A"/>
    <w:rsid w:val="0098021C"/>
    <w:rsid w:val="00986446"/>
    <w:rsid w:val="0098740A"/>
    <w:rsid w:val="00987776"/>
    <w:rsid w:val="009904DC"/>
    <w:rsid w:val="00991EB9"/>
    <w:rsid w:val="0099757F"/>
    <w:rsid w:val="009A6591"/>
    <w:rsid w:val="009D4346"/>
    <w:rsid w:val="009D7B62"/>
    <w:rsid w:val="009E03D3"/>
    <w:rsid w:val="009E2484"/>
    <w:rsid w:val="009E272C"/>
    <w:rsid w:val="009E2D89"/>
    <w:rsid w:val="009F1042"/>
    <w:rsid w:val="009F3513"/>
    <w:rsid w:val="009F38D1"/>
    <w:rsid w:val="009F3EE5"/>
    <w:rsid w:val="009F6629"/>
    <w:rsid w:val="009F6C95"/>
    <w:rsid w:val="009F7B6B"/>
    <w:rsid w:val="00A005A1"/>
    <w:rsid w:val="00A04493"/>
    <w:rsid w:val="00A05028"/>
    <w:rsid w:val="00A11690"/>
    <w:rsid w:val="00A12302"/>
    <w:rsid w:val="00A12341"/>
    <w:rsid w:val="00A14628"/>
    <w:rsid w:val="00A17E9C"/>
    <w:rsid w:val="00A222A0"/>
    <w:rsid w:val="00A24FFC"/>
    <w:rsid w:val="00A31AA1"/>
    <w:rsid w:val="00A34BE4"/>
    <w:rsid w:val="00A35C93"/>
    <w:rsid w:val="00A36CC5"/>
    <w:rsid w:val="00A423B0"/>
    <w:rsid w:val="00A51112"/>
    <w:rsid w:val="00A575F2"/>
    <w:rsid w:val="00A62ACF"/>
    <w:rsid w:val="00A657C8"/>
    <w:rsid w:val="00A73282"/>
    <w:rsid w:val="00A74D68"/>
    <w:rsid w:val="00A759B1"/>
    <w:rsid w:val="00A770DF"/>
    <w:rsid w:val="00A822EC"/>
    <w:rsid w:val="00A83B41"/>
    <w:rsid w:val="00A86AD9"/>
    <w:rsid w:val="00A86B63"/>
    <w:rsid w:val="00A87146"/>
    <w:rsid w:val="00A9064A"/>
    <w:rsid w:val="00A93E37"/>
    <w:rsid w:val="00A9653F"/>
    <w:rsid w:val="00A968C5"/>
    <w:rsid w:val="00AA7CC1"/>
    <w:rsid w:val="00AC468B"/>
    <w:rsid w:val="00AD35BD"/>
    <w:rsid w:val="00AD736B"/>
    <w:rsid w:val="00AE3F80"/>
    <w:rsid w:val="00AE45C6"/>
    <w:rsid w:val="00AE7915"/>
    <w:rsid w:val="00AF2FA9"/>
    <w:rsid w:val="00AF4230"/>
    <w:rsid w:val="00AF473D"/>
    <w:rsid w:val="00B00124"/>
    <w:rsid w:val="00B02435"/>
    <w:rsid w:val="00B06803"/>
    <w:rsid w:val="00B10B6F"/>
    <w:rsid w:val="00B12802"/>
    <w:rsid w:val="00B12D7A"/>
    <w:rsid w:val="00B14F46"/>
    <w:rsid w:val="00B224A4"/>
    <w:rsid w:val="00B269D2"/>
    <w:rsid w:val="00B31A16"/>
    <w:rsid w:val="00B35948"/>
    <w:rsid w:val="00B40ADE"/>
    <w:rsid w:val="00B425F2"/>
    <w:rsid w:val="00B42874"/>
    <w:rsid w:val="00B42A74"/>
    <w:rsid w:val="00B43507"/>
    <w:rsid w:val="00B43AB3"/>
    <w:rsid w:val="00B47018"/>
    <w:rsid w:val="00B57AAA"/>
    <w:rsid w:val="00B6028A"/>
    <w:rsid w:val="00B60330"/>
    <w:rsid w:val="00B61B9F"/>
    <w:rsid w:val="00B7030C"/>
    <w:rsid w:val="00B71843"/>
    <w:rsid w:val="00B732D9"/>
    <w:rsid w:val="00B7507F"/>
    <w:rsid w:val="00B76FED"/>
    <w:rsid w:val="00B8109B"/>
    <w:rsid w:val="00B861F7"/>
    <w:rsid w:val="00B86DBD"/>
    <w:rsid w:val="00B9435E"/>
    <w:rsid w:val="00B956F5"/>
    <w:rsid w:val="00BA322F"/>
    <w:rsid w:val="00BA5640"/>
    <w:rsid w:val="00BA5F56"/>
    <w:rsid w:val="00BB38E7"/>
    <w:rsid w:val="00BB6BD6"/>
    <w:rsid w:val="00BC1B47"/>
    <w:rsid w:val="00BC2492"/>
    <w:rsid w:val="00BD0A37"/>
    <w:rsid w:val="00BD22E0"/>
    <w:rsid w:val="00BD697A"/>
    <w:rsid w:val="00BD7332"/>
    <w:rsid w:val="00BE0393"/>
    <w:rsid w:val="00BE1C38"/>
    <w:rsid w:val="00BE3265"/>
    <w:rsid w:val="00BE63FE"/>
    <w:rsid w:val="00BE6CEC"/>
    <w:rsid w:val="00BF3543"/>
    <w:rsid w:val="00C00D5B"/>
    <w:rsid w:val="00C01870"/>
    <w:rsid w:val="00C06EB2"/>
    <w:rsid w:val="00C11063"/>
    <w:rsid w:val="00C12DA0"/>
    <w:rsid w:val="00C22829"/>
    <w:rsid w:val="00C244D5"/>
    <w:rsid w:val="00C25AEC"/>
    <w:rsid w:val="00C313D3"/>
    <w:rsid w:val="00C320FF"/>
    <w:rsid w:val="00C34F26"/>
    <w:rsid w:val="00C361F8"/>
    <w:rsid w:val="00C4253A"/>
    <w:rsid w:val="00C43079"/>
    <w:rsid w:val="00C46FE7"/>
    <w:rsid w:val="00C61CD8"/>
    <w:rsid w:val="00C63133"/>
    <w:rsid w:val="00C71993"/>
    <w:rsid w:val="00C71B0A"/>
    <w:rsid w:val="00C723EE"/>
    <w:rsid w:val="00C77680"/>
    <w:rsid w:val="00C80B21"/>
    <w:rsid w:val="00C80B77"/>
    <w:rsid w:val="00C8417D"/>
    <w:rsid w:val="00C86314"/>
    <w:rsid w:val="00C86C05"/>
    <w:rsid w:val="00C91557"/>
    <w:rsid w:val="00C95D55"/>
    <w:rsid w:val="00C97791"/>
    <w:rsid w:val="00CA0295"/>
    <w:rsid w:val="00CA3018"/>
    <w:rsid w:val="00CB1BE0"/>
    <w:rsid w:val="00CC2D2B"/>
    <w:rsid w:val="00CD0722"/>
    <w:rsid w:val="00CD0793"/>
    <w:rsid w:val="00CD0877"/>
    <w:rsid w:val="00CD2197"/>
    <w:rsid w:val="00CD787C"/>
    <w:rsid w:val="00CE2698"/>
    <w:rsid w:val="00CE33B2"/>
    <w:rsid w:val="00CE7FEB"/>
    <w:rsid w:val="00CF3E79"/>
    <w:rsid w:val="00CF5540"/>
    <w:rsid w:val="00CF584C"/>
    <w:rsid w:val="00CF5D62"/>
    <w:rsid w:val="00CF66C4"/>
    <w:rsid w:val="00D038CF"/>
    <w:rsid w:val="00D13FF2"/>
    <w:rsid w:val="00D143B1"/>
    <w:rsid w:val="00D14DF8"/>
    <w:rsid w:val="00D14E93"/>
    <w:rsid w:val="00D157F9"/>
    <w:rsid w:val="00D20E73"/>
    <w:rsid w:val="00D2157B"/>
    <w:rsid w:val="00D24C0B"/>
    <w:rsid w:val="00D24EAE"/>
    <w:rsid w:val="00D2790F"/>
    <w:rsid w:val="00D30701"/>
    <w:rsid w:val="00D34633"/>
    <w:rsid w:val="00D36CC2"/>
    <w:rsid w:val="00D4122C"/>
    <w:rsid w:val="00D42925"/>
    <w:rsid w:val="00D42B6C"/>
    <w:rsid w:val="00D42E6E"/>
    <w:rsid w:val="00D432BD"/>
    <w:rsid w:val="00D5353F"/>
    <w:rsid w:val="00D61528"/>
    <w:rsid w:val="00D6470C"/>
    <w:rsid w:val="00D70BCC"/>
    <w:rsid w:val="00D70CCE"/>
    <w:rsid w:val="00D74E0A"/>
    <w:rsid w:val="00D848EE"/>
    <w:rsid w:val="00D95853"/>
    <w:rsid w:val="00D95C63"/>
    <w:rsid w:val="00D97BA1"/>
    <w:rsid w:val="00DA167E"/>
    <w:rsid w:val="00DA1921"/>
    <w:rsid w:val="00DA7B1F"/>
    <w:rsid w:val="00DB18D2"/>
    <w:rsid w:val="00DB2AE6"/>
    <w:rsid w:val="00DB4419"/>
    <w:rsid w:val="00DC2EF5"/>
    <w:rsid w:val="00DC3D16"/>
    <w:rsid w:val="00DC743A"/>
    <w:rsid w:val="00DD296E"/>
    <w:rsid w:val="00DE05D6"/>
    <w:rsid w:val="00DE0B7D"/>
    <w:rsid w:val="00DE13A5"/>
    <w:rsid w:val="00DE4229"/>
    <w:rsid w:val="00DF5476"/>
    <w:rsid w:val="00DF599B"/>
    <w:rsid w:val="00E012FD"/>
    <w:rsid w:val="00E03B67"/>
    <w:rsid w:val="00E05A54"/>
    <w:rsid w:val="00E10A8F"/>
    <w:rsid w:val="00E13C5A"/>
    <w:rsid w:val="00E3355D"/>
    <w:rsid w:val="00E40089"/>
    <w:rsid w:val="00E429F2"/>
    <w:rsid w:val="00E43019"/>
    <w:rsid w:val="00E471A9"/>
    <w:rsid w:val="00E50B8D"/>
    <w:rsid w:val="00E54245"/>
    <w:rsid w:val="00E72E6F"/>
    <w:rsid w:val="00E739A3"/>
    <w:rsid w:val="00E8010E"/>
    <w:rsid w:val="00E80683"/>
    <w:rsid w:val="00E8372F"/>
    <w:rsid w:val="00E869F3"/>
    <w:rsid w:val="00E90434"/>
    <w:rsid w:val="00E90AE2"/>
    <w:rsid w:val="00E9441B"/>
    <w:rsid w:val="00E95DCF"/>
    <w:rsid w:val="00E9619E"/>
    <w:rsid w:val="00EA21A3"/>
    <w:rsid w:val="00EA2383"/>
    <w:rsid w:val="00EB0611"/>
    <w:rsid w:val="00EB157B"/>
    <w:rsid w:val="00EB24E9"/>
    <w:rsid w:val="00EB27C5"/>
    <w:rsid w:val="00EB3D44"/>
    <w:rsid w:val="00EB615E"/>
    <w:rsid w:val="00EC0773"/>
    <w:rsid w:val="00EC4D82"/>
    <w:rsid w:val="00ED297E"/>
    <w:rsid w:val="00ED6E3B"/>
    <w:rsid w:val="00EE0FDA"/>
    <w:rsid w:val="00EE12A0"/>
    <w:rsid w:val="00EE2273"/>
    <w:rsid w:val="00EE46A7"/>
    <w:rsid w:val="00EE5256"/>
    <w:rsid w:val="00EE5EE0"/>
    <w:rsid w:val="00EF3292"/>
    <w:rsid w:val="00F01856"/>
    <w:rsid w:val="00F0540F"/>
    <w:rsid w:val="00F059E7"/>
    <w:rsid w:val="00F1046B"/>
    <w:rsid w:val="00F10646"/>
    <w:rsid w:val="00F15828"/>
    <w:rsid w:val="00F15E96"/>
    <w:rsid w:val="00F16F25"/>
    <w:rsid w:val="00F21BA7"/>
    <w:rsid w:val="00F22D24"/>
    <w:rsid w:val="00F26F75"/>
    <w:rsid w:val="00F37445"/>
    <w:rsid w:val="00F377B1"/>
    <w:rsid w:val="00F37B2D"/>
    <w:rsid w:val="00F42679"/>
    <w:rsid w:val="00F441D5"/>
    <w:rsid w:val="00F47C35"/>
    <w:rsid w:val="00F47D99"/>
    <w:rsid w:val="00F51A74"/>
    <w:rsid w:val="00F52D0A"/>
    <w:rsid w:val="00F5729C"/>
    <w:rsid w:val="00F61C7C"/>
    <w:rsid w:val="00F623FD"/>
    <w:rsid w:val="00F6318E"/>
    <w:rsid w:val="00F66082"/>
    <w:rsid w:val="00F72C5D"/>
    <w:rsid w:val="00F74220"/>
    <w:rsid w:val="00F9219F"/>
    <w:rsid w:val="00F92F9E"/>
    <w:rsid w:val="00F94617"/>
    <w:rsid w:val="00F95380"/>
    <w:rsid w:val="00F9554D"/>
    <w:rsid w:val="00F97B12"/>
    <w:rsid w:val="00FA0324"/>
    <w:rsid w:val="00FA2155"/>
    <w:rsid w:val="00FA39C9"/>
    <w:rsid w:val="00FB3BF8"/>
    <w:rsid w:val="00FB4C4C"/>
    <w:rsid w:val="00FC4931"/>
    <w:rsid w:val="00FC74B6"/>
    <w:rsid w:val="00FD0897"/>
    <w:rsid w:val="00FD3029"/>
    <w:rsid w:val="00FD62B8"/>
    <w:rsid w:val="00FD6A34"/>
    <w:rsid w:val="00FE1894"/>
    <w:rsid w:val="00FE2489"/>
    <w:rsid w:val="00FE416A"/>
    <w:rsid w:val="00FE5279"/>
    <w:rsid w:val="00FF5364"/>
    <w:rsid w:val="00FF59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4C96"/>
    <w:pPr>
      <w:widowControl w:val="0"/>
      <w:jc w:val="both"/>
    </w:pPr>
  </w:style>
  <w:style w:type="paragraph" w:styleId="Heading1">
    <w:name w:val="heading 1"/>
    <w:basedOn w:val="Normal"/>
    <w:next w:val="Normal"/>
    <w:link w:val="Heading1Char"/>
    <w:qFormat/>
    <w:rsid w:val="00974A38"/>
    <w:pPr>
      <w:keepNext/>
      <w:keepLines/>
      <w:spacing w:before="480" w:after="360" w:line="480" w:lineRule="auto"/>
      <w:outlineLvl w:val="0"/>
    </w:pPr>
    <w:rPr>
      <w:rFonts w:ascii="Times New Roman" w:hAnsi="Times New Roman"/>
      <w:b/>
      <w:bCs/>
      <w:smallCaps/>
      <w:kern w:val="44"/>
      <w:sz w:val="48"/>
      <w:szCs w:val="44"/>
    </w:rPr>
  </w:style>
  <w:style w:type="paragraph" w:styleId="Heading2">
    <w:name w:val="heading 2"/>
    <w:basedOn w:val="Normal"/>
    <w:next w:val="Normal"/>
    <w:link w:val="Heading2Char"/>
    <w:unhideWhenUsed/>
    <w:qFormat/>
    <w:rsid w:val="00567564"/>
    <w:pPr>
      <w:keepNext/>
      <w:keepLines/>
      <w:spacing w:before="260" w:after="260" w:line="416" w:lineRule="auto"/>
      <w:outlineLvl w:val="1"/>
    </w:pPr>
    <w:rPr>
      <w:rFonts w:ascii="Times New Roman" w:eastAsiaTheme="majorEastAsia" w:hAnsi="Times New Roman" w:cstheme="majorBidi"/>
      <w:b/>
      <w:bCs/>
      <w:sz w:val="32"/>
      <w:szCs w:val="32"/>
      <w:lang w:val="es-ES"/>
    </w:rPr>
  </w:style>
  <w:style w:type="paragraph" w:styleId="Heading3">
    <w:name w:val="heading 3"/>
    <w:basedOn w:val="Normal"/>
    <w:link w:val="Heading3Char"/>
    <w:uiPriority w:val="9"/>
    <w:qFormat/>
    <w:rsid w:val="005425F0"/>
    <w:pPr>
      <w:keepNext/>
      <w:widowControl/>
      <w:spacing w:before="100" w:beforeAutospacing="1" w:after="100" w:afterAutospacing="1"/>
      <w:jc w:val="left"/>
      <w:outlineLvl w:val="2"/>
    </w:pPr>
    <w:rPr>
      <w:rFonts w:ascii="Times New Roman" w:eastAsia="Times New Roman" w:hAnsi="Times New Roman" w:cs="SimSun"/>
      <w:b/>
      <w:bCs/>
      <w:kern w:val="0"/>
      <w:sz w:val="27"/>
      <w:szCs w:val="27"/>
      <w:lang w:val="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C3B44"/>
    <w:pPr>
      <w:pBdr>
        <w:bottom w:val="single" w:sz="6" w:space="1" w:color="auto"/>
      </w:pBdr>
      <w:tabs>
        <w:tab w:val="center" w:pos="4153"/>
        <w:tab w:val="right" w:pos="8306"/>
      </w:tabs>
      <w:snapToGrid w:val="0"/>
      <w:jc w:val="left"/>
    </w:pPr>
    <w:rPr>
      <w:rFonts w:ascii="Arial" w:hAnsi="Arial"/>
      <w:smallCaps/>
      <w:sz w:val="32"/>
      <w:szCs w:val="18"/>
    </w:rPr>
  </w:style>
  <w:style w:type="character" w:customStyle="1" w:styleId="HeaderChar">
    <w:name w:val="Header Char"/>
    <w:basedOn w:val="DefaultParagraphFont"/>
    <w:link w:val="Header"/>
    <w:uiPriority w:val="99"/>
    <w:rsid w:val="001C3B44"/>
    <w:rPr>
      <w:rFonts w:ascii="Arial" w:hAnsi="Arial"/>
      <w:smallCaps/>
      <w:sz w:val="32"/>
      <w:szCs w:val="18"/>
    </w:rPr>
  </w:style>
  <w:style w:type="paragraph" w:styleId="Footer">
    <w:name w:val="footer"/>
    <w:basedOn w:val="Normal"/>
    <w:link w:val="FooterChar"/>
    <w:uiPriority w:val="99"/>
    <w:unhideWhenUsed/>
    <w:rsid w:val="004D39B3"/>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rsid w:val="004D39B3"/>
    <w:rPr>
      <w:sz w:val="18"/>
      <w:szCs w:val="18"/>
    </w:rPr>
  </w:style>
  <w:style w:type="character" w:customStyle="1" w:styleId="apple-converted-space">
    <w:name w:val="apple-converted-space"/>
    <w:basedOn w:val="DefaultParagraphFont"/>
    <w:rsid w:val="008E530E"/>
  </w:style>
  <w:style w:type="character" w:styleId="Hyperlink">
    <w:name w:val="Hyperlink"/>
    <w:basedOn w:val="DefaultParagraphFont"/>
    <w:uiPriority w:val="99"/>
    <w:unhideWhenUsed/>
    <w:rsid w:val="008E530E"/>
    <w:rPr>
      <w:color w:val="0000FF"/>
      <w:u w:val="single"/>
    </w:rPr>
  </w:style>
  <w:style w:type="paragraph" w:styleId="ListParagraph">
    <w:name w:val="List Paragraph"/>
    <w:basedOn w:val="Normal"/>
    <w:uiPriority w:val="34"/>
    <w:qFormat/>
    <w:rsid w:val="00466A0B"/>
    <w:pPr>
      <w:ind w:firstLineChars="200" w:firstLine="420"/>
    </w:pPr>
  </w:style>
  <w:style w:type="character" w:customStyle="1" w:styleId="Heading3Char">
    <w:name w:val="Heading 3 Char"/>
    <w:basedOn w:val="DefaultParagraphFont"/>
    <w:link w:val="Heading3"/>
    <w:uiPriority w:val="9"/>
    <w:rsid w:val="005425F0"/>
    <w:rPr>
      <w:rFonts w:ascii="Times New Roman" w:eastAsia="Times New Roman" w:hAnsi="Times New Roman" w:cs="SimSun"/>
      <w:b/>
      <w:bCs/>
      <w:kern w:val="0"/>
      <w:sz w:val="27"/>
      <w:szCs w:val="27"/>
      <w:lang w:val="es-ES"/>
    </w:rPr>
  </w:style>
  <w:style w:type="character" w:customStyle="1" w:styleId="ogd">
    <w:name w:val="_ogd"/>
    <w:basedOn w:val="DefaultParagraphFont"/>
    <w:rsid w:val="006D6F74"/>
  </w:style>
  <w:style w:type="paragraph" w:styleId="Date">
    <w:name w:val="Date"/>
    <w:basedOn w:val="Normal"/>
    <w:next w:val="Normal"/>
    <w:link w:val="DateChar"/>
    <w:uiPriority w:val="99"/>
    <w:semiHidden/>
    <w:unhideWhenUsed/>
    <w:rsid w:val="00BA5640"/>
    <w:pPr>
      <w:ind w:leftChars="2500" w:left="100"/>
    </w:pPr>
  </w:style>
  <w:style w:type="character" w:customStyle="1" w:styleId="DateChar">
    <w:name w:val="Date Char"/>
    <w:basedOn w:val="DefaultParagraphFont"/>
    <w:link w:val="Date"/>
    <w:uiPriority w:val="99"/>
    <w:semiHidden/>
    <w:rsid w:val="00BA5640"/>
  </w:style>
  <w:style w:type="character" w:styleId="Strong">
    <w:name w:val="Strong"/>
    <w:basedOn w:val="DefaultParagraphFont"/>
    <w:uiPriority w:val="22"/>
    <w:qFormat/>
    <w:rsid w:val="00CA3018"/>
    <w:rPr>
      <w:b/>
      <w:bCs/>
    </w:rPr>
  </w:style>
  <w:style w:type="paragraph" w:styleId="BalloonText">
    <w:name w:val="Balloon Text"/>
    <w:basedOn w:val="Normal"/>
    <w:link w:val="BalloonTextChar"/>
    <w:uiPriority w:val="99"/>
    <w:semiHidden/>
    <w:unhideWhenUsed/>
    <w:rsid w:val="00016B6E"/>
    <w:rPr>
      <w:sz w:val="18"/>
      <w:szCs w:val="18"/>
    </w:rPr>
  </w:style>
  <w:style w:type="character" w:customStyle="1" w:styleId="BalloonTextChar">
    <w:name w:val="Balloon Text Char"/>
    <w:basedOn w:val="DefaultParagraphFont"/>
    <w:link w:val="BalloonText"/>
    <w:uiPriority w:val="99"/>
    <w:semiHidden/>
    <w:rsid w:val="00016B6E"/>
    <w:rPr>
      <w:sz w:val="18"/>
      <w:szCs w:val="18"/>
    </w:rPr>
  </w:style>
  <w:style w:type="character" w:customStyle="1" w:styleId="location">
    <w:name w:val="location"/>
    <w:basedOn w:val="DefaultParagraphFont"/>
    <w:rsid w:val="00016B6E"/>
  </w:style>
  <w:style w:type="table" w:styleId="TableGrid">
    <w:name w:val="Table Grid"/>
    <w:basedOn w:val="TableNormal"/>
    <w:uiPriority w:val="59"/>
    <w:rsid w:val="004D36C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rsid w:val="00974A38"/>
    <w:rPr>
      <w:rFonts w:ascii="Times New Roman" w:hAnsi="Times New Roman"/>
      <w:b/>
      <w:bCs/>
      <w:smallCaps/>
      <w:kern w:val="44"/>
      <w:sz w:val="48"/>
      <w:szCs w:val="44"/>
    </w:rPr>
  </w:style>
  <w:style w:type="character" w:customStyle="1" w:styleId="Heading2Char">
    <w:name w:val="Heading 2 Char"/>
    <w:basedOn w:val="DefaultParagraphFont"/>
    <w:link w:val="Heading2"/>
    <w:rsid w:val="00567564"/>
    <w:rPr>
      <w:rFonts w:ascii="Times New Roman" w:eastAsiaTheme="majorEastAsia" w:hAnsi="Times New Roman" w:cstheme="majorBidi"/>
      <w:b/>
      <w:bCs/>
      <w:sz w:val="32"/>
      <w:szCs w:val="32"/>
      <w:lang w:val="es-ES"/>
    </w:rPr>
  </w:style>
  <w:style w:type="paragraph" w:styleId="TOC1">
    <w:name w:val="toc 1"/>
    <w:basedOn w:val="Normal"/>
    <w:next w:val="Normal"/>
    <w:autoRedefine/>
    <w:uiPriority w:val="39"/>
    <w:unhideWhenUsed/>
    <w:rsid w:val="00C22829"/>
    <w:pPr>
      <w:tabs>
        <w:tab w:val="right" w:leader="dot" w:pos="8296"/>
      </w:tabs>
      <w:spacing w:before="240" w:after="120"/>
    </w:pPr>
    <w:rPr>
      <w:rFonts w:ascii="Times New Roman" w:hAnsi="Times New Roman"/>
      <w:sz w:val="24"/>
      <w:lang w:val="es-ES_tradnl"/>
    </w:rPr>
  </w:style>
  <w:style w:type="paragraph" w:styleId="TOC2">
    <w:name w:val="toc 2"/>
    <w:basedOn w:val="Normal"/>
    <w:next w:val="Normal"/>
    <w:autoRedefine/>
    <w:uiPriority w:val="39"/>
    <w:unhideWhenUsed/>
    <w:rsid w:val="00C22829"/>
    <w:pPr>
      <w:tabs>
        <w:tab w:val="right" w:leader="dot" w:pos="8296"/>
      </w:tabs>
      <w:spacing w:before="60" w:after="60"/>
      <w:ind w:leftChars="200" w:left="420"/>
    </w:pPr>
    <w:rPr>
      <w:rFonts w:ascii="Times New Roman" w:hAnsi="Times New Roman"/>
      <w:sz w:val="24"/>
    </w:rPr>
  </w:style>
  <w:style w:type="paragraph" w:styleId="TOC3">
    <w:name w:val="toc 3"/>
    <w:basedOn w:val="Normal"/>
    <w:next w:val="Normal"/>
    <w:autoRedefine/>
    <w:uiPriority w:val="39"/>
    <w:unhideWhenUsed/>
    <w:rsid w:val="00C22829"/>
    <w:pPr>
      <w:tabs>
        <w:tab w:val="right" w:leader="dot" w:pos="8296"/>
      </w:tabs>
      <w:spacing w:before="40" w:after="40"/>
      <w:ind w:leftChars="400" w:left="400"/>
    </w:pPr>
    <w:rPr>
      <w:rFonts w:ascii="Times New Roman" w:hAnsi="Times New Roman"/>
      <w:sz w:val="24"/>
    </w:rPr>
  </w:style>
  <w:style w:type="paragraph" w:styleId="NoSpacing">
    <w:name w:val="No Spacing"/>
    <w:link w:val="NoSpacingChar"/>
    <w:uiPriority w:val="1"/>
    <w:qFormat/>
    <w:rsid w:val="006D3F6B"/>
    <w:rPr>
      <w:kern w:val="0"/>
      <w:sz w:val="22"/>
      <w:lang w:val="es-ES"/>
    </w:rPr>
  </w:style>
  <w:style w:type="table" w:styleId="MediumShading1-Accent3">
    <w:name w:val="Medium Shading 1 Accent 3"/>
    <w:basedOn w:val="TableNormal"/>
    <w:uiPriority w:val="63"/>
    <w:rsid w:val="006D3F6B"/>
    <w:rPr>
      <w:rFonts w:eastAsia="Microsoft YaHei"/>
      <w:kern w:val="0"/>
      <w:sz w:val="22"/>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6D3F6B"/>
    <w:rPr>
      <w:rFonts w:eastAsia="Microsoft YaHei"/>
      <w:kern w:val="0"/>
      <w:sz w:val="22"/>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MediumGrid3-Accent6">
    <w:name w:val="Medium Grid 3 Accent 6"/>
    <w:basedOn w:val="TableNormal"/>
    <w:uiPriority w:val="69"/>
    <w:rsid w:val="006D3F6B"/>
    <w:rPr>
      <w:rFonts w:eastAsia="Microsoft YaHei"/>
      <w:kern w:val="0"/>
      <w:sz w:val="22"/>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character" w:styleId="FollowedHyperlink">
    <w:name w:val="FollowedHyperlink"/>
    <w:basedOn w:val="DefaultParagraphFont"/>
    <w:uiPriority w:val="99"/>
    <w:semiHidden/>
    <w:unhideWhenUsed/>
    <w:rsid w:val="002E695B"/>
    <w:rPr>
      <w:color w:val="800080" w:themeColor="followedHyperlink"/>
      <w:u w:val="single"/>
    </w:rPr>
  </w:style>
  <w:style w:type="character" w:customStyle="1" w:styleId="NoSpacingChar">
    <w:name w:val="No Spacing Char"/>
    <w:basedOn w:val="DefaultParagraphFont"/>
    <w:link w:val="NoSpacing"/>
    <w:uiPriority w:val="1"/>
    <w:rsid w:val="002E695B"/>
    <w:rPr>
      <w:kern w:val="0"/>
      <w:sz w:val="22"/>
      <w:lang w:val="es-ES"/>
    </w:rPr>
  </w:style>
  <w:style w:type="paragraph" w:styleId="FootnoteText">
    <w:name w:val="footnote text"/>
    <w:basedOn w:val="Normal"/>
    <w:link w:val="FootnoteTextChar"/>
    <w:uiPriority w:val="99"/>
    <w:semiHidden/>
    <w:unhideWhenUsed/>
    <w:rsid w:val="002E695B"/>
    <w:pPr>
      <w:snapToGrid w:val="0"/>
      <w:jc w:val="left"/>
    </w:pPr>
    <w:rPr>
      <w:sz w:val="18"/>
      <w:szCs w:val="18"/>
    </w:rPr>
  </w:style>
  <w:style w:type="character" w:customStyle="1" w:styleId="FootnoteTextChar">
    <w:name w:val="Footnote Text Char"/>
    <w:basedOn w:val="DefaultParagraphFont"/>
    <w:link w:val="FootnoteText"/>
    <w:uiPriority w:val="99"/>
    <w:semiHidden/>
    <w:rsid w:val="002E695B"/>
    <w:rPr>
      <w:sz w:val="18"/>
      <w:szCs w:val="18"/>
    </w:rPr>
  </w:style>
  <w:style w:type="character" w:styleId="FootnoteReference">
    <w:name w:val="footnote reference"/>
    <w:basedOn w:val="DefaultParagraphFont"/>
    <w:uiPriority w:val="99"/>
    <w:semiHidden/>
    <w:unhideWhenUsed/>
    <w:rsid w:val="002E695B"/>
    <w:rPr>
      <w:vertAlign w:val="superscript"/>
    </w:rPr>
  </w:style>
  <w:style w:type="paragraph" w:styleId="EndnoteText">
    <w:name w:val="endnote text"/>
    <w:basedOn w:val="Normal"/>
    <w:link w:val="EndnoteTextChar"/>
    <w:uiPriority w:val="99"/>
    <w:semiHidden/>
    <w:unhideWhenUsed/>
    <w:rsid w:val="002E695B"/>
    <w:pPr>
      <w:snapToGrid w:val="0"/>
      <w:jc w:val="left"/>
    </w:pPr>
  </w:style>
  <w:style w:type="character" w:customStyle="1" w:styleId="EndnoteTextChar">
    <w:name w:val="Endnote Text Char"/>
    <w:basedOn w:val="DefaultParagraphFont"/>
    <w:link w:val="EndnoteText"/>
    <w:uiPriority w:val="99"/>
    <w:semiHidden/>
    <w:rsid w:val="002E695B"/>
  </w:style>
  <w:style w:type="character" w:styleId="EndnoteReference">
    <w:name w:val="endnote reference"/>
    <w:basedOn w:val="DefaultParagraphFont"/>
    <w:uiPriority w:val="99"/>
    <w:semiHidden/>
    <w:unhideWhenUsed/>
    <w:rsid w:val="002E695B"/>
    <w:rPr>
      <w:vertAlign w:val="superscript"/>
    </w:rPr>
  </w:style>
  <w:style w:type="character" w:customStyle="1" w:styleId="filterval">
    <w:name w:val="filterval"/>
    <w:basedOn w:val="DefaultParagraphFont"/>
    <w:rsid w:val="002E0D06"/>
  </w:style>
  <w:style w:type="paragraph" w:customStyle="1" w:styleId="a">
    <w:name w:val="摘要"/>
    <w:basedOn w:val="Normal"/>
    <w:qFormat/>
    <w:rsid w:val="001C3B44"/>
    <w:pPr>
      <w:spacing w:before="120" w:after="120"/>
    </w:pPr>
    <w:rPr>
      <w:sz w:val="24"/>
      <w:szCs w:val="24"/>
      <w:lang w:val="es-ES_tradnl"/>
    </w:rPr>
  </w:style>
  <w:style w:type="paragraph" w:customStyle="1" w:styleId="a0">
    <w:name w:val="修改"/>
    <w:basedOn w:val="Normal"/>
    <w:qFormat/>
    <w:rsid w:val="007E2E62"/>
    <w:pPr>
      <w:widowControl/>
      <w:spacing w:after="240" w:line="360" w:lineRule="auto"/>
    </w:pPr>
    <w:rPr>
      <w:rFonts w:ascii="Times New Roman" w:hAnsi="Times New Roman" w:cs="Times New Roman"/>
      <w:sz w:val="24"/>
      <w:szCs w:val="24"/>
      <w:lang w:val="es-ES_tradnl"/>
    </w:rPr>
  </w:style>
  <w:style w:type="paragraph" w:customStyle="1" w:styleId="a1">
    <w:name w:val="新的"/>
    <w:basedOn w:val="a0"/>
    <w:qFormat/>
    <w:rsid w:val="009627DC"/>
  </w:style>
  <w:style w:type="paragraph" w:customStyle="1" w:styleId="a2">
    <w:name w:val="脚注"/>
    <w:basedOn w:val="FootnoteText"/>
    <w:qFormat/>
    <w:rsid w:val="00182625"/>
    <w:pPr>
      <w:keepLines/>
      <w:spacing w:before="120" w:after="120"/>
      <w:jc w:val="both"/>
    </w:pPr>
    <w:rPr>
      <w:rFonts w:ascii="Times New Roman" w:hAnsi="Times New Roman" w:cs="Times New Roman"/>
      <w:sz w:val="20"/>
      <w:lang w:val="es-ES"/>
    </w:rPr>
  </w:style>
  <w:style w:type="paragraph" w:customStyle="1" w:styleId="a3">
    <w:name w:val="题目"/>
    <w:basedOn w:val="a1"/>
    <w:qFormat/>
    <w:rsid w:val="00FD0897"/>
    <w:pPr>
      <w:keepNext/>
    </w:pPr>
    <w:rPr>
      <w:b/>
    </w:rPr>
  </w:style>
  <w:style w:type="paragraph" w:customStyle="1" w:styleId="a4">
    <w:name w:val="书目"/>
    <w:basedOn w:val="Normal"/>
    <w:qFormat/>
    <w:rsid w:val="000B19C4"/>
    <w:pPr>
      <w:keepLines/>
      <w:widowControl/>
      <w:spacing w:before="120" w:after="120" w:line="360" w:lineRule="auto"/>
      <w:ind w:left="420" w:hanging="420"/>
    </w:pPr>
    <w:rPr>
      <w:rFonts w:ascii="Times New Roman" w:hAnsi="Times New Roman" w:cs="Times New Roman"/>
      <w:sz w:val="24"/>
      <w:lang w:val="es-ES"/>
    </w:rPr>
  </w:style>
  <w:style w:type="paragraph" w:customStyle="1" w:styleId="a5">
    <w:name w:val="图像"/>
    <w:basedOn w:val="Normal"/>
    <w:qFormat/>
    <w:rsid w:val="00FE5279"/>
    <w:pPr>
      <w:keepNext/>
      <w:spacing w:line="360" w:lineRule="auto"/>
    </w:pPr>
    <w:rPr>
      <w:rFonts w:ascii="Times New Roman" w:hAnsi="Times New Roman" w:cs="Times New Roman"/>
      <w:sz w:val="24"/>
      <w:szCs w:val="24"/>
      <w:lang w:val="es-ES_tradnl"/>
    </w:rPr>
  </w:style>
  <w:style w:type="paragraph" w:customStyle="1" w:styleId="a6">
    <w:name w:val="图例"/>
    <w:basedOn w:val="Normal"/>
    <w:qFormat/>
    <w:rsid w:val="00DC743A"/>
    <w:pPr>
      <w:keepLines/>
      <w:spacing w:after="240"/>
    </w:pPr>
    <w:rPr>
      <w:rFonts w:ascii="Times New Roman" w:hAnsi="Times New Roman" w:cs="Times New Roman"/>
      <w:i/>
      <w:sz w:val="24"/>
      <w:szCs w:val="24"/>
      <w:lang w:val="es-ES_trad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4C96"/>
    <w:pPr>
      <w:widowControl w:val="0"/>
      <w:jc w:val="both"/>
    </w:pPr>
  </w:style>
  <w:style w:type="paragraph" w:styleId="Heading1">
    <w:name w:val="heading 1"/>
    <w:basedOn w:val="Normal"/>
    <w:next w:val="Normal"/>
    <w:link w:val="Heading1Char"/>
    <w:qFormat/>
    <w:rsid w:val="00974A38"/>
    <w:pPr>
      <w:keepNext/>
      <w:keepLines/>
      <w:spacing w:before="480" w:after="360" w:line="480" w:lineRule="auto"/>
      <w:outlineLvl w:val="0"/>
    </w:pPr>
    <w:rPr>
      <w:rFonts w:ascii="Times New Roman" w:hAnsi="Times New Roman"/>
      <w:b/>
      <w:bCs/>
      <w:smallCaps/>
      <w:kern w:val="44"/>
      <w:sz w:val="48"/>
      <w:szCs w:val="44"/>
    </w:rPr>
  </w:style>
  <w:style w:type="paragraph" w:styleId="Heading2">
    <w:name w:val="heading 2"/>
    <w:basedOn w:val="Normal"/>
    <w:next w:val="Normal"/>
    <w:link w:val="Heading2Char"/>
    <w:unhideWhenUsed/>
    <w:qFormat/>
    <w:rsid w:val="00567564"/>
    <w:pPr>
      <w:keepNext/>
      <w:keepLines/>
      <w:spacing w:before="260" w:after="260" w:line="416" w:lineRule="auto"/>
      <w:outlineLvl w:val="1"/>
    </w:pPr>
    <w:rPr>
      <w:rFonts w:ascii="Times New Roman" w:eastAsiaTheme="majorEastAsia" w:hAnsi="Times New Roman" w:cstheme="majorBidi"/>
      <w:b/>
      <w:bCs/>
      <w:sz w:val="32"/>
      <w:szCs w:val="32"/>
      <w:lang w:val="es-ES"/>
    </w:rPr>
  </w:style>
  <w:style w:type="paragraph" w:styleId="Heading3">
    <w:name w:val="heading 3"/>
    <w:basedOn w:val="Normal"/>
    <w:link w:val="Heading3Char"/>
    <w:uiPriority w:val="9"/>
    <w:qFormat/>
    <w:rsid w:val="005425F0"/>
    <w:pPr>
      <w:keepNext/>
      <w:widowControl/>
      <w:spacing w:before="100" w:beforeAutospacing="1" w:after="100" w:afterAutospacing="1"/>
      <w:jc w:val="left"/>
      <w:outlineLvl w:val="2"/>
    </w:pPr>
    <w:rPr>
      <w:rFonts w:ascii="Times New Roman" w:eastAsia="Times New Roman" w:hAnsi="Times New Roman" w:cs="SimSun"/>
      <w:b/>
      <w:bCs/>
      <w:kern w:val="0"/>
      <w:sz w:val="27"/>
      <w:szCs w:val="27"/>
      <w:lang w:val="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C3B44"/>
    <w:pPr>
      <w:pBdr>
        <w:bottom w:val="single" w:sz="6" w:space="1" w:color="auto"/>
      </w:pBdr>
      <w:tabs>
        <w:tab w:val="center" w:pos="4153"/>
        <w:tab w:val="right" w:pos="8306"/>
      </w:tabs>
      <w:snapToGrid w:val="0"/>
      <w:jc w:val="left"/>
    </w:pPr>
    <w:rPr>
      <w:rFonts w:ascii="Arial" w:hAnsi="Arial"/>
      <w:smallCaps/>
      <w:sz w:val="32"/>
      <w:szCs w:val="18"/>
    </w:rPr>
  </w:style>
  <w:style w:type="character" w:customStyle="1" w:styleId="HeaderChar">
    <w:name w:val="Header Char"/>
    <w:basedOn w:val="DefaultParagraphFont"/>
    <w:link w:val="Header"/>
    <w:uiPriority w:val="99"/>
    <w:rsid w:val="001C3B44"/>
    <w:rPr>
      <w:rFonts w:ascii="Arial" w:hAnsi="Arial"/>
      <w:smallCaps/>
      <w:sz w:val="32"/>
      <w:szCs w:val="18"/>
    </w:rPr>
  </w:style>
  <w:style w:type="paragraph" w:styleId="Footer">
    <w:name w:val="footer"/>
    <w:basedOn w:val="Normal"/>
    <w:link w:val="FooterChar"/>
    <w:uiPriority w:val="99"/>
    <w:unhideWhenUsed/>
    <w:rsid w:val="004D39B3"/>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rsid w:val="004D39B3"/>
    <w:rPr>
      <w:sz w:val="18"/>
      <w:szCs w:val="18"/>
    </w:rPr>
  </w:style>
  <w:style w:type="character" w:customStyle="1" w:styleId="apple-converted-space">
    <w:name w:val="apple-converted-space"/>
    <w:basedOn w:val="DefaultParagraphFont"/>
    <w:rsid w:val="008E530E"/>
  </w:style>
  <w:style w:type="character" w:styleId="Hyperlink">
    <w:name w:val="Hyperlink"/>
    <w:basedOn w:val="DefaultParagraphFont"/>
    <w:uiPriority w:val="99"/>
    <w:unhideWhenUsed/>
    <w:rsid w:val="008E530E"/>
    <w:rPr>
      <w:color w:val="0000FF"/>
      <w:u w:val="single"/>
    </w:rPr>
  </w:style>
  <w:style w:type="paragraph" w:styleId="ListParagraph">
    <w:name w:val="List Paragraph"/>
    <w:basedOn w:val="Normal"/>
    <w:uiPriority w:val="34"/>
    <w:qFormat/>
    <w:rsid w:val="00466A0B"/>
    <w:pPr>
      <w:ind w:firstLineChars="200" w:firstLine="420"/>
    </w:pPr>
  </w:style>
  <w:style w:type="character" w:customStyle="1" w:styleId="Heading3Char">
    <w:name w:val="Heading 3 Char"/>
    <w:basedOn w:val="DefaultParagraphFont"/>
    <w:link w:val="Heading3"/>
    <w:uiPriority w:val="9"/>
    <w:rsid w:val="005425F0"/>
    <w:rPr>
      <w:rFonts w:ascii="Times New Roman" w:eastAsia="Times New Roman" w:hAnsi="Times New Roman" w:cs="SimSun"/>
      <w:b/>
      <w:bCs/>
      <w:kern w:val="0"/>
      <w:sz w:val="27"/>
      <w:szCs w:val="27"/>
      <w:lang w:val="es-ES"/>
    </w:rPr>
  </w:style>
  <w:style w:type="character" w:customStyle="1" w:styleId="ogd">
    <w:name w:val="_ogd"/>
    <w:basedOn w:val="DefaultParagraphFont"/>
    <w:rsid w:val="006D6F74"/>
  </w:style>
  <w:style w:type="paragraph" w:styleId="Date">
    <w:name w:val="Date"/>
    <w:basedOn w:val="Normal"/>
    <w:next w:val="Normal"/>
    <w:link w:val="DateChar"/>
    <w:uiPriority w:val="99"/>
    <w:semiHidden/>
    <w:unhideWhenUsed/>
    <w:rsid w:val="00BA5640"/>
    <w:pPr>
      <w:ind w:leftChars="2500" w:left="100"/>
    </w:pPr>
  </w:style>
  <w:style w:type="character" w:customStyle="1" w:styleId="DateChar">
    <w:name w:val="Date Char"/>
    <w:basedOn w:val="DefaultParagraphFont"/>
    <w:link w:val="Date"/>
    <w:uiPriority w:val="99"/>
    <w:semiHidden/>
    <w:rsid w:val="00BA5640"/>
  </w:style>
  <w:style w:type="character" w:styleId="Strong">
    <w:name w:val="Strong"/>
    <w:basedOn w:val="DefaultParagraphFont"/>
    <w:uiPriority w:val="22"/>
    <w:qFormat/>
    <w:rsid w:val="00CA3018"/>
    <w:rPr>
      <w:b/>
      <w:bCs/>
    </w:rPr>
  </w:style>
  <w:style w:type="paragraph" w:styleId="BalloonText">
    <w:name w:val="Balloon Text"/>
    <w:basedOn w:val="Normal"/>
    <w:link w:val="BalloonTextChar"/>
    <w:uiPriority w:val="99"/>
    <w:semiHidden/>
    <w:unhideWhenUsed/>
    <w:rsid w:val="00016B6E"/>
    <w:rPr>
      <w:sz w:val="18"/>
      <w:szCs w:val="18"/>
    </w:rPr>
  </w:style>
  <w:style w:type="character" w:customStyle="1" w:styleId="BalloonTextChar">
    <w:name w:val="Balloon Text Char"/>
    <w:basedOn w:val="DefaultParagraphFont"/>
    <w:link w:val="BalloonText"/>
    <w:uiPriority w:val="99"/>
    <w:semiHidden/>
    <w:rsid w:val="00016B6E"/>
    <w:rPr>
      <w:sz w:val="18"/>
      <w:szCs w:val="18"/>
    </w:rPr>
  </w:style>
  <w:style w:type="character" w:customStyle="1" w:styleId="location">
    <w:name w:val="location"/>
    <w:basedOn w:val="DefaultParagraphFont"/>
    <w:rsid w:val="00016B6E"/>
  </w:style>
  <w:style w:type="table" w:styleId="TableGrid">
    <w:name w:val="Table Grid"/>
    <w:basedOn w:val="TableNormal"/>
    <w:uiPriority w:val="59"/>
    <w:rsid w:val="004D36C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rsid w:val="00974A38"/>
    <w:rPr>
      <w:rFonts w:ascii="Times New Roman" w:hAnsi="Times New Roman"/>
      <w:b/>
      <w:bCs/>
      <w:smallCaps/>
      <w:kern w:val="44"/>
      <w:sz w:val="48"/>
      <w:szCs w:val="44"/>
    </w:rPr>
  </w:style>
  <w:style w:type="character" w:customStyle="1" w:styleId="Heading2Char">
    <w:name w:val="Heading 2 Char"/>
    <w:basedOn w:val="DefaultParagraphFont"/>
    <w:link w:val="Heading2"/>
    <w:rsid w:val="00567564"/>
    <w:rPr>
      <w:rFonts w:ascii="Times New Roman" w:eastAsiaTheme="majorEastAsia" w:hAnsi="Times New Roman" w:cstheme="majorBidi"/>
      <w:b/>
      <w:bCs/>
      <w:sz w:val="32"/>
      <w:szCs w:val="32"/>
      <w:lang w:val="es-ES"/>
    </w:rPr>
  </w:style>
  <w:style w:type="paragraph" w:styleId="TOC1">
    <w:name w:val="toc 1"/>
    <w:basedOn w:val="Normal"/>
    <w:next w:val="Normal"/>
    <w:autoRedefine/>
    <w:uiPriority w:val="39"/>
    <w:unhideWhenUsed/>
    <w:rsid w:val="00C22829"/>
    <w:pPr>
      <w:tabs>
        <w:tab w:val="right" w:leader="dot" w:pos="8296"/>
      </w:tabs>
      <w:spacing w:before="240" w:after="120"/>
    </w:pPr>
    <w:rPr>
      <w:rFonts w:ascii="Times New Roman" w:hAnsi="Times New Roman"/>
      <w:sz w:val="24"/>
      <w:lang w:val="es-ES_tradnl"/>
    </w:rPr>
  </w:style>
  <w:style w:type="paragraph" w:styleId="TOC2">
    <w:name w:val="toc 2"/>
    <w:basedOn w:val="Normal"/>
    <w:next w:val="Normal"/>
    <w:autoRedefine/>
    <w:uiPriority w:val="39"/>
    <w:unhideWhenUsed/>
    <w:rsid w:val="00C22829"/>
    <w:pPr>
      <w:tabs>
        <w:tab w:val="right" w:leader="dot" w:pos="8296"/>
      </w:tabs>
      <w:spacing w:before="60" w:after="60"/>
      <w:ind w:leftChars="200" w:left="420"/>
    </w:pPr>
    <w:rPr>
      <w:rFonts w:ascii="Times New Roman" w:hAnsi="Times New Roman"/>
      <w:sz w:val="24"/>
    </w:rPr>
  </w:style>
  <w:style w:type="paragraph" w:styleId="TOC3">
    <w:name w:val="toc 3"/>
    <w:basedOn w:val="Normal"/>
    <w:next w:val="Normal"/>
    <w:autoRedefine/>
    <w:uiPriority w:val="39"/>
    <w:unhideWhenUsed/>
    <w:rsid w:val="00C22829"/>
    <w:pPr>
      <w:tabs>
        <w:tab w:val="right" w:leader="dot" w:pos="8296"/>
      </w:tabs>
      <w:spacing w:before="40" w:after="40"/>
      <w:ind w:leftChars="400" w:left="400"/>
    </w:pPr>
    <w:rPr>
      <w:rFonts w:ascii="Times New Roman" w:hAnsi="Times New Roman"/>
      <w:sz w:val="24"/>
    </w:rPr>
  </w:style>
  <w:style w:type="paragraph" w:styleId="NoSpacing">
    <w:name w:val="No Spacing"/>
    <w:link w:val="NoSpacingChar"/>
    <w:uiPriority w:val="1"/>
    <w:qFormat/>
    <w:rsid w:val="006D3F6B"/>
    <w:rPr>
      <w:kern w:val="0"/>
      <w:sz w:val="22"/>
      <w:lang w:val="es-ES"/>
    </w:rPr>
  </w:style>
  <w:style w:type="table" w:styleId="MediumShading1-Accent3">
    <w:name w:val="Medium Shading 1 Accent 3"/>
    <w:basedOn w:val="TableNormal"/>
    <w:uiPriority w:val="63"/>
    <w:rsid w:val="006D3F6B"/>
    <w:rPr>
      <w:rFonts w:eastAsia="Microsoft YaHei"/>
      <w:kern w:val="0"/>
      <w:sz w:val="22"/>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6D3F6B"/>
    <w:rPr>
      <w:rFonts w:eastAsia="Microsoft YaHei"/>
      <w:kern w:val="0"/>
      <w:sz w:val="22"/>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MediumGrid3-Accent6">
    <w:name w:val="Medium Grid 3 Accent 6"/>
    <w:basedOn w:val="TableNormal"/>
    <w:uiPriority w:val="69"/>
    <w:rsid w:val="006D3F6B"/>
    <w:rPr>
      <w:rFonts w:eastAsia="Microsoft YaHei"/>
      <w:kern w:val="0"/>
      <w:sz w:val="22"/>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character" w:styleId="FollowedHyperlink">
    <w:name w:val="FollowedHyperlink"/>
    <w:basedOn w:val="DefaultParagraphFont"/>
    <w:uiPriority w:val="99"/>
    <w:semiHidden/>
    <w:unhideWhenUsed/>
    <w:rsid w:val="002E695B"/>
    <w:rPr>
      <w:color w:val="800080" w:themeColor="followedHyperlink"/>
      <w:u w:val="single"/>
    </w:rPr>
  </w:style>
  <w:style w:type="character" w:customStyle="1" w:styleId="NoSpacingChar">
    <w:name w:val="No Spacing Char"/>
    <w:basedOn w:val="DefaultParagraphFont"/>
    <w:link w:val="NoSpacing"/>
    <w:uiPriority w:val="1"/>
    <w:rsid w:val="002E695B"/>
    <w:rPr>
      <w:kern w:val="0"/>
      <w:sz w:val="22"/>
      <w:lang w:val="es-ES"/>
    </w:rPr>
  </w:style>
  <w:style w:type="paragraph" w:styleId="FootnoteText">
    <w:name w:val="footnote text"/>
    <w:basedOn w:val="Normal"/>
    <w:link w:val="FootnoteTextChar"/>
    <w:uiPriority w:val="99"/>
    <w:semiHidden/>
    <w:unhideWhenUsed/>
    <w:rsid w:val="002E695B"/>
    <w:pPr>
      <w:snapToGrid w:val="0"/>
      <w:jc w:val="left"/>
    </w:pPr>
    <w:rPr>
      <w:sz w:val="18"/>
      <w:szCs w:val="18"/>
    </w:rPr>
  </w:style>
  <w:style w:type="character" w:customStyle="1" w:styleId="FootnoteTextChar">
    <w:name w:val="Footnote Text Char"/>
    <w:basedOn w:val="DefaultParagraphFont"/>
    <w:link w:val="FootnoteText"/>
    <w:uiPriority w:val="99"/>
    <w:semiHidden/>
    <w:rsid w:val="002E695B"/>
    <w:rPr>
      <w:sz w:val="18"/>
      <w:szCs w:val="18"/>
    </w:rPr>
  </w:style>
  <w:style w:type="character" w:styleId="FootnoteReference">
    <w:name w:val="footnote reference"/>
    <w:basedOn w:val="DefaultParagraphFont"/>
    <w:uiPriority w:val="99"/>
    <w:semiHidden/>
    <w:unhideWhenUsed/>
    <w:rsid w:val="002E695B"/>
    <w:rPr>
      <w:vertAlign w:val="superscript"/>
    </w:rPr>
  </w:style>
  <w:style w:type="paragraph" w:styleId="EndnoteText">
    <w:name w:val="endnote text"/>
    <w:basedOn w:val="Normal"/>
    <w:link w:val="EndnoteTextChar"/>
    <w:uiPriority w:val="99"/>
    <w:semiHidden/>
    <w:unhideWhenUsed/>
    <w:rsid w:val="002E695B"/>
    <w:pPr>
      <w:snapToGrid w:val="0"/>
      <w:jc w:val="left"/>
    </w:pPr>
  </w:style>
  <w:style w:type="character" w:customStyle="1" w:styleId="EndnoteTextChar">
    <w:name w:val="Endnote Text Char"/>
    <w:basedOn w:val="DefaultParagraphFont"/>
    <w:link w:val="EndnoteText"/>
    <w:uiPriority w:val="99"/>
    <w:semiHidden/>
    <w:rsid w:val="002E695B"/>
  </w:style>
  <w:style w:type="character" w:styleId="EndnoteReference">
    <w:name w:val="endnote reference"/>
    <w:basedOn w:val="DefaultParagraphFont"/>
    <w:uiPriority w:val="99"/>
    <w:semiHidden/>
    <w:unhideWhenUsed/>
    <w:rsid w:val="002E695B"/>
    <w:rPr>
      <w:vertAlign w:val="superscript"/>
    </w:rPr>
  </w:style>
  <w:style w:type="character" w:customStyle="1" w:styleId="filterval">
    <w:name w:val="filterval"/>
    <w:basedOn w:val="DefaultParagraphFont"/>
    <w:rsid w:val="002E0D06"/>
  </w:style>
  <w:style w:type="paragraph" w:customStyle="1" w:styleId="a">
    <w:name w:val="摘要"/>
    <w:basedOn w:val="Normal"/>
    <w:qFormat/>
    <w:rsid w:val="001C3B44"/>
    <w:pPr>
      <w:spacing w:before="120" w:after="120"/>
    </w:pPr>
    <w:rPr>
      <w:sz w:val="24"/>
      <w:szCs w:val="24"/>
      <w:lang w:val="es-ES_tradnl"/>
    </w:rPr>
  </w:style>
  <w:style w:type="paragraph" w:customStyle="1" w:styleId="a0">
    <w:name w:val="修改"/>
    <w:basedOn w:val="Normal"/>
    <w:qFormat/>
    <w:rsid w:val="007E2E62"/>
    <w:pPr>
      <w:widowControl/>
      <w:spacing w:after="240" w:line="360" w:lineRule="auto"/>
    </w:pPr>
    <w:rPr>
      <w:rFonts w:ascii="Times New Roman" w:hAnsi="Times New Roman" w:cs="Times New Roman"/>
      <w:sz w:val="24"/>
      <w:szCs w:val="24"/>
      <w:lang w:val="es-ES_tradnl"/>
    </w:rPr>
  </w:style>
  <w:style w:type="paragraph" w:customStyle="1" w:styleId="a1">
    <w:name w:val="新的"/>
    <w:basedOn w:val="a0"/>
    <w:qFormat/>
    <w:rsid w:val="009627DC"/>
  </w:style>
  <w:style w:type="paragraph" w:customStyle="1" w:styleId="a2">
    <w:name w:val="脚注"/>
    <w:basedOn w:val="FootnoteText"/>
    <w:qFormat/>
    <w:rsid w:val="00182625"/>
    <w:pPr>
      <w:keepLines/>
      <w:spacing w:before="120" w:after="120"/>
      <w:jc w:val="both"/>
    </w:pPr>
    <w:rPr>
      <w:rFonts w:ascii="Times New Roman" w:hAnsi="Times New Roman" w:cs="Times New Roman"/>
      <w:sz w:val="20"/>
      <w:lang w:val="es-ES"/>
    </w:rPr>
  </w:style>
  <w:style w:type="paragraph" w:customStyle="1" w:styleId="a3">
    <w:name w:val="题目"/>
    <w:basedOn w:val="a1"/>
    <w:qFormat/>
    <w:rsid w:val="00FD0897"/>
    <w:pPr>
      <w:keepNext/>
    </w:pPr>
    <w:rPr>
      <w:b/>
    </w:rPr>
  </w:style>
  <w:style w:type="paragraph" w:customStyle="1" w:styleId="a4">
    <w:name w:val="书目"/>
    <w:basedOn w:val="Normal"/>
    <w:qFormat/>
    <w:rsid w:val="000B19C4"/>
    <w:pPr>
      <w:keepLines/>
      <w:widowControl/>
      <w:spacing w:before="120" w:after="120" w:line="360" w:lineRule="auto"/>
      <w:ind w:left="420" w:hanging="420"/>
    </w:pPr>
    <w:rPr>
      <w:rFonts w:ascii="Times New Roman" w:hAnsi="Times New Roman" w:cs="Times New Roman"/>
      <w:sz w:val="24"/>
      <w:lang w:val="es-ES"/>
    </w:rPr>
  </w:style>
  <w:style w:type="paragraph" w:customStyle="1" w:styleId="a5">
    <w:name w:val="图像"/>
    <w:basedOn w:val="Normal"/>
    <w:qFormat/>
    <w:rsid w:val="00FE5279"/>
    <w:pPr>
      <w:keepNext/>
      <w:spacing w:line="360" w:lineRule="auto"/>
    </w:pPr>
    <w:rPr>
      <w:rFonts w:ascii="Times New Roman" w:hAnsi="Times New Roman" w:cs="Times New Roman"/>
      <w:sz w:val="24"/>
      <w:szCs w:val="24"/>
      <w:lang w:val="es-ES_tradnl"/>
    </w:rPr>
  </w:style>
  <w:style w:type="paragraph" w:customStyle="1" w:styleId="a6">
    <w:name w:val="图例"/>
    <w:basedOn w:val="Normal"/>
    <w:qFormat/>
    <w:rsid w:val="00DC743A"/>
    <w:pPr>
      <w:keepLines/>
      <w:spacing w:after="240"/>
    </w:pPr>
    <w:rPr>
      <w:rFonts w:ascii="Times New Roman" w:hAnsi="Times New Roman" w:cs="Times New Roman"/>
      <w:i/>
      <w:sz w:val="24"/>
      <w:szCs w:val="24"/>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029314">
      <w:bodyDiv w:val="1"/>
      <w:marLeft w:val="0"/>
      <w:marRight w:val="0"/>
      <w:marTop w:val="0"/>
      <w:marBottom w:val="0"/>
      <w:divBdr>
        <w:top w:val="none" w:sz="0" w:space="0" w:color="auto"/>
        <w:left w:val="none" w:sz="0" w:space="0" w:color="auto"/>
        <w:bottom w:val="none" w:sz="0" w:space="0" w:color="auto"/>
        <w:right w:val="none" w:sz="0" w:space="0" w:color="auto"/>
      </w:divBdr>
    </w:div>
    <w:div w:id="196554367">
      <w:bodyDiv w:val="1"/>
      <w:marLeft w:val="0"/>
      <w:marRight w:val="0"/>
      <w:marTop w:val="0"/>
      <w:marBottom w:val="0"/>
      <w:divBdr>
        <w:top w:val="none" w:sz="0" w:space="0" w:color="auto"/>
        <w:left w:val="none" w:sz="0" w:space="0" w:color="auto"/>
        <w:bottom w:val="none" w:sz="0" w:space="0" w:color="auto"/>
        <w:right w:val="none" w:sz="0" w:space="0" w:color="auto"/>
      </w:divBdr>
    </w:div>
    <w:div w:id="458884730">
      <w:bodyDiv w:val="1"/>
      <w:marLeft w:val="0"/>
      <w:marRight w:val="0"/>
      <w:marTop w:val="0"/>
      <w:marBottom w:val="0"/>
      <w:divBdr>
        <w:top w:val="none" w:sz="0" w:space="0" w:color="auto"/>
        <w:left w:val="none" w:sz="0" w:space="0" w:color="auto"/>
        <w:bottom w:val="none" w:sz="0" w:space="0" w:color="auto"/>
        <w:right w:val="none" w:sz="0" w:space="0" w:color="auto"/>
      </w:divBdr>
    </w:div>
    <w:div w:id="570774754">
      <w:bodyDiv w:val="1"/>
      <w:marLeft w:val="0"/>
      <w:marRight w:val="0"/>
      <w:marTop w:val="0"/>
      <w:marBottom w:val="0"/>
      <w:divBdr>
        <w:top w:val="none" w:sz="0" w:space="0" w:color="auto"/>
        <w:left w:val="none" w:sz="0" w:space="0" w:color="auto"/>
        <w:bottom w:val="none" w:sz="0" w:space="0" w:color="auto"/>
        <w:right w:val="none" w:sz="0" w:space="0" w:color="auto"/>
      </w:divBdr>
    </w:div>
    <w:div w:id="661159068">
      <w:bodyDiv w:val="1"/>
      <w:marLeft w:val="0"/>
      <w:marRight w:val="0"/>
      <w:marTop w:val="0"/>
      <w:marBottom w:val="0"/>
      <w:divBdr>
        <w:top w:val="none" w:sz="0" w:space="0" w:color="auto"/>
        <w:left w:val="none" w:sz="0" w:space="0" w:color="auto"/>
        <w:bottom w:val="none" w:sz="0" w:space="0" w:color="auto"/>
        <w:right w:val="none" w:sz="0" w:space="0" w:color="auto"/>
      </w:divBdr>
    </w:div>
    <w:div w:id="768156475">
      <w:bodyDiv w:val="1"/>
      <w:marLeft w:val="0"/>
      <w:marRight w:val="0"/>
      <w:marTop w:val="0"/>
      <w:marBottom w:val="0"/>
      <w:divBdr>
        <w:top w:val="none" w:sz="0" w:space="0" w:color="auto"/>
        <w:left w:val="none" w:sz="0" w:space="0" w:color="auto"/>
        <w:bottom w:val="none" w:sz="0" w:space="0" w:color="auto"/>
        <w:right w:val="none" w:sz="0" w:space="0" w:color="auto"/>
      </w:divBdr>
    </w:div>
    <w:div w:id="882445045">
      <w:bodyDiv w:val="1"/>
      <w:marLeft w:val="0"/>
      <w:marRight w:val="0"/>
      <w:marTop w:val="0"/>
      <w:marBottom w:val="0"/>
      <w:divBdr>
        <w:top w:val="none" w:sz="0" w:space="0" w:color="auto"/>
        <w:left w:val="none" w:sz="0" w:space="0" w:color="auto"/>
        <w:bottom w:val="none" w:sz="0" w:space="0" w:color="auto"/>
        <w:right w:val="none" w:sz="0" w:space="0" w:color="auto"/>
      </w:divBdr>
    </w:div>
    <w:div w:id="931473800">
      <w:bodyDiv w:val="1"/>
      <w:marLeft w:val="0"/>
      <w:marRight w:val="0"/>
      <w:marTop w:val="0"/>
      <w:marBottom w:val="0"/>
      <w:divBdr>
        <w:top w:val="none" w:sz="0" w:space="0" w:color="auto"/>
        <w:left w:val="none" w:sz="0" w:space="0" w:color="auto"/>
        <w:bottom w:val="none" w:sz="0" w:space="0" w:color="auto"/>
        <w:right w:val="none" w:sz="0" w:space="0" w:color="auto"/>
      </w:divBdr>
    </w:div>
    <w:div w:id="999817495">
      <w:bodyDiv w:val="1"/>
      <w:marLeft w:val="0"/>
      <w:marRight w:val="0"/>
      <w:marTop w:val="0"/>
      <w:marBottom w:val="0"/>
      <w:divBdr>
        <w:top w:val="none" w:sz="0" w:space="0" w:color="auto"/>
        <w:left w:val="none" w:sz="0" w:space="0" w:color="auto"/>
        <w:bottom w:val="none" w:sz="0" w:space="0" w:color="auto"/>
        <w:right w:val="none" w:sz="0" w:space="0" w:color="auto"/>
      </w:divBdr>
    </w:div>
    <w:div w:id="1036276293">
      <w:bodyDiv w:val="1"/>
      <w:marLeft w:val="0"/>
      <w:marRight w:val="0"/>
      <w:marTop w:val="0"/>
      <w:marBottom w:val="0"/>
      <w:divBdr>
        <w:top w:val="none" w:sz="0" w:space="0" w:color="auto"/>
        <w:left w:val="none" w:sz="0" w:space="0" w:color="auto"/>
        <w:bottom w:val="none" w:sz="0" w:space="0" w:color="auto"/>
        <w:right w:val="none" w:sz="0" w:space="0" w:color="auto"/>
      </w:divBdr>
    </w:div>
    <w:div w:id="1067335484">
      <w:bodyDiv w:val="1"/>
      <w:marLeft w:val="0"/>
      <w:marRight w:val="0"/>
      <w:marTop w:val="0"/>
      <w:marBottom w:val="0"/>
      <w:divBdr>
        <w:top w:val="none" w:sz="0" w:space="0" w:color="auto"/>
        <w:left w:val="none" w:sz="0" w:space="0" w:color="auto"/>
        <w:bottom w:val="none" w:sz="0" w:space="0" w:color="auto"/>
        <w:right w:val="none" w:sz="0" w:space="0" w:color="auto"/>
      </w:divBdr>
    </w:div>
    <w:div w:id="1158882008">
      <w:bodyDiv w:val="1"/>
      <w:marLeft w:val="0"/>
      <w:marRight w:val="0"/>
      <w:marTop w:val="0"/>
      <w:marBottom w:val="0"/>
      <w:divBdr>
        <w:top w:val="none" w:sz="0" w:space="0" w:color="auto"/>
        <w:left w:val="none" w:sz="0" w:space="0" w:color="auto"/>
        <w:bottom w:val="none" w:sz="0" w:space="0" w:color="auto"/>
        <w:right w:val="none" w:sz="0" w:space="0" w:color="auto"/>
      </w:divBdr>
    </w:div>
    <w:div w:id="1172062155">
      <w:bodyDiv w:val="1"/>
      <w:marLeft w:val="0"/>
      <w:marRight w:val="0"/>
      <w:marTop w:val="0"/>
      <w:marBottom w:val="0"/>
      <w:divBdr>
        <w:top w:val="none" w:sz="0" w:space="0" w:color="auto"/>
        <w:left w:val="none" w:sz="0" w:space="0" w:color="auto"/>
        <w:bottom w:val="none" w:sz="0" w:space="0" w:color="auto"/>
        <w:right w:val="none" w:sz="0" w:space="0" w:color="auto"/>
      </w:divBdr>
    </w:div>
    <w:div w:id="1181120940">
      <w:bodyDiv w:val="1"/>
      <w:marLeft w:val="0"/>
      <w:marRight w:val="0"/>
      <w:marTop w:val="0"/>
      <w:marBottom w:val="0"/>
      <w:divBdr>
        <w:top w:val="none" w:sz="0" w:space="0" w:color="auto"/>
        <w:left w:val="none" w:sz="0" w:space="0" w:color="auto"/>
        <w:bottom w:val="none" w:sz="0" w:space="0" w:color="auto"/>
        <w:right w:val="none" w:sz="0" w:space="0" w:color="auto"/>
      </w:divBdr>
    </w:div>
    <w:div w:id="1184201104">
      <w:bodyDiv w:val="1"/>
      <w:marLeft w:val="0"/>
      <w:marRight w:val="0"/>
      <w:marTop w:val="0"/>
      <w:marBottom w:val="0"/>
      <w:divBdr>
        <w:top w:val="none" w:sz="0" w:space="0" w:color="auto"/>
        <w:left w:val="none" w:sz="0" w:space="0" w:color="auto"/>
        <w:bottom w:val="none" w:sz="0" w:space="0" w:color="auto"/>
        <w:right w:val="none" w:sz="0" w:space="0" w:color="auto"/>
      </w:divBdr>
    </w:div>
    <w:div w:id="1200586336">
      <w:bodyDiv w:val="1"/>
      <w:marLeft w:val="0"/>
      <w:marRight w:val="0"/>
      <w:marTop w:val="0"/>
      <w:marBottom w:val="0"/>
      <w:divBdr>
        <w:top w:val="none" w:sz="0" w:space="0" w:color="auto"/>
        <w:left w:val="none" w:sz="0" w:space="0" w:color="auto"/>
        <w:bottom w:val="none" w:sz="0" w:space="0" w:color="auto"/>
        <w:right w:val="none" w:sz="0" w:space="0" w:color="auto"/>
      </w:divBdr>
    </w:div>
    <w:div w:id="1226643703">
      <w:bodyDiv w:val="1"/>
      <w:marLeft w:val="0"/>
      <w:marRight w:val="0"/>
      <w:marTop w:val="0"/>
      <w:marBottom w:val="0"/>
      <w:divBdr>
        <w:top w:val="none" w:sz="0" w:space="0" w:color="auto"/>
        <w:left w:val="none" w:sz="0" w:space="0" w:color="auto"/>
        <w:bottom w:val="none" w:sz="0" w:space="0" w:color="auto"/>
        <w:right w:val="none" w:sz="0" w:space="0" w:color="auto"/>
      </w:divBdr>
      <w:divsChild>
        <w:div w:id="1326282669">
          <w:marLeft w:val="0"/>
          <w:marRight w:val="0"/>
          <w:marTop w:val="0"/>
          <w:marBottom w:val="0"/>
          <w:divBdr>
            <w:top w:val="none" w:sz="0" w:space="0" w:color="auto"/>
            <w:left w:val="none" w:sz="0" w:space="0" w:color="auto"/>
            <w:bottom w:val="none" w:sz="0" w:space="0" w:color="auto"/>
            <w:right w:val="none" w:sz="0" w:space="0" w:color="auto"/>
          </w:divBdr>
          <w:divsChild>
            <w:div w:id="1058084">
              <w:marLeft w:val="0"/>
              <w:marRight w:val="0"/>
              <w:marTop w:val="0"/>
              <w:marBottom w:val="0"/>
              <w:divBdr>
                <w:top w:val="none" w:sz="0" w:space="0" w:color="auto"/>
                <w:left w:val="none" w:sz="0" w:space="0" w:color="auto"/>
                <w:bottom w:val="none" w:sz="0" w:space="0" w:color="auto"/>
                <w:right w:val="none" w:sz="0" w:space="0" w:color="auto"/>
              </w:divBdr>
            </w:div>
            <w:div w:id="174157273">
              <w:marLeft w:val="0"/>
              <w:marRight w:val="0"/>
              <w:marTop w:val="0"/>
              <w:marBottom w:val="0"/>
              <w:divBdr>
                <w:top w:val="none" w:sz="0" w:space="0" w:color="auto"/>
                <w:left w:val="none" w:sz="0" w:space="0" w:color="auto"/>
                <w:bottom w:val="none" w:sz="0" w:space="0" w:color="auto"/>
                <w:right w:val="none" w:sz="0" w:space="0" w:color="auto"/>
              </w:divBdr>
            </w:div>
            <w:div w:id="464465371">
              <w:marLeft w:val="0"/>
              <w:marRight w:val="0"/>
              <w:marTop w:val="0"/>
              <w:marBottom w:val="0"/>
              <w:divBdr>
                <w:top w:val="none" w:sz="0" w:space="0" w:color="auto"/>
                <w:left w:val="none" w:sz="0" w:space="0" w:color="auto"/>
                <w:bottom w:val="none" w:sz="0" w:space="0" w:color="auto"/>
                <w:right w:val="none" w:sz="0" w:space="0" w:color="auto"/>
              </w:divBdr>
              <w:divsChild>
                <w:div w:id="684408050">
                  <w:marLeft w:val="0"/>
                  <w:marRight w:val="0"/>
                  <w:marTop w:val="0"/>
                  <w:marBottom w:val="0"/>
                  <w:divBdr>
                    <w:top w:val="none" w:sz="0" w:space="0" w:color="auto"/>
                    <w:left w:val="none" w:sz="0" w:space="0" w:color="auto"/>
                    <w:bottom w:val="none" w:sz="0" w:space="0" w:color="auto"/>
                    <w:right w:val="none" w:sz="0" w:space="0" w:color="auto"/>
                  </w:divBdr>
                </w:div>
              </w:divsChild>
            </w:div>
            <w:div w:id="1281300545">
              <w:marLeft w:val="0"/>
              <w:marRight w:val="0"/>
              <w:marTop w:val="0"/>
              <w:marBottom w:val="0"/>
              <w:divBdr>
                <w:top w:val="none" w:sz="0" w:space="0" w:color="auto"/>
                <w:left w:val="none" w:sz="0" w:space="0" w:color="auto"/>
                <w:bottom w:val="none" w:sz="0" w:space="0" w:color="auto"/>
                <w:right w:val="none" w:sz="0" w:space="0" w:color="auto"/>
              </w:divBdr>
            </w:div>
            <w:div w:id="1459029720">
              <w:marLeft w:val="0"/>
              <w:marRight w:val="0"/>
              <w:marTop w:val="0"/>
              <w:marBottom w:val="0"/>
              <w:divBdr>
                <w:top w:val="none" w:sz="0" w:space="0" w:color="auto"/>
                <w:left w:val="none" w:sz="0" w:space="0" w:color="auto"/>
                <w:bottom w:val="none" w:sz="0" w:space="0" w:color="auto"/>
                <w:right w:val="none" w:sz="0" w:space="0" w:color="auto"/>
              </w:divBdr>
            </w:div>
            <w:div w:id="2087067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8218139">
      <w:bodyDiv w:val="1"/>
      <w:marLeft w:val="0"/>
      <w:marRight w:val="0"/>
      <w:marTop w:val="0"/>
      <w:marBottom w:val="0"/>
      <w:divBdr>
        <w:top w:val="none" w:sz="0" w:space="0" w:color="auto"/>
        <w:left w:val="none" w:sz="0" w:space="0" w:color="auto"/>
        <w:bottom w:val="none" w:sz="0" w:space="0" w:color="auto"/>
        <w:right w:val="none" w:sz="0" w:space="0" w:color="auto"/>
      </w:divBdr>
    </w:div>
    <w:div w:id="1421826799">
      <w:bodyDiv w:val="1"/>
      <w:marLeft w:val="0"/>
      <w:marRight w:val="0"/>
      <w:marTop w:val="0"/>
      <w:marBottom w:val="0"/>
      <w:divBdr>
        <w:top w:val="none" w:sz="0" w:space="0" w:color="auto"/>
        <w:left w:val="none" w:sz="0" w:space="0" w:color="auto"/>
        <w:bottom w:val="none" w:sz="0" w:space="0" w:color="auto"/>
        <w:right w:val="none" w:sz="0" w:space="0" w:color="auto"/>
      </w:divBdr>
    </w:div>
    <w:div w:id="1553998640">
      <w:bodyDiv w:val="1"/>
      <w:marLeft w:val="0"/>
      <w:marRight w:val="0"/>
      <w:marTop w:val="0"/>
      <w:marBottom w:val="0"/>
      <w:divBdr>
        <w:top w:val="none" w:sz="0" w:space="0" w:color="auto"/>
        <w:left w:val="none" w:sz="0" w:space="0" w:color="auto"/>
        <w:bottom w:val="none" w:sz="0" w:space="0" w:color="auto"/>
        <w:right w:val="none" w:sz="0" w:space="0" w:color="auto"/>
      </w:divBdr>
    </w:div>
    <w:div w:id="1881086191">
      <w:bodyDiv w:val="1"/>
      <w:marLeft w:val="0"/>
      <w:marRight w:val="0"/>
      <w:marTop w:val="0"/>
      <w:marBottom w:val="0"/>
      <w:divBdr>
        <w:top w:val="none" w:sz="0" w:space="0" w:color="auto"/>
        <w:left w:val="none" w:sz="0" w:space="0" w:color="auto"/>
        <w:bottom w:val="none" w:sz="0" w:space="0" w:color="auto"/>
        <w:right w:val="none" w:sz="0" w:space="0" w:color="auto"/>
      </w:divBdr>
    </w:div>
    <w:div w:id="1893231485">
      <w:bodyDiv w:val="1"/>
      <w:marLeft w:val="0"/>
      <w:marRight w:val="0"/>
      <w:marTop w:val="0"/>
      <w:marBottom w:val="0"/>
      <w:divBdr>
        <w:top w:val="none" w:sz="0" w:space="0" w:color="auto"/>
        <w:left w:val="none" w:sz="0" w:space="0" w:color="auto"/>
        <w:bottom w:val="none" w:sz="0" w:space="0" w:color="auto"/>
        <w:right w:val="none" w:sz="0" w:space="0" w:color="auto"/>
      </w:divBdr>
    </w:div>
    <w:div w:id="1925532319">
      <w:bodyDiv w:val="1"/>
      <w:marLeft w:val="0"/>
      <w:marRight w:val="0"/>
      <w:marTop w:val="0"/>
      <w:marBottom w:val="0"/>
      <w:divBdr>
        <w:top w:val="none" w:sz="0" w:space="0" w:color="auto"/>
        <w:left w:val="none" w:sz="0" w:space="0" w:color="auto"/>
        <w:bottom w:val="none" w:sz="0" w:space="0" w:color="auto"/>
        <w:right w:val="none" w:sz="0" w:space="0" w:color="auto"/>
      </w:divBdr>
    </w:div>
    <w:div w:id="2004891559">
      <w:bodyDiv w:val="1"/>
      <w:marLeft w:val="0"/>
      <w:marRight w:val="0"/>
      <w:marTop w:val="0"/>
      <w:marBottom w:val="0"/>
      <w:divBdr>
        <w:top w:val="none" w:sz="0" w:space="0" w:color="auto"/>
        <w:left w:val="none" w:sz="0" w:space="0" w:color="auto"/>
        <w:bottom w:val="none" w:sz="0" w:space="0" w:color="auto"/>
        <w:right w:val="none" w:sz="0" w:space="0" w:color="auto"/>
      </w:divBdr>
    </w:div>
    <w:div w:id="2046559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18" Type="http://schemas.openxmlformats.org/officeDocument/2006/relationships/image" Target="media/image4.png"/><Relationship Id="rId26" Type="http://schemas.openxmlformats.org/officeDocument/2006/relationships/chart" Target="charts/chart14.xm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10.xml"/><Relationship Id="rId34" Type="http://schemas.openxmlformats.org/officeDocument/2006/relationships/chart" Target="charts/chart18.xm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image" Target="media/image3.emf"/><Relationship Id="rId25" Type="http://schemas.openxmlformats.org/officeDocument/2006/relationships/chart" Target="charts/chart13.xml"/><Relationship Id="rId33" Type="http://schemas.openxmlformats.org/officeDocument/2006/relationships/image" Target="media/image8.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9.xml"/><Relationship Id="rId29"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5.png"/><Relationship Id="rId32" Type="http://schemas.openxmlformats.org/officeDocument/2006/relationships/image" Target="media/image7.png"/><Relationship Id="rId37"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chart" Target="charts/chart6.xml"/><Relationship Id="rId23" Type="http://schemas.openxmlformats.org/officeDocument/2006/relationships/chart" Target="charts/chart12.xml"/><Relationship Id="rId28" Type="http://schemas.openxmlformats.org/officeDocument/2006/relationships/chart" Target="charts/chart16.xml"/><Relationship Id="rId36" Type="http://schemas.openxmlformats.org/officeDocument/2006/relationships/chart" Target="charts/chart20.xml"/><Relationship Id="rId10" Type="http://schemas.openxmlformats.org/officeDocument/2006/relationships/chart" Target="charts/chart2.xml"/><Relationship Id="rId19" Type="http://schemas.openxmlformats.org/officeDocument/2006/relationships/chart" Target="charts/chart8.xml"/><Relationship Id="rId31" Type="http://schemas.openxmlformats.org/officeDocument/2006/relationships/hyperlink" Target="http://search.ebscohost.com"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5.xml"/><Relationship Id="rId22" Type="http://schemas.openxmlformats.org/officeDocument/2006/relationships/chart" Target="charts/chart11.xml"/><Relationship Id="rId27" Type="http://schemas.openxmlformats.org/officeDocument/2006/relationships/chart" Target="charts/chart15.xml"/><Relationship Id="rId30" Type="http://schemas.openxmlformats.org/officeDocument/2006/relationships/chart" Target="charts/chart17.xml"/><Relationship Id="rId35" Type="http://schemas.openxmlformats.org/officeDocument/2006/relationships/chart" Target="charts/chart19.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embeddings/oleObject3.bin"/></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12.xml.rels><?xml version="1.0" encoding="UTF-8" standalone="yes"?>
<Relationships xmlns="http://schemas.openxmlformats.org/package/2006/relationships"><Relationship Id="rId1" Type="http://schemas.openxmlformats.org/officeDocument/2006/relationships/oleObject" Target="../embeddings/oleObject4.bin"/></Relationships>
</file>

<file path=word/charts/_rels/chart13.xml.rels><?xml version="1.0" encoding="UTF-8" standalone="yes"?>
<Relationships xmlns="http://schemas.openxmlformats.org/package/2006/relationships"><Relationship Id="rId1" Type="http://schemas.openxmlformats.org/officeDocument/2006/relationships/oleObject" Target="../embeddings/oleObject5.bin"/></Relationships>
</file>

<file path=word/charts/_rels/chart14.xml.rels><?xml version="1.0" encoding="UTF-8" standalone="yes"?>
<Relationships xmlns="http://schemas.openxmlformats.org/package/2006/relationships"><Relationship Id="rId1" Type="http://schemas.openxmlformats.org/officeDocument/2006/relationships/oleObject" Target="../embeddings/oleObject6.bin"/></Relationships>
</file>

<file path=word/charts/_rels/chart15.xml.rels><?xml version="1.0" encoding="UTF-8" standalone="yes"?>
<Relationships xmlns="http://schemas.openxmlformats.org/package/2006/relationships"><Relationship Id="rId1" Type="http://schemas.openxmlformats.org/officeDocument/2006/relationships/oleObject" Target="../embeddings/oleObject7.bin"/></Relationships>
</file>

<file path=word/charts/_rels/chart16.xml.rels><?xml version="1.0" encoding="UTF-8" standalone="yes"?>
<Relationships xmlns="http://schemas.openxmlformats.org/package/2006/relationships"><Relationship Id="rId1" Type="http://schemas.openxmlformats.org/officeDocument/2006/relationships/oleObject" Target="../embeddings/oleObject8.bin"/></Relationships>
</file>

<file path=word/charts/_rels/chart17.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9.xml.rels><?xml version="1.0" encoding="UTF-8" standalone="yes"?>
<Relationships xmlns="http://schemas.openxmlformats.org/package/2006/relationships"><Relationship Id="rId1" Type="http://schemas.openxmlformats.org/officeDocument/2006/relationships/oleObject" Target="../embeddings/oleObject2.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Población Total 2005-2014</c:v>
          </c:tx>
          <c:invertIfNegative val="0"/>
          <c:cat>
            <c:numRef>
              <c:f>Sheet1!$B$1:$K$1</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Sheet1!$B$2:$K$2</c:f>
              <c:numCache>
                <c:formatCode>General</c:formatCode>
                <c:ptCount val="10"/>
                <c:pt idx="0">
                  <c:v>1307560</c:v>
                </c:pt>
                <c:pt idx="1">
                  <c:v>1314480</c:v>
                </c:pt>
                <c:pt idx="2">
                  <c:v>1321290</c:v>
                </c:pt>
                <c:pt idx="3">
                  <c:v>1328020</c:v>
                </c:pt>
                <c:pt idx="4">
                  <c:v>1334500</c:v>
                </c:pt>
                <c:pt idx="5">
                  <c:v>1340910</c:v>
                </c:pt>
                <c:pt idx="6">
                  <c:v>1347350</c:v>
                </c:pt>
                <c:pt idx="7">
                  <c:v>1354040</c:v>
                </c:pt>
                <c:pt idx="8">
                  <c:v>1360720</c:v>
                </c:pt>
                <c:pt idx="9">
                  <c:v>1367820</c:v>
                </c:pt>
              </c:numCache>
            </c:numRef>
          </c:val>
        </c:ser>
        <c:dLbls>
          <c:showLegendKey val="0"/>
          <c:showVal val="0"/>
          <c:showCatName val="0"/>
          <c:showSerName val="0"/>
          <c:showPercent val="0"/>
          <c:showBubbleSize val="0"/>
        </c:dLbls>
        <c:gapWidth val="150"/>
        <c:axId val="89312640"/>
        <c:axId val="116835456"/>
      </c:barChart>
      <c:catAx>
        <c:axId val="89312640"/>
        <c:scaling>
          <c:orientation val="minMax"/>
        </c:scaling>
        <c:delete val="0"/>
        <c:axPos val="b"/>
        <c:numFmt formatCode="General" sourceLinked="1"/>
        <c:majorTickMark val="out"/>
        <c:minorTickMark val="none"/>
        <c:tickLblPos val="nextTo"/>
        <c:txPr>
          <a:bodyPr/>
          <a:lstStyle/>
          <a:p>
            <a:pPr>
              <a:defRPr lang="zh-CN"/>
            </a:pPr>
            <a:endParaRPr lang="es-ES"/>
          </a:p>
        </c:txPr>
        <c:crossAx val="116835456"/>
        <c:crosses val="autoZero"/>
        <c:auto val="1"/>
        <c:lblAlgn val="ctr"/>
        <c:lblOffset val="100"/>
        <c:noMultiLvlLbl val="0"/>
      </c:catAx>
      <c:valAx>
        <c:axId val="116835456"/>
        <c:scaling>
          <c:orientation val="minMax"/>
        </c:scaling>
        <c:delete val="0"/>
        <c:axPos val="l"/>
        <c:majorGridlines/>
        <c:numFmt formatCode="#,##0" sourceLinked="0"/>
        <c:majorTickMark val="out"/>
        <c:minorTickMark val="none"/>
        <c:tickLblPos val="nextTo"/>
        <c:txPr>
          <a:bodyPr/>
          <a:lstStyle/>
          <a:p>
            <a:pPr>
              <a:defRPr lang="zh-CN"/>
            </a:pPr>
            <a:endParaRPr lang="es-ES"/>
          </a:p>
        </c:txPr>
        <c:crossAx val="89312640"/>
        <c:crosses val="autoZero"/>
        <c:crossBetween val="between"/>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China</c:v>
                </c:pt>
              </c:strCache>
            </c:strRef>
          </c:tx>
          <c:cat>
            <c:numRef>
              <c:f>Sheet1!$A$2:$A$9</c:f>
              <c:numCache>
                <c:formatCode>General</c:formatCode>
                <c:ptCount val="8"/>
                <c:pt idx="0">
                  <c:v>2006</c:v>
                </c:pt>
                <c:pt idx="1">
                  <c:v>2007</c:v>
                </c:pt>
                <c:pt idx="2">
                  <c:v>2008</c:v>
                </c:pt>
                <c:pt idx="3">
                  <c:v>2009</c:v>
                </c:pt>
                <c:pt idx="4">
                  <c:v>2010</c:v>
                </c:pt>
                <c:pt idx="5">
                  <c:v>2011</c:v>
                </c:pt>
                <c:pt idx="6">
                  <c:v>2012</c:v>
                </c:pt>
                <c:pt idx="7">
                  <c:v>2013</c:v>
                </c:pt>
              </c:numCache>
            </c:numRef>
          </c:cat>
          <c:val>
            <c:numRef>
              <c:f>Sheet1!$B$2:$B$9</c:f>
              <c:numCache>
                <c:formatCode>0.0%</c:formatCode>
                <c:ptCount val="8"/>
                <c:pt idx="0">
                  <c:v>0.42600000000000032</c:v>
                </c:pt>
                <c:pt idx="1">
                  <c:v>0.40800000000000008</c:v>
                </c:pt>
                <c:pt idx="2">
                  <c:v>0.39600000000000207</c:v>
                </c:pt>
                <c:pt idx="3">
                  <c:v>0.38100000000000184</c:v>
                </c:pt>
                <c:pt idx="4">
                  <c:v>0.36700000000000038</c:v>
                </c:pt>
                <c:pt idx="5">
                  <c:v>0.34800000000000031</c:v>
                </c:pt>
                <c:pt idx="6">
                  <c:v>0.33200000000000207</c:v>
                </c:pt>
                <c:pt idx="7">
                  <c:v>0.31700000000000178</c:v>
                </c:pt>
              </c:numCache>
            </c:numRef>
          </c:val>
          <c:smooth val="0"/>
        </c:ser>
        <c:ser>
          <c:idx val="1"/>
          <c:order val="1"/>
          <c:tx>
            <c:strRef>
              <c:f>Sheet1!$C$1</c:f>
              <c:strCache>
                <c:ptCount val="1"/>
                <c:pt idx="0">
                  <c:v>España</c:v>
                </c:pt>
              </c:strCache>
            </c:strRef>
          </c:tx>
          <c:cat>
            <c:numRef>
              <c:f>Sheet1!$A$2:$A$9</c:f>
              <c:numCache>
                <c:formatCode>General</c:formatCode>
                <c:ptCount val="8"/>
                <c:pt idx="0">
                  <c:v>2006</c:v>
                </c:pt>
                <c:pt idx="1">
                  <c:v>2007</c:v>
                </c:pt>
                <c:pt idx="2">
                  <c:v>2008</c:v>
                </c:pt>
                <c:pt idx="3">
                  <c:v>2009</c:v>
                </c:pt>
                <c:pt idx="4">
                  <c:v>2010</c:v>
                </c:pt>
                <c:pt idx="5">
                  <c:v>2011</c:v>
                </c:pt>
                <c:pt idx="6">
                  <c:v>2012</c:v>
                </c:pt>
                <c:pt idx="7">
                  <c:v>2013</c:v>
                </c:pt>
              </c:numCache>
            </c:numRef>
          </c:cat>
          <c:val>
            <c:numRef>
              <c:f>Sheet1!$C$2:$C$9</c:f>
              <c:numCache>
                <c:formatCode>0.0%</c:formatCode>
                <c:ptCount val="8"/>
                <c:pt idx="0">
                  <c:v>4.8000000000000001E-2</c:v>
                </c:pt>
                <c:pt idx="1">
                  <c:v>4.5000000000000012E-2</c:v>
                </c:pt>
                <c:pt idx="2">
                  <c:v>4.0000000000000022E-2</c:v>
                </c:pt>
                <c:pt idx="3">
                  <c:v>4.2000000000000023E-2</c:v>
                </c:pt>
                <c:pt idx="4">
                  <c:v>4.3000000000000003E-2</c:v>
                </c:pt>
                <c:pt idx="5">
                  <c:v>4.2000000000000023E-2</c:v>
                </c:pt>
                <c:pt idx="6">
                  <c:v>4.4000000000000032E-2</c:v>
                </c:pt>
                <c:pt idx="7">
                  <c:v>4.5000000000000012E-2</c:v>
                </c:pt>
              </c:numCache>
            </c:numRef>
          </c:val>
          <c:smooth val="0"/>
        </c:ser>
        <c:dLbls>
          <c:showLegendKey val="0"/>
          <c:showVal val="0"/>
          <c:showCatName val="0"/>
          <c:showSerName val="0"/>
          <c:showPercent val="0"/>
          <c:showBubbleSize val="0"/>
        </c:dLbls>
        <c:marker val="1"/>
        <c:smooth val="0"/>
        <c:axId val="108975232"/>
        <c:axId val="108976768"/>
      </c:lineChart>
      <c:catAx>
        <c:axId val="108975232"/>
        <c:scaling>
          <c:orientation val="minMax"/>
        </c:scaling>
        <c:delete val="0"/>
        <c:axPos val="b"/>
        <c:majorGridlines/>
        <c:numFmt formatCode="General" sourceLinked="0"/>
        <c:majorTickMark val="none"/>
        <c:minorTickMark val="none"/>
        <c:tickLblPos val="nextTo"/>
        <c:crossAx val="108976768"/>
        <c:crossesAt val="0"/>
        <c:auto val="1"/>
        <c:lblAlgn val="ctr"/>
        <c:lblOffset val="100"/>
        <c:noMultiLvlLbl val="0"/>
      </c:catAx>
      <c:valAx>
        <c:axId val="108976768"/>
        <c:scaling>
          <c:orientation val="minMax"/>
          <c:max val="0.45"/>
          <c:min val="0"/>
        </c:scaling>
        <c:delete val="0"/>
        <c:axPos val="l"/>
        <c:majorGridlines/>
        <c:numFmt formatCode="0.00%" sourceLinked="0"/>
        <c:majorTickMark val="none"/>
        <c:minorTickMark val="none"/>
        <c:tickLblPos val="nextTo"/>
        <c:crossAx val="108975232"/>
        <c:crosses val="autoZero"/>
        <c:crossBetween val="between"/>
        <c:majorUnit val="0.05"/>
      </c:valAx>
      <c:dTable>
        <c:showHorzBorder val="1"/>
        <c:showVertBorder val="1"/>
        <c:showOutline val="1"/>
        <c:showKeys val="1"/>
      </c:dTable>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China</c:v>
                </c:pt>
              </c:strCache>
            </c:strRef>
          </c:tx>
          <c:cat>
            <c:numRef>
              <c:f>Sheet1!$A$2:$A$9</c:f>
              <c:numCache>
                <c:formatCode>General</c:formatCode>
                <c:ptCount val="8"/>
                <c:pt idx="0">
                  <c:v>2006</c:v>
                </c:pt>
                <c:pt idx="1">
                  <c:v>2007</c:v>
                </c:pt>
                <c:pt idx="2">
                  <c:v>2008</c:v>
                </c:pt>
                <c:pt idx="3">
                  <c:v>2009</c:v>
                </c:pt>
                <c:pt idx="4">
                  <c:v>2010</c:v>
                </c:pt>
                <c:pt idx="5">
                  <c:v>2011</c:v>
                </c:pt>
                <c:pt idx="6">
                  <c:v>2012</c:v>
                </c:pt>
                <c:pt idx="7">
                  <c:v>2013</c:v>
                </c:pt>
              </c:numCache>
            </c:numRef>
          </c:cat>
          <c:val>
            <c:numRef>
              <c:f>Sheet1!$B$2:$B$9</c:f>
              <c:numCache>
                <c:formatCode>0.00%</c:formatCode>
                <c:ptCount val="8"/>
                <c:pt idx="0">
                  <c:v>0.255</c:v>
                </c:pt>
                <c:pt idx="1">
                  <c:v>0.26800000000000002</c:v>
                </c:pt>
                <c:pt idx="2">
                  <c:v>0.27200000000000002</c:v>
                </c:pt>
                <c:pt idx="3">
                  <c:v>0.27800000000000002</c:v>
                </c:pt>
                <c:pt idx="4">
                  <c:v>0.28699999999999998</c:v>
                </c:pt>
                <c:pt idx="5">
                  <c:v>0.29499999999999998</c:v>
                </c:pt>
                <c:pt idx="6">
                  <c:v>0.30099999999999999</c:v>
                </c:pt>
                <c:pt idx="7">
                  <c:v>0.29199999999999998</c:v>
                </c:pt>
              </c:numCache>
            </c:numRef>
          </c:val>
          <c:smooth val="0"/>
        </c:ser>
        <c:ser>
          <c:idx val="1"/>
          <c:order val="1"/>
          <c:tx>
            <c:strRef>
              <c:f>Sheet1!$C$1</c:f>
              <c:strCache>
                <c:ptCount val="1"/>
                <c:pt idx="0">
                  <c:v>España</c:v>
                </c:pt>
              </c:strCache>
            </c:strRef>
          </c:tx>
          <c:cat>
            <c:numRef>
              <c:f>Sheet1!$A$2:$A$9</c:f>
              <c:numCache>
                <c:formatCode>General</c:formatCode>
                <c:ptCount val="8"/>
                <c:pt idx="0">
                  <c:v>2006</c:v>
                </c:pt>
                <c:pt idx="1">
                  <c:v>2007</c:v>
                </c:pt>
                <c:pt idx="2">
                  <c:v>2008</c:v>
                </c:pt>
                <c:pt idx="3">
                  <c:v>2009</c:v>
                </c:pt>
                <c:pt idx="4">
                  <c:v>2010</c:v>
                </c:pt>
                <c:pt idx="5">
                  <c:v>2011</c:v>
                </c:pt>
                <c:pt idx="6">
                  <c:v>2012</c:v>
                </c:pt>
                <c:pt idx="7">
                  <c:v>2013</c:v>
                </c:pt>
              </c:numCache>
            </c:numRef>
          </c:cat>
          <c:val>
            <c:numRef>
              <c:f>Sheet1!$C$2:$C$9</c:f>
              <c:numCache>
                <c:formatCode>0.00%</c:formatCode>
                <c:ptCount val="8"/>
                <c:pt idx="0">
                  <c:v>0.29499999999999998</c:v>
                </c:pt>
                <c:pt idx="1">
                  <c:v>0.29299999999999998</c:v>
                </c:pt>
                <c:pt idx="2">
                  <c:v>0.27900000000000003</c:v>
                </c:pt>
                <c:pt idx="3">
                  <c:v>0.247</c:v>
                </c:pt>
                <c:pt idx="4">
                  <c:v>0.23100000000000001</c:v>
                </c:pt>
                <c:pt idx="5">
                  <c:v>0.218</c:v>
                </c:pt>
                <c:pt idx="6">
                  <c:v>0.20699999999999999</c:v>
                </c:pt>
                <c:pt idx="7">
                  <c:v>0.19500000000000001</c:v>
                </c:pt>
              </c:numCache>
            </c:numRef>
          </c:val>
          <c:smooth val="0"/>
        </c:ser>
        <c:dLbls>
          <c:showLegendKey val="0"/>
          <c:showVal val="0"/>
          <c:showCatName val="0"/>
          <c:showSerName val="0"/>
          <c:showPercent val="0"/>
          <c:showBubbleSize val="0"/>
        </c:dLbls>
        <c:marker val="1"/>
        <c:smooth val="0"/>
        <c:axId val="109289856"/>
        <c:axId val="109291392"/>
      </c:lineChart>
      <c:catAx>
        <c:axId val="109289856"/>
        <c:scaling>
          <c:orientation val="minMax"/>
        </c:scaling>
        <c:delete val="0"/>
        <c:axPos val="b"/>
        <c:numFmt formatCode="General" sourceLinked="1"/>
        <c:majorTickMark val="none"/>
        <c:minorTickMark val="none"/>
        <c:tickLblPos val="nextTo"/>
        <c:crossAx val="109291392"/>
        <c:crosses val="autoZero"/>
        <c:auto val="1"/>
        <c:lblAlgn val="ctr"/>
        <c:lblOffset val="100"/>
        <c:noMultiLvlLbl val="0"/>
      </c:catAx>
      <c:valAx>
        <c:axId val="109291392"/>
        <c:scaling>
          <c:orientation val="minMax"/>
          <c:min val="0"/>
        </c:scaling>
        <c:delete val="0"/>
        <c:axPos val="l"/>
        <c:majorGridlines/>
        <c:numFmt formatCode="0.00%" sourceLinked="1"/>
        <c:majorTickMark val="none"/>
        <c:minorTickMark val="none"/>
        <c:tickLblPos val="nextTo"/>
        <c:crossAx val="10928985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China</c:v>
                </c:pt>
              </c:strCache>
            </c:strRef>
          </c:tx>
          <c:cat>
            <c:numRef>
              <c:f>Sheet1!$A$2:$A$9</c:f>
              <c:numCache>
                <c:formatCode>General</c:formatCode>
                <c:ptCount val="8"/>
                <c:pt idx="0">
                  <c:v>2006</c:v>
                </c:pt>
                <c:pt idx="1">
                  <c:v>2007</c:v>
                </c:pt>
                <c:pt idx="2">
                  <c:v>2008</c:v>
                </c:pt>
                <c:pt idx="3">
                  <c:v>2009</c:v>
                </c:pt>
                <c:pt idx="4">
                  <c:v>2010</c:v>
                </c:pt>
                <c:pt idx="5">
                  <c:v>2011</c:v>
                </c:pt>
                <c:pt idx="6">
                  <c:v>2012</c:v>
                </c:pt>
                <c:pt idx="7">
                  <c:v>2013</c:v>
                </c:pt>
              </c:numCache>
            </c:numRef>
          </c:cat>
          <c:val>
            <c:numRef>
              <c:f>Sheet1!$B$2:$B$9</c:f>
              <c:numCache>
                <c:formatCode>0.00%</c:formatCode>
                <c:ptCount val="8"/>
                <c:pt idx="0">
                  <c:v>0.32200000000000184</c:v>
                </c:pt>
                <c:pt idx="1">
                  <c:v>0.32400000000000184</c:v>
                </c:pt>
                <c:pt idx="2">
                  <c:v>0.33200000000000207</c:v>
                </c:pt>
                <c:pt idx="3">
                  <c:v>0.34100000000000008</c:v>
                </c:pt>
                <c:pt idx="4">
                  <c:v>0.34600000000000031</c:v>
                </c:pt>
                <c:pt idx="5">
                  <c:v>0.35700000000000032</c:v>
                </c:pt>
                <c:pt idx="6">
                  <c:v>0.37500000000000161</c:v>
                </c:pt>
                <c:pt idx="7">
                  <c:v>0.3910000000000019</c:v>
                </c:pt>
              </c:numCache>
            </c:numRef>
          </c:val>
          <c:smooth val="0"/>
        </c:ser>
        <c:ser>
          <c:idx val="1"/>
          <c:order val="1"/>
          <c:tx>
            <c:strRef>
              <c:f>Sheet1!$C$1</c:f>
              <c:strCache>
                <c:ptCount val="1"/>
                <c:pt idx="0">
                  <c:v>España</c:v>
                </c:pt>
              </c:strCache>
            </c:strRef>
          </c:tx>
          <c:cat>
            <c:numRef>
              <c:f>Sheet1!$A$2:$A$9</c:f>
              <c:numCache>
                <c:formatCode>General</c:formatCode>
                <c:ptCount val="8"/>
                <c:pt idx="0">
                  <c:v>2006</c:v>
                </c:pt>
                <c:pt idx="1">
                  <c:v>2007</c:v>
                </c:pt>
                <c:pt idx="2">
                  <c:v>2008</c:v>
                </c:pt>
                <c:pt idx="3">
                  <c:v>2009</c:v>
                </c:pt>
                <c:pt idx="4">
                  <c:v>2010</c:v>
                </c:pt>
                <c:pt idx="5">
                  <c:v>2011</c:v>
                </c:pt>
                <c:pt idx="6">
                  <c:v>2012</c:v>
                </c:pt>
                <c:pt idx="7">
                  <c:v>2013</c:v>
                </c:pt>
              </c:numCache>
            </c:numRef>
          </c:cat>
          <c:val>
            <c:numRef>
              <c:f>Sheet1!$C$2:$C$9</c:f>
              <c:numCache>
                <c:formatCode>0.00%</c:formatCode>
                <c:ptCount val="8"/>
                <c:pt idx="0">
                  <c:v>0.65700000000000414</c:v>
                </c:pt>
                <c:pt idx="1">
                  <c:v>0.66200000000000414</c:v>
                </c:pt>
                <c:pt idx="2">
                  <c:v>0.68100000000000005</c:v>
                </c:pt>
                <c:pt idx="3">
                  <c:v>0.71100000000000063</c:v>
                </c:pt>
                <c:pt idx="4">
                  <c:v>0.72600000000000064</c:v>
                </c:pt>
                <c:pt idx="5">
                  <c:v>0.74000000000000321</c:v>
                </c:pt>
                <c:pt idx="6">
                  <c:v>0.74900000000000322</c:v>
                </c:pt>
                <c:pt idx="7">
                  <c:v>0.76000000000000356</c:v>
                </c:pt>
              </c:numCache>
            </c:numRef>
          </c:val>
          <c:smooth val="0"/>
        </c:ser>
        <c:dLbls>
          <c:showLegendKey val="0"/>
          <c:showVal val="0"/>
          <c:showCatName val="0"/>
          <c:showSerName val="0"/>
          <c:showPercent val="0"/>
          <c:showBubbleSize val="0"/>
        </c:dLbls>
        <c:marker val="1"/>
        <c:smooth val="0"/>
        <c:axId val="109305216"/>
        <c:axId val="109307008"/>
      </c:lineChart>
      <c:catAx>
        <c:axId val="109305216"/>
        <c:scaling>
          <c:orientation val="minMax"/>
        </c:scaling>
        <c:delete val="0"/>
        <c:axPos val="b"/>
        <c:numFmt formatCode="General" sourceLinked="1"/>
        <c:majorTickMark val="none"/>
        <c:minorTickMark val="none"/>
        <c:tickLblPos val="nextTo"/>
        <c:crossAx val="109307008"/>
        <c:crosses val="autoZero"/>
        <c:auto val="1"/>
        <c:lblAlgn val="ctr"/>
        <c:lblOffset val="100"/>
        <c:noMultiLvlLbl val="0"/>
      </c:catAx>
      <c:valAx>
        <c:axId val="109307008"/>
        <c:scaling>
          <c:orientation val="minMax"/>
        </c:scaling>
        <c:delete val="0"/>
        <c:axPos val="l"/>
        <c:majorGridlines/>
        <c:numFmt formatCode="0.00%" sourceLinked="1"/>
        <c:majorTickMark val="none"/>
        <c:minorTickMark val="none"/>
        <c:tickLblPos val="nextTo"/>
        <c:crossAx val="10930521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Agricultura</c:v>
                </c:pt>
              </c:strCache>
            </c:strRef>
          </c:tx>
          <c:invertIfNegative val="0"/>
          <c:dLbls>
            <c:dLbl>
              <c:idx val="0"/>
              <c:layout>
                <c:manualLayout>
                  <c:x val="9.6315916205152903E-3"/>
                  <c:y val="-4.1279669762641765E-3"/>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China(Masculino)</c:v>
                </c:pt>
                <c:pt idx="1">
                  <c:v>China(Femenino)</c:v>
                </c:pt>
                <c:pt idx="2">
                  <c:v>España(Masculino)</c:v>
                </c:pt>
                <c:pt idx="3">
                  <c:v>España(Femenino)</c:v>
                </c:pt>
              </c:strCache>
            </c:strRef>
          </c:cat>
          <c:val>
            <c:numRef>
              <c:f>Sheet1!$B$2:$B$5</c:f>
              <c:numCache>
                <c:formatCode>0.00%</c:formatCode>
                <c:ptCount val="4"/>
                <c:pt idx="0">
                  <c:v>0.41700000000000031</c:v>
                </c:pt>
                <c:pt idx="1">
                  <c:v>0.39200000000000162</c:v>
                </c:pt>
                <c:pt idx="2">
                  <c:v>5.8000000000000003E-2</c:v>
                </c:pt>
                <c:pt idx="3">
                  <c:v>3.2000000000000042E-2</c:v>
                </c:pt>
              </c:numCache>
            </c:numRef>
          </c:val>
        </c:ser>
        <c:ser>
          <c:idx val="1"/>
          <c:order val="1"/>
          <c:tx>
            <c:strRef>
              <c:f>Sheet1!$C$1</c:f>
              <c:strCache>
                <c:ptCount val="1"/>
                <c:pt idx="0">
                  <c:v>Industria</c:v>
                </c:pt>
              </c:strCache>
            </c:strRef>
          </c:tx>
          <c:invertIfNegative val="0"/>
          <c:dLbls>
            <c:dLbl>
              <c:idx val="0"/>
              <c:layout>
                <c:manualLayout>
                  <c:x val="3.1302672766674894E-2"/>
                  <c:y val="4.1279669762641765E-3"/>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7.223693715386512E-3"/>
                  <c:y val="1.6511542868286981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7.2236937153866082E-3"/>
                  <c:y val="-2.0639834881321106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China(Masculino)</c:v>
                </c:pt>
                <c:pt idx="1">
                  <c:v>China(Femenino)</c:v>
                </c:pt>
                <c:pt idx="2">
                  <c:v>España(Masculino)</c:v>
                </c:pt>
                <c:pt idx="3">
                  <c:v>España(Femenino)</c:v>
                </c:pt>
              </c:strCache>
            </c:strRef>
          </c:cat>
          <c:val>
            <c:numRef>
              <c:f>Sheet1!$C$2:$C$5</c:f>
              <c:numCache>
                <c:formatCode>0.00%</c:formatCode>
                <c:ptCount val="4"/>
                <c:pt idx="0">
                  <c:v>0.32200000000000145</c:v>
                </c:pt>
                <c:pt idx="1">
                  <c:v>0.21300000000000024</c:v>
                </c:pt>
                <c:pt idx="2">
                  <c:v>0.41800000000000032</c:v>
                </c:pt>
                <c:pt idx="3">
                  <c:v>0.11600000000000002</c:v>
                </c:pt>
              </c:numCache>
            </c:numRef>
          </c:val>
        </c:ser>
        <c:ser>
          <c:idx val="2"/>
          <c:order val="2"/>
          <c:tx>
            <c:strRef>
              <c:f>Sheet1!$D$1</c:f>
              <c:strCache>
                <c:ptCount val="1"/>
                <c:pt idx="0">
                  <c:v>Servicios</c:v>
                </c:pt>
              </c:strCache>
            </c:strRef>
          </c:tx>
          <c:invertIfNegative val="0"/>
          <c:dLbls>
            <c:dLbl>
              <c:idx val="0"/>
              <c:layout>
                <c:manualLayout>
                  <c:x val="9.6315916205152903E-3"/>
                  <c:y val="6.1919504643962849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1671081146159402E-2"/>
                  <c:y val="0"/>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9.6315916205152903E-3"/>
                  <c:y val="-4.1279669762641765E-3"/>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China(Masculino)</c:v>
                </c:pt>
                <c:pt idx="1">
                  <c:v>China(Femenino)</c:v>
                </c:pt>
                <c:pt idx="2">
                  <c:v>España(Masculino)</c:v>
                </c:pt>
                <c:pt idx="3">
                  <c:v>España(Femenino)</c:v>
                </c:pt>
              </c:strCache>
            </c:strRef>
          </c:cat>
          <c:val>
            <c:numRef>
              <c:f>Sheet1!$D$2:$D$5</c:f>
              <c:numCache>
                <c:formatCode>0.00%</c:formatCode>
                <c:ptCount val="4"/>
                <c:pt idx="0">
                  <c:v>0.26100000000000001</c:v>
                </c:pt>
                <c:pt idx="1">
                  <c:v>0.39500000000000163</c:v>
                </c:pt>
                <c:pt idx="2">
                  <c:v>0.52400000000000002</c:v>
                </c:pt>
                <c:pt idx="3">
                  <c:v>0.85200000000000065</c:v>
                </c:pt>
              </c:numCache>
            </c:numRef>
          </c:val>
        </c:ser>
        <c:dLbls>
          <c:showLegendKey val="0"/>
          <c:showVal val="0"/>
          <c:showCatName val="0"/>
          <c:showSerName val="0"/>
          <c:showPercent val="0"/>
          <c:showBubbleSize val="0"/>
        </c:dLbls>
        <c:gapWidth val="150"/>
        <c:shape val="box"/>
        <c:axId val="111023232"/>
        <c:axId val="111024768"/>
        <c:axId val="0"/>
      </c:bar3DChart>
      <c:catAx>
        <c:axId val="111023232"/>
        <c:scaling>
          <c:orientation val="minMax"/>
        </c:scaling>
        <c:delete val="0"/>
        <c:axPos val="b"/>
        <c:numFmt formatCode="General" sourceLinked="0"/>
        <c:majorTickMark val="none"/>
        <c:minorTickMark val="none"/>
        <c:tickLblPos val="nextTo"/>
        <c:crossAx val="111024768"/>
        <c:crosses val="autoZero"/>
        <c:auto val="1"/>
        <c:lblAlgn val="ctr"/>
        <c:lblOffset val="100"/>
        <c:noMultiLvlLbl val="0"/>
      </c:catAx>
      <c:valAx>
        <c:axId val="111024768"/>
        <c:scaling>
          <c:orientation val="minMax"/>
        </c:scaling>
        <c:delete val="0"/>
        <c:axPos val="l"/>
        <c:majorGridlines/>
        <c:numFmt formatCode="0.00%" sourceLinked="1"/>
        <c:majorTickMark val="out"/>
        <c:minorTickMark val="none"/>
        <c:tickLblPos val="nextTo"/>
        <c:crossAx val="111023232"/>
        <c:crosses val="autoZero"/>
        <c:crossBetween val="between"/>
      </c:valAx>
    </c:plotArea>
    <c:legend>
      <c:legendPos val="r"/>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Agricultura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China(Masculino)</c:v>
                </c:pt>
                <c:pt idx="1">
                  <c:v>China(Femenino)</c:v>
                </c:pt>
                <c:pt idx="2">
                  <c:v>España(Masculino)</c:v>
                </c:pt>
                <c:pt idx="3">
                  <c:v>España(Femenino)</c:v>
                </c:pt>
              </c:strCache>
            </c:strRef>
          </c:cat>
          <c:val>
            <c:numRef>
              <c:f>Sheet1!$B$2:$B$5</c:f>
              <c:numCache>
                <c:formatCode>0.00%</c:formatCode>
                <c:ptCount val="4"/>
                <c:pt idx="0">
                  <c:v>0.21400000000000041</c:v>
                </c:pt>
                <c:pt idx="1">
                  <c:v>0.11</c:v>
                </c:pt>
                <c:pt idx="2">
                  <c:v>6.3E-2</c:v>
                </c:pt>
                <c:pt idx="3">
                  <c:v>2.4E-2</c:v>
                </c:pt>
              </c:numCache>
            </c:numRef>
          </c:val>
        </c:ser>
        <c:ser>
          <c:idx val="1"/>
          <c:order val="1"/>
          <c:tx>
            <c:strRef>
              <c:f>Sheet1!$C$1</c:f>
              <c:strCache>
                <c:ptCount val="1"/>
                <c:pt idx="0">
                  <c:v>Industria</c:v>
                </c:pt>
              </c:strCache>
            </c:strRef>
          </c:tx>
          <c:invertIfNegative val="0"/>
          <c:dLbls>
            <c:dLbl>
              <c:idx val="0"/>
              <c:layout>
                <c:manualLayout>
                  <c:x val="0"/>
                  <c:y val="-1.6511867905056762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0"/>
                  <c:y val="-4.1279669762641767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4.8157958102576452E-3"/>
                  <c:y val="0"/>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8.8288569937632077E-17"/>
                  <c:y val="-2.4767801857585207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China(Masculino)</c:v>
                </c:pt>
                <c:pt idx="1">
                  <c:v>China(Femenino)</c:v>
                </c:pt>
                <c:pt idx="2">
                  <c:v>España(Masculino)</c:v>
                </c:pt>
                <c:pt idx="3">
                  <c:v>España(Femenino)</c:v>
                </c:pt>
              </c:strCache>
            </c:strRef>
          </c:cat>
          <c:val>
            <c:numRef>
              <c:f>Sheet1!$C$2:$C$5</c:f>
              <c:numCache>
                <c:formatCode>0.00%</c:formatCode>
                <c:ptCount val="4"/>
                <c:pt idx="0">
                  <c:v>0.29500000000000032</c:v>
                </c:pt>
                <c:pt idx="1">
                  <c:v>0.13400000000000001</c:v>
                </c:pt>
                <c:pt idx="2">
                  <c:v>0.28900000000000031</c:v>
                </c:pt>
                <c:pt idx="3">
                  <c:v>8.2000000000000003E-2</c:v>
                </c:pt>
              </c:numCache>
            </c:numRef>
          </c:val>
        </c:ser>
        <c:ser>
          <c:idx val="2"/>
          <c:order val="2"/>
          <c:tx>
            <c:strRef>
              <c:f>Sheet1!$D$1</c:f>
              <c:strCache>
                <c:ptCount val="1"/>
                <c:pt idx="0">
                  <c:v>Servicios</c:v>
                </c:pt>
              </c:strCache>
            </c:strRef>
          </c:tx>
          <c:invertIfNegative val="0"/>
          <c:dLbls>
            <c:dLbl>
              <c:idx val="1"/>
              <c:layout>
                <c:manualLayout>
                  <c:x val="4.8157958102576452E-3"/>
                  <c:y val="1.6511867905056762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China(Masculino)</c:v>
                </c:pt>
                <c:pt idx="1">
                  <c:v>China(Femenino)</c:v>
                </c:pt>
                <c:pt idx="2">
                  <c:v>España(Masculino)</c:v>
                </c:pt>
                <c:pt idx="3">
                  <c:v>España(Femenino)</c:v>
                </c:pt>
              </c:strCache>
            </c:strRef>
          </c:cat>
          <c:val>
            <c:numRef>
              <c:f>Sheet1!$D$2:$D$5</c:f>
              <c:numCache>
                <c:formatCode>0.00%</c:formatCode>
                <c:ptCount val="4"/>
                <c:pt idx="0">
                  <c:v>0.49100000000000038</c:v>
                </c:pt>
                <c:pt idx="1">
                  <c:v>0.75600000000000334</c:v>
                </c:pt>
                <c:pt idx="2">
                  <c:v>0.64800000000000335</c:v>
                </c:pt>
                <c:pt idx="3">
                  <c:v>0.89400000000000002</c:v>
                </c:pt>
              </c:numCache>
            </c:numRef>
          </c:val>
        </c:ser>
        <c:dLbls>
          <c:showLegendKey val="0"/>
          <c:showVal val="0"/>
          <c:showCatName val="0"/>
          <c:showSerName val="0"/>
          <c:showPercent val="0"/>
          <c:showBubbleSize val="0"/>
        </c:dLbls>
        <c:gapWidth val="150"/>
        <c:shape val="box"/>
        <c:axId val="115619328"/>
        <c:axId val="115620864"/>
        <c:axId val="0"/>
      </c:bar3DChart>
      <c:catAx>
        <c:axId val="115619328"/>
        <c:scaling>
          <c:orientation val="minMax"/>
        </c:scaling>
        <c:delete val="0"/>
        <c:axPos val="b"/>
        <c:numFmt formatCode="General" sourceLinked="0"/>
        <c:majorTickMark val="none"/>
        <c:minorTickMark val="none"/>
        <c:tickLblPos val="nextTo"/>
        <c:crossAx val="115620864"/>
        <c:crosses val="autoZero"/>
        <c:auto val="1"/>
        <c:lblAlgn val="ctr"/>
        <c:lblOffset val="100"/>
        <c:noMultiLvlLbl val="0"/>
      </c:catAx>
      <c:valAx>
        <c:axId val="115620864"/>
        <c:scaling>
          <c:orientation val="minMax"/>
        </c:scaling>
        <c:delete val="0"/>
        <c:axPos val="l"/>
        <c:majorGridlines/>
        <c:numFmt formatCode="0.00%" sourceLinked="1"/>
        <c:majorTickMark val="out"/>
        <c:minorTickMark val="none"/>
        <c:tickLblPos val="nextTo"/>
        <c:crossAx val="115619328"/>
        <c:crosses val="autoZero"/>
        <c:crossBetween val="between"/>
      </c:valAx>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España</c:v>
                </c:pt>
              </c:strCache>
            </c:strRef>
          </c:tx>
          <c:marker>
            <c:symbol val="none"/>
          </c:marker>
          <c:cat>
            <c:numRef>
              <c:f>Sheet1!$A$2:$A$8</c:f>
              <c:numCache>
                <c:formatCode>General</c:formatCode>
                <c:ptCount val="7"/>
                <c:pt idx="0">
                  <c:v>2006</c:v>
                </c:pt>
                <c:pt idx="1">
                  <c:v>2007</c:v>
                </c:pt>
                <c:pt idx="2">
                  <c:v>2008</c:v>
                </c:pt>
                <c:pt idx="3">
                  <c:v>2009</c:v>
                </c:pt>
                <c:pt idx="4">
                  <c:v>2010</c:v>
                </c:pt>
                <c:pt idx="5">
                  <c:v>2011</c:v>
                </c:pt>
                <c:pt idx="6">
                  <c:v>2012</c:v>
                </c:pt>
              </c:numCache>
            </c:numRef>
          </c:cat>
          <c:val>
            <c:numRef>
              <c:f>Sheet1!$B$2:$B$8</c:f>
              <c:numCache>
                <c:formatCode>0.00%</c:formatCode>
                <c:ptCount val="7"/>
                <c:pt idx="0">
                  <c:v>0.31500000000000122</c:v>
                </c:pt>
                <c:pt idx="1">
                  <c:v>0.31800000000000139</c:v>
                </c:pt>
                <c:pt idx="2">
                  <c:v>0.31700000000000139</c:v>
                </c:pt>
                <c:pt idx="3">
                  <c:v>0.3210000000000014</c:v>
                </c:pt>
                <c:pt idx="4">
                  <c:v>0.33100000000000157</c:v>
                </c:pt>
                <c:pt idx="5">
                  <c:v>0.34</c:v>
                </c:pt>
                <c:pt idx="6">
                  <c:v>0.34800000000000031</c:v>
                </c:pt>
              </c:numCache>
            </c:numRef>
          </c:val>
          <c:smooth val="0"/>
        </c:ser>
        <c:ser>
          <c:idx val="1"/>
          <c:order val="1"/>
          <c:tx>
            <c:strRef>
              <c:f>Sheet1!$C$1</c:f>
              <c:strCache>
                <c:ptCount val="1"/>
                <c:pt idx="0">
                  <c:v>China</c:v>
                </c:pt>
              </c:strCache>
            </c:strRef>
          </c:tx>
          <c:marker>
            <c:symbol val="none"/>
          </c:marker>
          <c:cat>
            <c:numRef>
              <c:f>Sheet1!$A$2:$A$8</c:f>
              <c:numCache>
                <c:formatCode>General</c:formatCode>
                <c:ptCount val="7"/>
                <c:pt idx="0">
                  <c:v>2006</c:v>
                </c:pt>
                <c:pt idx="1">
                  <c:v>2007</c:v>
                </c:pt>
                <c:pt idx="2">
                  <c:v>2008</c:v>
                </c:pt>
                <c:pt idx="3">
                  <c:v>2009</c:v>
                </c:pt>
                <c:pt idx="4">
                  <c:v>2010</c:v>
                </c:pt>
                <c:pt idx="5">
                  <c:v>2011</c:v>
                </c:pt>
                <c:pt idx="6">
                  <c:v>2012</c:v>
                </c:pt>
              </c:numCache>
            </c:numRef>
          </c:cat>
          <c:val>
            <c:numRef>
              <c:f>Sheet1!$C$2:$C$8</c:f>
              <c:numCache>
                <c:formatCode>0.00%</c:formatCode>
                <c:ptCount val="7"/>
                <c:pt idx="0">
                  <c:v>6.6000000000000003E-2</c:v>
                </c:pt>
                <c:pt idx="1">
                  <c:v>7.0000000000000021E-2</c:v>
                </c:pt>
                <c:pt idx="2">
                  <c:v>7.3000000000000009E-2</c:v>
                </c:pt>
                <c:pt idx="3">
                  <c:v>8.1000000000000003E-2</c:v>
                </c:pt>
                <c:pt idx="4">
                  <c:v>9.3000000000000208E-2</c:v>
                </c:pt>
                <c:pt idx="5">
                  <c:v>0.11</c:v>
                </c:pt>
                <c:pt idx="6">
                  <c:v>0.13600000000000001</c:v>
                </c:pt>
              </c:numCache>
            </c:numRef>
          </c:val>
          <c:smooth val="0"/>
        </c:ser>
        <c:dLbls>
          <c:showLegendKey val="0"/>
          <c:showVal val="0"/>
          <c:showCatName val="0"/>
          <c:showSerName val="0"/>
          <c:showPercent val="0"/>
          <c:showBubbleSize val="0"/>
        </c:dLbls>
        <c:marker val="1"/>
        <c:smooth val="0"/>
        <c:axId val="115629440"/>
        <c:axId val="115635328"/>
      </c:lineChart>
      <c:catAx>
        <c:axId val="115629440"/>
        <c:scaling>
          <c:orientation val="minMax"/>
        </c:scaling>
        <c:delete val="0"/>
        <c:axPos val="b"/>
        <c:numFmt formatCode="General" sourceLinked="1"/>
        <c:majorTickMark val="none"/>
        <c:minorTickMark val="none"/>
        <c:tickLblPos val="nextTo"/>
        <c:crossAx val="115635328"/>
        <c:crosses val="autoZero"/>
        <c:auto val="1"/>
        <c:lblAlgn val="ctr"/>
        <c:lblOffset val="100"/>
        <c:noMultiLvlLbl val="0"/>
      </c:catAx>
      <c:valAx>
        <c:axId val="115635328"/>
        <c:scaling>
          <c:orientation val="minMax"/>
        </c:scaling>
        <c:delete val="0"/>
        <c:axPos val="l"/>
        <c:majorGridlines/>
        <c:numFmt formatCode="0%" sourceLinked="0"/>
        <c:majorTickMark val="none"/>
        <c:minorTickMark val="none"/>
        <c:tickLblPos val="nextTo"/>
        <c:crossAx val="11562944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China</c:v>
                </c:pt>
              </c:strCache>
            </c:strRef>
          </c:tx>
          <c:cat>
            <c:numRef>
              <c:f>Sheet1!$A$2:$A$9</c:f>
              <c:numCache>
                <c:formatCode>General</c:formatCode>
                <c:ptCount val="8"/>
                <c:pt idx="0">
                  <c:v>2006</c:v>
                </c:pt>
                <c:pt idx="1">
                  <c:v>2007</c:v>
                </c:pt>
                <c:pt idx="2">
                  <c:v>2008</c:v>
                </c:pt>
                <c:pt idx="3">
                  <c:v>2009</c:v>
                </c:pt>
                <c:pt idx="4">
                  <c:v>2010</c:v>
                </c:pt>
                <c:pt idx="5">
                  <c:v>2011</c:v>
                </c:pt>
                <c:pt idx="6">
                  <c:v>2012</c:v>
                </c:pt>
                <c:pt idx="7">
                  <c:v>2013</c:v>
                </c:pt>
              </c:numCache>
            </c:numRef>
          </c:cat>
          <c:val>
            <c:numRef>
              <c:f>Sheet1!$B$2:$B$9</c:f>
              <c:numCache>
                <c:formatCode>0.00%</c:formatCode>
                <c:ptCount val="8"/>
                <c:pt idx="1">
                  <c:v>0.18531837360951284</c:v>
                </c:pt>
                <c:pt idx="2">
                  <c:v>0.16896565672909691</c:v>
                </c:pt>
                <c:pt idx="3">
                  <c:v>0.11578655962350352</c:v>
                </c:pt>
                <c:pt idx="4">
                  <c:v>0.13320307654137256</c:v>
                </c:pt>
                <c:pt idx="5">
                  <c:v>0.14395577328334108</c:v>
                </c:pt>
                <c:pt idx="6">
                  <c:v>0.11890236608531304</c:v>
                </c:pt>
                <c:pt idx="7">
                  <c:v>0.10079326049306191</c:v>
                </c:pt>
              </c:numCache>
            </c:numRef>
          </c:val>
          <c:smooth val="0"/>
        </c:ser>
        <c:ser>
          <c:idx val="1"/>
          <c:order val="1"/>
          <c:tx>
            <c:strRef>
              <c:f>Sheet1!$C$1</c:f>
              <c:strCache>
                <c:ptCount val="1"/>
                <c:pt idx="0">
                  <c:v>España</c:v>
                </c:pt>
              </c:strCache>
            </c:strRef>
          </c:tx>
          <c:cat>
            <c:numRef>
              <c:f>Sheet1!$A$2:$A$9</c:f>
              <c:numCache>
                <c:formatCode>General</c:formatCode>
                <c:ptCount val="8"/>
                <c:pt idx="0">
                  <c:v>2006</c:v>
                </c:pt>
                <c:pt idx="1">
                  <c:v>2007</c:v>
                </c:pt>
                <c:pt idx="2">
                  <c:v>2008</c:v>
                </c:pt>
                <c:pt idx="3">
                  <c:v>2009</c:v>
                </c:pt>
                <c:pt idx="4">
                  <c:v>2010</c:v>
                </c:pt>
                <c:pt idx="5">
                  <c:v>2011</c:v>
                </c:pt>
                <c:pt idx="6">
                  <c:v>2012</c:v>
                </c:pt>
                <c:pt idx="7">
                  <c:v>2013</c:v>
                </c:pt>
              </c:numCache>
            </c:numRef>
          </c:cat>
          <c:val>
            <c:numRef>
              <c:f>Sheet1!$C$2:$C$9</c:f>
              <c:numCache>
                <c:formatCode>0.00%</c:formatCode>
                <c:ptCount val="8"/>
                <c:pt idx="1">
                  <c:v>3.6048692944624414E-2</c:v>
                </c:pt>
                <c:pt idx="2">
                  <c:v>7.3224343868545649E-2</c:v>
                </c:pt>
                <c:pt idx="3">
                  <c:v>2.8699810175923449E-2</c:v>
                </c:pt>
                <c:pt idx="4">
                  <c:v>1.2381688090560086E-2</c:v>
                </c:pt>
                <c:pt idx="5">
                  <c:v>4.7893392774086309E-3</c:v>
                </c:pt>
                <c:pt idx="6">
                  <c:v>-7.5508693478199239E-3</c:v>
                </c:pt>
                <c:pt idx="7">
                  <c:v>-1.2575660772209858E-3</c:v>
                </c:pt>
              </c:numCache>
            </c:numRef>
          </c:val>
          <c:smooth val="0"/>
        </c:ser>
        <c:dLbls>
          <c:showLegendKey val="0"/>
          <c:showVal val="0"/>
          <c:showCatName val="0"/>
          <c:showSerName val="0"/>
          <c:showPercent val="0"/>
          <c:showBubbleSize val="0"/>
        </c:dLbls>
        <c:marker val="1"/>
        <c:smooth val="0"/>
        <c:axId val="108931712"/>
        <c:axId val="108937600"/>
      </c:lineChart>
      <c:catAx>
        <c:axId val="108931712"/>
        <c:scaling>
          <c:orientation val="minMax"/>
        </c:scaling>
        <c:delete val="0"/>
        <c:axPos val="b"/>
        <c:numFmt formatCode="General" sourceLinked="1"/>
        <c:majorTickMark val="none"/>
        <c:minorTickMark val="none"/>
        <c:tickLblPos val="nextTo"/>
        <c:crossAx val="108937600"/>
        <c:crosses val="autoZero"/>
        <c:auto val="1"/>
        <c:lblAlgn val="ctr"/>
        <c:lblOffset val="100"/>
        <c:noMultiLvlLbl val="0"/>
      </c:catAx>
      <c:valAx>
        <c:axId val="108937600"/>
        <c:scaling>
          <c:orientation val="minMax"/>
        </c:scaling>
        <c:delete val="0"/>
        <c:axPos val="l"/>
        <c:majorGridlines/>
        <c:numFmt formatCode="0.00%" sourceLinked="0"/>
        <c:majorTickMark val="none"/>
        <c:minorTickMark val="none"/>
        <c:tickLblPos val="nextTo"/>
        <c:crossAx val="10893171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a:t>Salario anual medio por ciudad</a:t>
            </a:r>
          </a:p>
        </c:rich>
      </c:tx>
      <c:overlay val="0"/>
    </c:title>
    <c:autoTitleDeleted val="0"/>
    <c:plotArea>
      <c:layout>
        <c:manualLayout>
          <c:layoutTarget val="inner"/>
          <c:xMode val="edge"/>
          <c:yMode val="edge"/>
          <c:x val="0.14835267551584938"/>
          <c:y val="0.13508762626530449"/>
          <c:w val="0.78261289154410763"/>
          <c:h val="0.63376811879658013"/>
        </c:manualLayout>
      </c:layout>
      <c:barChart>
        <c:barDir val="col"/>
        <c:grouping val="clustered"/>
        <c:varyColors val="0"/>
        <c:ser>
          <c:idx val="0"/>
          <c:order val="0"/>
          <c:tx>
            <c:strRef>
              <c:f>Sheet1!$B$1</c:f>
              <c:strCache>
                <c:ptCount val="1"/>
                <c:pt idx="0">
                  <c:v>Salario (por año) por región</c:v>
                </c:pt>
              </c:strCache>
            </c:strRef>
          </c:tx>
          <c:invertIfNegative val="0"/>
          <c:dLbls>
            <c:delete val="1"/>
          </c:dLbls>
          <c:cat>
            <c:strRef>
              <c:f>Sheet1!$A$2:$A$25</c:f>
              <c:strCache>
                <c:ptCount val="24"/>
                <c:pt idx="0">
                  <c:v>Shanghai</c:v>
                </c:pt>
                <c:pt idx="1">
                  <c:v>Shenzhen</c:v>
                </c:pt>
                <c:pt idx="2">
                  <c:v>Beijing</c:v>
                </c:pt>
                <c:pt idx="3">
                  <c:v>Guangzhou</c:v>
                </c:pt>
                <c:pt idx="4">
                  <c:v>Hangzhou</c:v>
                </c:pt>
                <c:pt idx="5">
                  <c:v>Nanjing</c:v>
                </c:pt>
                <c:pt idx="6">
                  <c:v>Dalian</c:v>
                </c:pt>
                <c:pt idx="7">
                  <c:v>Suzhou</c:v>
                </c:pt>
                <c:pt idx="8">
                  <c:v>Chendu</c:v>
                </c:pt>
                <c:pt idx="9">
                  <c:v>Xiamen</c:v>
                </c:pt>
                <c:pt idx="10">
                  <c:v>Tianjin</c:v>
                </c:pt>
                <c:pt idx="11">
                  <c:v>Chongqin</c:v>
                </c:pt>
                <c:pt idx="12">
                  <c:v>Wuhan</c:v>
                </c:pt>
                <c:pt idx="13">
                  <c:v>Xi"an</c:v>
                </c:pt>
                <c:pt idx="14">
                  <c:v>Changsha</c:v>
                </c:pt>
                <c:pt idx="15">
                  <c:v>Hefei</c:v>
                </c:pt>
                <c:pt idx="16">
                  <c:v>Changchun</c:v>
                </c:pt>
                <c:pt idx="17">
                  <c:v>Qindao</c:v>
                </c:pt>
                <c:pt idx="18">
                  <c:v>Jinan</c:v>
                </c:pt>
                <c:pt idx="19">
                  <c:v>Fuzhou</c:v>
                </c:pt>
                <c:pt idx="20">
                  <c:v>Shenyang</c:v>
                </c:pt>
                <c:pt idx="21">
                  <c:v>Zhenzhou</c:v>
                </c:pt>
                <c:pt idx="22">
                  <c:v>Shijiazhuang</c:v>
                </c:pt>
                <c:pt idx="23">
                  <c:v>Ha'erbing</c:v>
                </c:pt>
              </c:strCache>
            </c:strRef>
          </c:cat>
          <c:val>
            <c:numRef>
              <c:f>Sheet1!$B$2:$B$25</c:f>
              <c:numCache>
                <c:formatCode>General</c:formatCode>
                <c:ptCount val="24"/>
                <c:pt idx="0">
                  <c:v>85344</c:v>
                </c:pt>
                <c:pt idx="1">
                  <c:v>81444</c:v>
                </c:pt>
                <c:pt idx="2">
                  <c:v>65436</c:v>
                </c:pt>
                <c:pt idx="3">
                  <c:v>59004</c:v>
                </c:pt>
                <c:pt idx="4">
                  <c:v>55140</c:v>
                </c:pt>
                <c:pt idx="5">
                  <c:v>53520</c:v>
                </c:pt>
                <c:pt idx="6">
                  <c:v>52368</c:v>
                </c:pt>
                <c:pt idx="7">
                  <c:v>48108</c:v>
                </c:pt>
                <c:pt idx="8">
                  <c:v>46992</c:v>
                </c:pt>
                <c:pt idx="9">
                  <c:v>45828</c:v>
                </c:pt>
                <c:pt idx="10">
                  <c:v>45720</c:v>
                </c:pt>
                <c:pt idx="11">
                  <c:v>40440</c:v>
                </c:pt>
                <c:pt idx="12">
                  <c:v>38940</c:v>
                </c:pt>
                <c:pt idx="13">
                  <c:v>38844</c:v>
                </c:pt>
                <c:pt idx="14">
                  <c:v>37932</c:v>
                </c:pt>
                <c:pt idx="15">
                  <c:v>37812</c:v>
                </c:pt>
                <c:pt idx="16">
                  <c:v>35592</c:v>
                </c:pt>
                <c:pt idx="17">
                  <c:v>35280</c:v>
                </c:pt>
                <c:pt idx="18">
                  <c:v>35064</c:v>
                </c:pt>
                <c:pt idx="19">
                  <c:v>34332</c:v>
                </c:pt>
                <c:pt idx="20">
                  <c:v>33516</c:v>
                </c:pt>
                <c:pt idx="21">
                  <c:v>32292</c:v>
                </c:pt>
                <c:pt idx="22">
                  <c:v>28092</c:v>
                </c:pt>
                <c:pt idx="23">
                  <c:v>26640</c:v>
                </c:pt>
              </c:numCache>
            </c:numRef>
          </c:val>
        </c:ser>
        <c:dLbls>
          <c:showLegendKey val="0"/>
          <c:showVal val="1"/>
          <c:showCatName val="0"/>
          <c:showSerName val="0"/>
          <c:showPercent val="0"/>
          <c:showBubbleSize val="0"/>
        </c:dLbls>
        <c:gapWidth val="75"/>
        <c:axId val="115791744"/>
        <c:axId val="115802112"/>
      </c:barChart>
      <c:catAx>
        <c:axId val="115791744"/>
        <c:scaling>
          <c:orientation val="minMax"/>
        </c:scaling>
        <c:delete val="0"/>
        <c:axPos val="b"/>
        <c:title>
          <c:tx>
            <c:rich>
              <a:bodyPr/>
              <a:lstStyle/>
              <a:p>
                <a:pPr>
                  <a:defRPr/>
                </a:pPr>
                <a:r>
                  <a:rPr lang="es-ES"/>
                  <a:t>Ciudad</a:t>
                </a:r>
              </a:p>
            </c:rich>
          </c:tx>
          <c:layout>
            <c:manualLayout>
              <c:xMode val="edge"/>
              <c:yMode val="edge"/>
              <c:x val="5.68343584391139E-2"/>
              <c:y val="0.8412004007611773"/>
            </c:manualLayout>
          </c:layout>
          <c:overlay val="0"/>
        </c:title>
        <c:numFmt formatCode="General" sourceLinked="0"/>
        <c:majorTickMark val="none"/>
        <c:minorTickMark val="none"/>
        <c:tickLblPos val="nextTo"/>
        <c:crossAx val="115802112"/>
        <c:crosses val="autoZero"/>
        <c:auto val="1"/>
        <c:lblAlgn val="ctr"/>
        <c:lblOffset val="100"/>
        <c:noMultiLvlLbl val="0"/>
      </c:catAx>
      <c:valAx>
        <c:axId val="115802112"/>
        <c:scaling>
          <c:orientation val="minMax"/>
        </c:scaling>
        <c:delete val="0"/>
        <c:axPos val="l"/>
        <c:title>
          <c:tx>
            <c:rich>
              <a:bodyPr rot="-5400000" vert="horz"/>
              <a:lstStyle/>
              <a:p>
                <a:pPr>
                  <a:defRPr/>
                </a:pPr>
                <a:r>
                  <a:rPr lang="es-ES"/>
                  <a:t>RMB</a:t>
                </a:r>
              </a:p>
            </c:rich>
          </c:tx>
          <c:overlay val="0"/>
        </c:title>
        <c:numFmt formatCode="General" sourceLinked="1"/>
        <c:majorTickMark val="none"/>
        <c:minorTickMark val="none"/>
        <c:tickLblPos val="nextTo"/>
        <c:crossAx val="115791744"/>
        <c:crosses val="autoZero"/>
        <c:crossBetween val="between"/>
      </c:valAx>
    </c:plotArea>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Hoja1!$B$1</c:f>
              <c:strCache>
                <c:ptCount val="1"/>
                <c:pt idx="0">
                  <c:v>China</c:v>
                </c:pt>
              </c:strCache>
            </c:strRef>
          </c:tx>
          <c:dLbls>
            <c:dLbl>
              <c:idx val="0"/>
              <c:layout>
                <c:manualLayout>
                  <c:x val="-2.4067388688327317E-2"/>
                  <c:y val="-6.1919504643962849E-2"/>
                </c:manualLayout>
              </c:layout>
              <c:showLegendKey val="0"/>
              <c:showVal val="1"/>
              <c:showCatName val="0"/>
              <c:showSerName val="0"/>
              <c:showPercent val="0"/>
              <c:showBubbleSize val="0"/>
            </c:dLbl>
            <c:dLbl>
              <c:idx val="14"/>
              <c:layout>
                <c:manualLayout>
                  <c:x val="-4.5728228014819447E-2"/>
                  <c:y val="5.3663245654664724E-2"/>
                </c:manualLayout>
              </c:layout>
              <c:showLegendKey val="0"/>
              <c:showVal val="1"/>
              <c:showCatName val="0"/>
              <c:showSerName val="0"/>
              <c:showPercent val="0"/>
              <c:showBubbleSize val="0"/>
            </c:dLbl>
            <c:showLegendKey val="0"/>
            <c:showVal val="0"/>
            <c:showCatName val="0"/>
            <c:showSerName val="0"/>
            <c:showPercent val="0"/>
            <c:showBubbleSize val="0"/>
          </c:dLbls>
          <c:cat>
            <c:numRef>
              <c:f>Hoja1!$A$2:$A$16</c:f>
              <c:numCache>
                <c:formatCode>General</c:formatCod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numCache>
            </c:numRef>
          </c:cat>
          <c:val>
            <c:numRef>
              <c:f>Hoja1!$B$2:$B$16</c:f>
              <c:numCache>
                <c:formatCode>0.0</c:formatCode>
                <c:ptCount val="15"/>
                <c:pt idx="0">
                  <c:v>4.5</c:v>
                </c:pt>
                <c:pt idx="1">
                  <c:v>4.5</c:v>
                </c:pt>
                <c:pt idx="2">
                  <c:v>4.4000000950000002</c:v>
                </c:pt>
                <c:pt idx="3">
                  <c:v>4.3000001909999996</c:v>
                </c:pt>
                <c:pt idx="4">
                  <c:v>4.3000001909999996</c:v>
                </c:pt>
                <c:pt idx="5">
                  <c:v>4.0999999049999998</c:v>
                </c:pt>
                <c:pt idx="6">
                  <c:v>4</c:v>
                </c:pt>
                <c:pt idx="7">
                  <c:v>3.7999999519999998</c:v>
                </c:pt>
                <c:pt idx="8">
                  <c:v>4.4000000950000002</c:v>
                </c:pt>
                <c:pt idx="9">
                  <c:v>4.4000000950000002</c:v>
                </c:pt>
                <c:pt idx="10">
                  <c:v>4.1999998090000004</c:v>
                </c:pt>
                <c:pt idx="11">
                  <c:v>4.3000001909999996</c:v>
                </c:pt>
                <c:pt idx="12">
                  <c:v>4.5</c:v>
                </c:pt>
                <c:pt idx="13">
                  <c:v>4.5999999049999998</c:v>
                </c:pt>
                <c:pt idx="14">
                  <c:v>4.6999998090000004</c:v>
                </c:pt>
              </c:numCache>
            </c:numRef>
          </c:val>
          <c:smooth val="0"/>
        </c:ser>
        <c:ser>
          <c:idx val="1"/>
          <c:order val="1"/>
          <c:tx>
            <c:strRef>
              <c:f>Hoja1!$C$1</c:f>
              <c:strCache>
                <c:ptCount val="1"/>
                <c:pt idx="0">
                  <c:v>España</c:v>
                </c:pt>
              </c:strCache>
            </c:strRef>
          </c:tx>
          <c:dLbls>
            <c:dLbl>
              <c:idx val="0"/>
              <c:layout>
                <c:manualLayout>
                  <c:x val="-2.6474127557160047E-2"/>
                  <c:y val="4.9535603715170205E-2"/>
                </c:manualLayout>
              </c:layout>
              <c:showLegendKey val="0"/>
              <c:showVal val="1"/>
              <c:showCatName val="0"/>
              <c:showSerName val="0"/>
              <c:showPercent val="0"/>
              <c:showBubbleSize val="0"/>
            </c:dLbl>
            <c:dLbl>
              <c:idx val="14"/>
              <c:layout>
                <c:manualLayout>
                  <c:x val="-4.813496688365218E-2"/>
                  <c:y val="-5.3663570691434466E-2"/>
                </c:manualLayout>
              </c:layout>
              <c:showLegendKey val="0"/>
              <c:showVal val="1"/>
              <c:showCatName val="0"/>
              <c:showSerName val="0"/>
              <c:showPercent val="0"/>
              <c:showBubbleSize val="0"/>
            </c:dLbl>
            <c:showLegendKey val="0"/>
            <c:showVal val="0"/>
            <c:showCatName val="0"/>
            <c:showSerName val="0"/>
            <c:showPercent val="0"/>
            <c:showBubbleSize val="0"/>
          </c:dLbls>
          <c:cat>
            <c:numRef>
              <c:f>Hoja1!$A$2:$A$16</c:f>
              <c:numCache>
                <c:formatCode>General</c:formatCod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numCache>
            </c:numRef>
          </c:cat>
          <c:val>
            <c:numRef>
              <c:f>Hoja1!$C$2:$C$16</c:f>
              <c:numCache>
                <c:formatCode>0.0</c:formatCode>
                <c:ptCount val="15"/>
                <c:pt idx="0">
                  <c:v>14.19999981</c:v>
                </c:pt>
                <c:pt idx="1">
                  <c:v>10.69999981</c:v>
                </c:pt>
                <c:pt idx="2">
                  <c:v>11.600000380000001</c:v>
                </c:pt>
                <c:pt idx="3">
                  <c:v>11.5</c:v>
                </c:pt>
                <c:pt idx="4">
                  <c:v>11.19999981</c:v>
                </c:pt>
                <c:pt idx="5">
                  <c:v>9.3000001910000005</c:v>
                </c:pt>
                <c:pt idx="6">
                  <c:v>8.6000003809999992</c:v>
                </c:pt>
                <c:pt idx="7">
                  <c:v>8.3999996190000008</c:v>
                </c:pt>
                <c:pt idx="8">
                  <c:v>11.5</c:v>
                </c:pt>
                <c:pt idx="9">
                  <c:v>18.100000380000001</c:v>
                </c:pt>
                <c:pt idx="10">
                  <c:v>20.200000760000002</c:v>
                </c:pt>
                <c:pt idx="11">
                  <c:v>21.700000760000002</c:v>
                </c:pt>
                <c:pt idx="12">
                  <c:v>25.200000760000002</c:v>
                </c:pt>
                <c:pt idx="13">
                  <c:v>26.299999239999998</c:v>
                </c:pt>
                <c:pt idx="14">
                  <c:v>24.700000760000002</c:v>
                </c:pt>
              </c:numCache>
            </c:numRef>
          </c:val>
          <c:smooth val="0"/>
        </c:ser>
        <c:dLbls>
          <c:showLegendKey val="0"/>
          <c:showVal val="0"/>
          <c:showCatName val="0"/>
          <c:showSerName val="0"/>
          <c:showPercent val="0"/>
          <c:showBubbleSize val="0"/>
        </c:dLbls>
        <c:marker val="1"/>
        <c:smooth val="0"/>
        <c:axId val="115811840"/>
        <c:axId val="115813376"/>
      </c:lineChart>
      <c:catAx>
        <c:axId val="115811840"/>
        <c:scaling>
          <c:orientation val="minMax"/>
        </c:scaling>
        <c:delete val="0"/>
        <c:axPos val="b"/>
        <c:numFmt formatCode="General" sourceLinked="1"/>
        <c:majorTickMark val="out"/>
        <c:minorTickMark val="none"/>
        <c:tickLblPos val="nextTo"/>
        <c:txPr>
          <a:bodyPr rot="5400000" vert="horz"/>
          <a:lstStyle/>
          <a:p>
            <a:pPr>
              <a:defRPr/>
            </a:pPr>
            <a:endParaRPr lang="es-ES"/>
          </a:p>
        </c:txPr>
        <c:crossAx val="115813376"/>
        <c:crosses val="autoZero"/>
        <c:auto val="1"/>
        <c:lblAlgn val="ctr"/>
        <c:lblOffset val="100"/>
        <c:noMultiLvlLbl val="0"/>
      </c:catAx>
      <c:valAx>
        <c:axId val="115813376"/>
        <c:scaling>
          <c:orientation val="minMax"/>
        </c:scaling>
        <c:delete val="0"/>
        <c:axPos val="l"/>
        <c:majorGridlines/>
        <c:numFmt formatCode="0.0" sourceLinked="1"/>
        <c:majorTickMark val="out"/>
        <c:minorTickMark val="none"/>
        <c:tickLblPos val="nextTo"/>
        <c:crossAx val="115811840"/>
        <c:crosses val="autoZero"/>
        <c:crossBetween val="between"/>
      </c:valAx>
    </c:plotArea>
    <c:legend>
      <c:legendPos val="r"/>
      <c:overlay val="0"/>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Hoja1!$B$1</c:f>
              <c:strCache>
                <c:ptCount val="1"/>
                <c:pt idx="0">
                  <c:v>China</c:v>
                </c:pt>
              </c:strCache>
            </c:strRef>
          </c:tx>
          <c:dLbls>
            <c:dLbl>
              <c:idx val="0"/>
              <c:layout>
                <c:manualLayout>
                  <c:x val="-2.4067388688327317E-2"/>
                  <c:y val="-6.1919504643962849E-2"/>
                </c:manualLayout>
              </c:layout>
              <c:showLegendKey val="0"/>
              <c:showVal val="1"/>
              <c:showCatName val="0"/>
              <c:showSerName val="0"/>
              <c:showPercent val="0"/>
              <c:showBubbleSize val="0"/>
            </c:dLbl>
            <c:dLbl>
              <c:idx val="14"/>
              <c:layout>
                <c:manualLayout>
                  <c:x val="-4.5728228014819447E-2"/>
                  <c:y val="5.3663245654664724E-2"/>
                </c:manualLayout>
              </c:layout>
              <c:showLegendKey val="0"/>
              <c:showVal val="1"/>
              <c:showCatName val="0"/>
              <c:showSerName val="0"/>
              <c:showPercent val="0"/>
              <c:showBubbleSize val="0"/>
            </c:dLbl>
            <c:showLegendKey val="0"/>
            <c:showVal val="0"/>
            <c:showCatName val="0"/>
            <c:showSerName val="0"/>
            <c:showPercent val="0"/>
            <c:showBubbleSize val="0"/>
          </c:dLbls>
          <c:cat>
            <c:numRef>
              <c:f>Hoja1!$A$2:$A$16</c:f>
              <c:numCache>
                <c:formatCode>General</c:formatCod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numCache>
            </c:numRef>
          </c:cat>
          <c:val>
            <c:numRef>
              <c:f>Hoja1!$B$2:$B$16</c:f>
              <c:numCache>
                <c:formatCode>0.0</c:formatCode>
                <c:ptCount val="15"/>
                <c:pt idx="0">
                  <c:v>9.3000001910000005</c:v>
                </c:pt>
                <c:pt idx="1">
                  <c:v>9.3999996190000008</c:v>
                </c:pt>
                <c:pt idx="2">
                  <c:v>9.1999998089999995</c:v>
                </c:pt>
                <c:pt idx="3">
                  <c:v>8.8999996190000008</c:v>
                </c:pt>
                <c:pt idx="4">
                  <c:v>8.8999996190000008</c:v>
                </c:pt>
                <c:pt idx="5">
                  <c:v>8.6000003809999992</c:v>
                </c:pt>
                <c:pt idx="6">
                  <c:v>8.3000001910000005</c:v>
                </c:pt>
                <c:pt idx="7">
                  <c:v>8</c:v>
                </c:pt>
                <c:pt idx="8">
                  <c:v>9.1000003809999992</c:v>
                </c:pt>
                <c:pt idx="9">
                  <c:v>9.3000001910000005</c:v>
                </c:pt>
                <c:pt idx="10">
                  <c:v>9</c:v>
                </c:pt>
                <c:pt idx="11">
                  <c:v>9.3000001910000005</c:v>
                </c:pt>
                <c:pt idx="12">
                  <c:v>9.6999998089999995</c:v>
                </c:pt>
                <c:pt idx="13">
                  <c:v>10.100000380000001</c:v>
                </c:pt>
                <c:pt idx="14">
                  <c:v>10.5</c:v>
                </c:pt>
              </c:numCache>
            </c:numRef>
          </c:val>
          <c:smooth val="0"/>
        </c:ser>
        <c:ser>
          <c:idx val="1"/>
          <c:order val="1"/>
          <c:tx>
            <c:strRef>
              <c:f>Hoja1!$C$1</c:f>
              <c:strCache>
                <c:ptCount val="1"/>
                <c:pt idx="0">
                  <c:v>España</c:v>
                </c:pt>
              </c:strCache>
            </c:strRef>
          </c:tx>
          <c:dLbls>
            <c:dLbl>
              <c:idx val="0"/>
              <c:layout>
                <c:manualLayout>
                  <c:x val="-2.6474127557160047E-2"/>
                  <c:y val="4.9535603715170205E-2"/>
                </c:manualLayout>
              </c:layout>
              <c:showLegendKey val="0"/>
              <c:showVal val="1"/>
              <c:showCatName val="0"/>
              <c:showSerName val="0"/>
              <c:showPercent val="0"/>
              <c:showBubbleSize val="0"/>
            </c:dLbl>
            <c:dLbl>
              <c:idx val="14"/>
              <c:layout>
                <c:manualLayout>
                  <c:x val="-4.813496688365218E-2"/>
                  <c:y val="-5.3663570691434466E-2"/>
                </c:manualLayout>
              </c:layout>
              <c:showLegendKey val="0"/>
              <c:showVal val="1"/>
              <c:showCatName val="0"/>
              <c:showSerName val="0"/>
              <c:showPercent val="0"/>
              <c:showBubbleSize val="0"/>
            </c:dLbl>
            <c:showLegendKey val="0"/>
            <c:showVal val="0"/>
            <c:showCatName val="0"/>
            <c:showSerName val="0"/>
            <c:showPercent val="0"/>
            <c:showBubbleSize val="0"/>
          </c:dLbls>
          <c:cat>
            <c:numRef>
              <c:f>Hoja1!$A$2:$A$16</c:f>
              <c:numCache>
                <c:formatCode>General</c:formatCod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numCache>
            </c:numRef>
          </c:cat>
          <c:val>
            <c:numRef>
              <c:f>Hoja1!$C$2:$C$16</c:f>
              <c:numCache>
                <c:formatCode>0.0</c:formatCode>
                <c:ptCount val="15"/>
                <c:pt idx="0">
                  <c:v>26.299999239999998</c:v>
                </c:pt>
                <c:pt idx="1">
                  <c:v>21.299999239999998</c:v>
                </c:pt>
                <c:pt idx="2">
                  <c:v>23</c:v>
                </c:pt>
                <c:pt idx="3">
                  <c:v>23.399999619999999</c:v>
                </c:pt>
                <c:pt idx="4">
                  <c:v>22.799999239999998</c:v>
                </c:pt>
                <c:pt idx="5">
                  <c:v>20.399999619999999</c:v>
                </c:pt>
                <c:pt idx="6">
                  <c:v>18.5</c:v>
                </c:pt>
                <c:pt idx="7">
                  <c:v>18.899999619999999</c:v>
                </c:pt>
                <c:pt idx="8">
                  <c:v>25.399999619999999</c:v>
                </c:pt>
                <c:pt idx="9">
                  <c:v>38.5</c:v>
                </c:pt>
                <c:pt idx="10">
                  <c:v>42.5</c:v>
                </c:pt>
                <c:pt idx="11">
                  <c:v>47.099998470000003</c:v>
                </c:pt>
                <c:pt idx="12">
                  <c:v>54.299999239999998</c:v>
                </c:pt>
                <c:pt idx="13">
                  <c:v>57.099998470000003</c:v>
                </c:pt>
                <c:pt idx="14">
                  <c:v>57.900001529999997</c:v>
                </c:pt>
              </c:numCache>
            </c:numRef>
          </c:val>
          <c:smooth val="0"/>
        </c:ser>
        <c:dLbls>
          <c:showLegendKey val="0"/>
          <c:showVal val="0"/>
          <c:showCatName val="0"/>
          <c:showSerName val="0"/>
          <c:showPercent val="0"/>
          <c:showBubbleSize val="0"/>
        </c:dLbls>
        <c:marker val="1"/>
        <c:smooth val="0"/>
        <c:axId val="115647232"/>
        <c:axId val="115648768"/>
      </c:lineChart>
      <c:catAx>
        <c:axId val="115647232"/>
        <c:scaling>
          <c:orientation val="minMax"/>
        </c:scaling>
        <c:delete val="0"/>
        <c:axPos val="b"/>
        <c:numFmt formatCode="General" sourceLinked="1"/>
        <c:majorTickMark val="out"/>
        <c:minorTickMark val="none"/>
        <c:tickLblPos val="nextTo"/>
        <c:txPr>
          <a:bodyPr rot="5400000" vert="horz"/>
          <a:lstStyle/>
          <a:p>
            <a:pPr>
              <a:defRPr/>
            </a:pPr>
            <a:endParaRPr lang="es-ES"/>
          </a:p>
        </c:txPr>
        <c:crossAx val="115648768"/>
        <c:crosses val="autoZero"/>
        <c:auto val="1"/>
        <c:lblAlgn val="ctr"/>
        <c:lblOffset val="100"/>
        <c:noMultiLvlLbl val="0"/>
      </c:catAx>
      <c:valAx>
        <c:axId val="115648768"/>
        <c:scaling>
          <c:orientation val="minMax"/>
        </c:scaling>
        <c:delete val="0"/>
        <c:axPos val="l"/>
        <c:majorGridlines/>
        <c:numFmt formatCode="0.0" sourceLinked="1"/>
        <c:majorTickMark val="out"/>
        <c:minorTickMark val="none"/>
        <c:tickLblPos val="nextTo"/>
        <c:crossAx val="115647232"/>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Población flotante (流动人口)</c:v>
                </c:pt>
              </c:strCache>
            </c:strRef>
          </c:tx>
          <c:invertIfNegative val="0"/>
          <c:dLbls>
            <c:showLegendKey val="0"/>
            <c:showVal val="1"/>
            <c:showCatName val="0"/>
            <c:showSerName val="0"/>
            <c:showPercent val="0"/>
            <c:showBubbleSize val="0"/>
            <c:showLeaderLines val="0"/>
          </c:dLbls>
          <c:cat>
            <c:numRef>
              <c:f>Sheet1!$A$2:$A$6</c:f>
              <c:numCache>
                <c:formatCode>General</c:formatCode>
                <c:ptCount val="5"/>
                <c:pt idx="0">
                  <c:v>2000</c:v>
                </c:pt>
                <c:pt idx="1">
                  <c:v>2005</c:v>
                </c:pt>
                <c:pt idx="2">
                  <c:v>2010</c:v>
                </c:pt>
                <c:pt idx="3">
                  <c:v>2012</c:v>
                </c:pt>
                <c:pt idx="4">
                  <c:v>2014</c:v>
                </c:pt>
              </c:numCache>
            </c:numRef>
          </c:cat>
          <c:val>
            <c:numRef>
              <c:f>Sheet1!$B$2:$B$6</c:f>
              <c:numCache>
                <c:formatCode>General</c:formatCode>
                <c:ptCount val="5"/>
                <c:pt idx="0">
                  <c:v>121</c:v>
                </c:pt>
                <c:pt idx="1">
                  <c:v>147</c:v>
                </c:pt>
                <c:pt idx="2">
                  <c:v>221</c:v>
                </c:pt>
                <c:pt idx="3">
                  <c:v>236</c:v>
                </c:pt>
                <c:pt idx="4">
                  <c:v>245</c:v>
                </c:pt>
              </c:numCache>
            </c:numRef>
          </c:val>
        </c:ser>
        <c:dLbls>
          <c:showLegendKey val="0"/>
          <c:showVal val="0"/>
          <c:showCatName val="0"/>
          <c:showSerName val="0"/>
          <c:showPercent val="0"/>
          <c:showBubbleSize val="0"/>
        </c:dLbls>
        <c:gapWidth val="150"/>
        <c:axId val="25322624"/>
        <c:axId val="25324160"/>
      </c:barChart>
      <c:catAx>
        <c:axId val="25322624"/>
        <c:scaling>
          <c:orientation val="minMax"/>
        </c:scaling>
        <c:delete val="0"/>
        <c:axPos val="b"/>
        <c:numFmt formatCode="General" sourceLinked="1"/>
        <c:majorTickMark val="out"/>
        <c:minorTickMark val="none"/>
        <c:tickLblPos val="nextTo"/>
        <c:crossAx val="25324160"/>
        <c:crosses val="autoZero"/>
        <c:auto val="1"/>
        <c:lblAlgn val="ctr"/>
        <c:lblOffset val="100"/>
        <c:noMultiLvlLbl val="0"/>
      </c:catAx>
      <c:valAx>
        <c:axId val="25324160"/>
        <c:scaling>
          <c:orientation val="minMax"/>
        </c:scaling>
        <c:delete val="0"/>
        <c:axPos val="l"/>
        <c:majorGridlines/>
        <c:title>
          <c:tx>
            <c:rich>
              <a:bodyPr rot="-5400000" vert="horz"/>
              <a:lstStyle/>
              <a:p>
                <a:pPr>
                  <a:defRPr/>
                </a:pPr>
                <a:r>
                  <a:rPr lang="es-ES"/>
                  <a:t>Millones de personas</a:t>
                </a:r>
              </a:p>
            </c:rich>
          </c:tx>
          <c:overlay val="0"/>
        </c:title>
        <c:numFmt formatCode="General" sourceLinked="1"/>
        <c:majorTickMark val="out"/>
        <c:minorTickMark val="none"/>
        <c:tickLblPos val="nextTo"/>
        <c:crossAx val="25322624"/>
        <c:crosses val="autoZero"/>
        <c:crossBetween val="between"/>
      </c:valAx>
    </c:plotArea>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Hoja1!$B$1</c:f>
              <c:strCache>
                <c:ptCount val="1"/>
                <c:pt idx="0">
                  <c:v>China (Mujeres)</c:v>
                </c:pt>
              </c:strCache>
            </c:strRef>
          </c:tx>
          <c:dLbls>
            <c:dLbl>
              <c:idx val="0"/>
              <c:layout>
                <c:manualLayout>
                  <c:x val="-2.8881430228196732E-2"/>
                  <c:y val="5.7676639722087551E-2"/>
                </c:manualLayout>
              </c:layout>
              <c:showLegendKey val="0"/>
              <c:showVal val="1"/>
              <c:showCatName val="0"/>
              <c:showSerName val="0"/>
              <c:showPercent val="0"/>
              <c:showBubbleSize val="0"/>
            </c:dLbl>
            <c:dLbl>
              <c:idx val="14"/>
              <c:layout>
                <c:manualLayout>
                  <c:x val="-4.5728228014819447E-2"/>
                  <c:y val="5.3663245654664724E-2"/>
                </c:manualLayout>
              </c:layout>
              <c:showLegendKey val="0"/>
              <c:showVal val="1"/>
              <c:showCatName val="0"/>
              <c:showSerName val="0"/>
              <c:showPercent val="0"/>
              <c:showBubbleSize val="0"/>
            </c:dLbl>
            <c:showLegendKey val="0"/>
            <c:showVal val="0"/>
            <c:showCatName val="0"/>
            <c:showSerName val="0"/>
            <c:showPercent val="0"/>
            <c:showBubbleSize val="0"/>
          </c:dLbls>
          <c:cat>
            <c:numRef>
              <c:f>Hoja1!$A$2:$A$16</c:f>
              <c:numCache>
                <c:formatCode>General</c:formatCod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numCache>
            </c:numRef>
          </c:cat>
          <c:val>
            <c:numRef>
              <c:f>Hoja1!$B$2:$B$16</c:f>
              <c:numCache>
                <c:formatCode>0.0</c:formatCode>
                <c:ptCount val="15"/>
                <c:pt idx="0">
                  <c:v>3.7999999519999998</c:v>
                </c:pt>
                <c:pt idx="1">
                  <c:v>3.7999999519999998</c:v>
                </c:pt>
                <c:pt idx="2">
                  <c:v>3.7000000480000002</c:v>
                </c:pt>
                <c:pt idx="3">
                  <c:v>3.5999999049999998</c:v>
                </c:pt>
                <c:pt idx="4">
                  <c:v>3.5999999049999998</c:v>
                </c:pt>
                <c:pt idx="5">
                  <c:v>3.4000000950000002</c:v>
                </c:pt>
                <c:pt idx="6">
                  <c:v>3.2999999519999998</c:v>
                </c:pt>
                <c:pt idx="7">
                  <c:v>3.0999999049999998</c:v>
                </c:pt>
                <c:pt idx="8">
                  <c:v>3.5999999049999998</c:v>
                </c:pt>
                <c:pt idx="9">
                  <c:v>3.5999999049999998</c:v>
                </c:pt>
                <c:pt idx="10">
                  <c:v>3.4000000950000002</c:v>
                </c:pt>
                <c:pt idx="11">
                  <c:v>3.5999999049999998</c:v>
                </c:pt>
                <c:pt idx="12">
                  <c:v>3.7000000480000002</c:v>
                </c:pt>
                <c:pt idx="13">
                  <c:v>3.7999999519999998</c:v>
                </c:pt>
                <c:pt idx="14">
                  <c:v>3.9000000950000002</c:v>
                </c:pt>
              </c:numCache>
            </c:numRef>
          </c:val>
          <c:smooth val="0"/>
        </c:ser>
        <c:ser>
          <c:idx val="1"/>
          <c:order val="1"/>
          <c:tx>
            <c:strRef>
              <c:f>Hoja1!$C$1</c:f>
              <c:strCache>
                <c:ptCount val="1"/>
                <c:pt idx="0">
                  <c:v>España (Mujeres)</c:v>
                </c:pt>
              </c:strCache>
            </c:strRef>
          </c:tx>
          <c:dLbls>
            <c:dLbl>
              <c:idx val="0"/>
              <c:layout>
                <c:manualLayout>
                  <c:x val="-3.8509394936841773E-2"/>
                  <c:y val="-4.944064534502169E-2"/>
                </c:manualLayout>
              </c:layout>
              <c:showLegendKey val="0"/>
              <c:showVal val="1"/>
              <c:showCatName val="0"/>
              <c:showSerName val="0"/>
              <c:showPercent val="0"/>
              <c:showBubbleSize val="0"/>
            </c:dLbl>
            <c:dLbl>
              <c:idx val="14"/>
              <c:layout>
                <c:manualLayout>
                  <c:x val="-4.813496688365218E-2"/>
                  <c:y val="-5.3663570691434466E-2"/>
                </c:manualLayout>
              </c:layout>
              <c:showLegendKey val="0"/>
              <c:showVal val="1"/>
              <c:showCatName val="0"/>
              <c:showSerName val="0"/>
              <c:showPercent val="0"/>
              <c:showBubbleSize val="0"/>
            </c:dLbl>
            <c:showLegendKey val="0"/>
            <c:showVal val="0"/>
            <c:showCatName val="0"/>
            <c:showSerName val="0"/>
            <c:showPercent val="0"/>
            <c:showBubbleSize val="0"/>
          </c:dLbls>
          <c:cat>
            <c:numRef>
              <c:f>Hoja1!$A$2:$A$16</c:f>
              <c:numCache>
                <c:formatCode>General</c:formatCod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numCache>
            </c:numRef>
          </c:cat>
          <c:val>
            <c:numRef>
              <c:f>Hoja1!$C$2:$C$16</c:f>
              <c:numCache>
                <c:formatCode>0.0</c:formatCode>
                <c:ptCount val="15"/>
                <c:pt idx="0">
                  <c:v>21</c:v>
                </c:pt>
                <c:pt idx="1">
                  <c:v>15.5</c:v>
                </c:pt>
                <c:pt idx="2">
                  <c:v>16.700000760000002</c:v>
                </c:pt>
                <c:pt idx="3">
                  <c:v>16.200000760000002</c:v>
                </c:pt>
                <c:pt idx="4">
                  <c:v>15.30000019</c:v>
                </c:pt>
                <c:pt idx="5">
                  <c:v>12.399999619999999</c:v>
                </c:pt>
                <c:pt idx="6">
                  <c:v>11.80000019</c:v>
                </c:pt>
                <c:pt idx="7">
                  <c:v>11.100000380000001</c:v>
                </c:pt>
                <c:pt idx="8">
                  <c:v>13.19999981</c:v>
                </c:pt>
                <c:pt idx="9">
                  <c:v>18.5</c:v>
                </c:pt>
                <c:pt idx="10">
                  <c:v>20.700000760000002</c:v>
                </c:pt>
                <c:pt idx="11">
                  <c:v>22.299999239999998</c:v>
                </c:pt>
                <c:pt idx="12">
                  <c:v>25.600000380000001</c:v>
                </c:pt>
                <c:pt idx="13">
                  <c:v>27</c:v>
                </c:pt>
                <c:pt idx="14">
                  <c:v>26</c:v>
                </c:pt>
              </c:numCache>
            </c:numRef>
          </c:val>
          <c:smooth val="0"/>
        </c:ser>
        <c:ser>
          <c:idx val="2"/>
          <c:order val="2"/>
          <c:tx>
            <c:strRef>
              <c:f>Hoja1!$D$1</c:f>
              <c:strCache>
                <c:ptCount val="1"/>
                <c:pt idx="0">
                  <c:v>China (Hombres)</c:v>
                </c:pt>
              </c:strCache>
            </c:strRef>
          </c:tx>
          <c:cat>
            <c:numRef>
              <c:f>Hoja1!$A$2:$A$16</c:f>
              <c:numCache>
                <c:formatCode>General</c:formatCod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numCache>
            </c:numRef>
          </c:cat>
          <c:val>
            <c:numRef>
              <c:f>Hoja1!$D$2:$D$16</c:f>
              <c:numCache>
                <c:formatCode>General</c:formatCode>
                <c:ptCount val="15"/>
                <c:pt idx="0">
                  <c:v>5.0999999999999996</c:v>
                </c:pt>
                <c:pt idx="1">
                  <c:v>5.0999999999999996</c:v>
                </c:pt>
                <c:pt idx="2">
                  <c:v>5</c:v>
                </c:pt>
                <c:pt idx="3">
                  <c:v>4.9000000000000004</c:v>
                </c:pt>
                <c:pt idx="4">
                  <c:v>4.9000000000000004</c:v>
                </c:pt>
                <c:pt idx="5">
                  <c:v>4.7</c:v>
                </c:pt>
                <c:pt idx="6">
                  <c:v>4.5</c:v>
                </c:pt>
                <c:pt idx="7">
                  <c:v>4.3</c:v>
                </c:pt>
                <c:pt idx="8">
                  <c:v>5</c:v>
                </c:pt>
                <c:pt idx="9">
                  <c:v>5</c:v>
                </c:pt>
                <c:pt idx="10">
                  <c:v>4.8</c:v>
                </c:pt>
                <c:pt idx="11">
                  <c:v>4.9000000000000004</c:v>
                </c:pt>
                <c:pt idx="12">
                  <c:v>5.0999999999999996</c:v>
                </c:pt>
                <c:pt idx="13">
                  <c:v>5.2</c:v>
                </c:pt>
                <c:pt idx="14">
                  <c:v>5.4</c:v>
                </c:pt>
              </c:numCache>
            </c:numRef>
          </c:val>
          <c:smooth val="0"/>
        </c:ser>
        <c:ser>
          <c:idx val="3"/>
          <c:order val="3"/>
          <c:tx>
            <c:strRef>
              <c:f>Hoja1!$E$1</c:f>
              <c:strCache>
                <c:ptCount val="1"/>
                <c:pt idx="0">
                  <c:v>España (Hombres)</c:v>
                </c:pt>
              </c:strCache>
            </c:strRef>
          </c:tx>
          <c:dLbls>
            <c:dLbl>
              <c:idx val="0"/>
              <c:layout>
                <c:manualLayout>
                  <c:x val="-3.3698539837341064E-2"/>
                  <c:y val="-4.1240045968038638E-2"/>
                </c:manualLayout>
              </c:layout>
              <c:showLegendKey val="0"/>
              <c:showVal val="1"/>
              <c:showCatName val="0"/>
              <c:showSerName val="0"/>
              <c:showPercent val="0"/>
              <c:showBubbleSize val="0"/>
            </c:dLbl>
            <c:showLegendKey val="0"/>
            <c:showVal val="0"/>
            <c:showCatName val="0"/>
            <c:showSerName val="0"/>
            <c:showPercent val="0"/>
            <c:showBubbleSize val="0"/>
          </c:dLbls>
          <c:cat>
            <c:numRef>
              <c:f>Hoja1!$A$2:$A$16</c:f>
              <c:numCache>
                <c:formatCode>General</c:formatCod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numCache>
            </c:numRef>
          </c:cat>
          <c:val>
            <c:numRef>
              <c:f>Hoja1!$E$2:$E$16</c:f>
              <c:numCache>
                <c:formatCode>General</c:formatCode>
                <c:ptCount val="15"/>
                <c:pt idx="0">
                  <c:v>9.8000000000000007</c:v>
                </c:pt>
                <c:pt idx="1">
                  <c:v>7.6</c:v>
                </c:pt>
                <c:pt idx="2">
                  <c:v>8.1999999999999993</c:v>
                </c:pt>
                <c:pt idx="3">
                  <c:v>8.3000000000000007</c:v>
                </c:pt>
                <c:pt idx="4">
                  <c:v>8.3000000000000007</c:v>
                </c:pt>
                <c:pt idx="5">
                  <c:v>7.2</c:v>
                </c:pt>
                <c:pt idx="6">
                  <c:v>6.4</c:v>
                </c:pt>
                <c:pt idx="7">
                  <c:v>6.5</c:v>
                </c:pt>
                <c:pt idx="8">
                  <c:v>10.199999999999999</c:v>
                </c:pt>
                <c:pt idx="9">
                  <c:v>17.8</c:v>
                </c:pt>
                <c:pt idx="10">
                  <c:v>19.899999999999999</c:v>
                </c:pt>
                <c:pt idx="11">
                  <c:v>21.3</c:v>
                </c:pt>
                <c:pt idx="12">
                  <c:v>24.9</c:v>
                </c:pt>
                <c:pt idx="13">
                  <c:v>25.8</c:v>
                </c:pt>
                <c:pt idx="14">
                  <c:v>23.7</c:v>
                </c:pt>
              </c:numCache>
            </c:numRef>
          </c:val>
          <c:smooth val="0"/>
        </c:ser>
        <c:dLbls>
          <c:showLegendKey val="0"/>
          <c:showVal val="0"/>
          <c:showCatName val="0"/>
          <c:showSerName val="0"/>
          <c:showPercent val="0"/>
          <c:showBubbleSize val="0"/>
        </c:dLbls>
        <c:marker val="1"/>
        <c:smooth val="0"/>
        <c:axId val="116778880"/>
        <c:axId val="116780416"/>
      </c:lineChart>
      <c:catAx>
        <c:axId val="116778880"/>
        <c:scaling>
          <c:orientation val="minMax"/>
        </c:scaling>
        <c:delete val="0"/>
        <c:axPos val="b"/>
        <c:numFmt formatCode="General" sourceLinked="1"/>
        <c:majorTickMark val="out"/>
        <c:minorTickMark val="none"/>
        <c:tickLblPos val="nextTo"/>
        <c:txPr>
          <a:bodyPr rot="5400000" vert="horz"/>
          <a:lstStyle/>
          <a:p>
            <a:pPr>
              <a:defRPr/>
            </a:pPr>
            <a:endParaRPr lang="es-ES"/>
          </a:p>
        </c:txPr>
        <c:crossAx val="116780416"/>
        <c:crosses val="autoZero"/>
        <c:auto val="1"/>
        <c:lblAlgn val="ctr"/>
        <c:lblOffset val="100"/>
        <c:noMultiLvlLbl val="0"/>
      </c:catAx>
      <c:valAx>
        <c:axId val="116780416"/>
        <c:scaling>
          <c:orientation val="minMax"/>
        </c:scaling>
        <c:delete val="0"/>
        <c:axPos val="l"/>
        <c:majorGridlines/>
        <c:numFmt formatCode="0.0" sourceLinked="1"/>
        <c:majorTickMark val="out"/>
        <c:minorTickMark val="none"/>
        <c:tickLblPos val="nextTo"/>
        <c:crossAx val="116778880"/>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1"/>
    <c:plotArea>
      <c:layout/>
      <c:pieChart>
        <c:varyColors val="1"/>
        <c:ser>
          <c:idx val="0"/>
          <c:order val="0"/>
          <c:tx>
            <c:strRef>
              <c:f>Sheet1!$B$1</c:f>
              <c:strCache>
                <c:ptCount val="1"/>
                <c:pt idx="0">
                  <c:v>Tasa de empleado de las 3 zones en China</c:v>
                </c:pt>
              </c:strCache>
            </c:strRef>
          </c:tx>
          <c:dLbls>
            <c:txPr>
              <a:bodyPr/>
              <a:lstStyle/>
              <a:p>
                <a:pPr>
                  <a:defRPr sz="1400" b="1">
                    <a:solidFill>
                      <a:schemeClr val="bg1"/>
                    </a:solidFill>
                  </a:defRPr>
                </a:pPr>
                <a:endParaRPr lang="es-ES"/>
              </a:p>
            </c:txPr>
            <c:showLegendKey val="0"/>
            <c:showVal val="1"/>
            <c:showCatName val="0"/>
            <c:showSerName val="0"/>
            <c:showPercent val="0"/>
            <c:showBubbleSize val="0"/>
            <c:showLeaderLines val="1"/>
            <c:extLst>
              <c:ext xmlns:c15="http://schemas.microsoft.com/office/drawing/2012/chart" uri="{CE6537A1-D6FC-4f65-9D91-7224C49458BB}"/>
            </c:extLst>
          </c:dLbls>
          <c:cat>
            <c:strRef>
              <c:f>Sheet1!$A$2:$A$4</c:f>
              <c:strCache>
                <c:ptCount val="3"/>
                <c:pt idx="0">
                  <c:v>Zona Este</c:v>
                </c:pt>
                <c:pt idx="1">
                  <c:v>Zona Central</c:v>
                </c:pt>
                <c:pt idx="2">
                  <c:v>Zone Oeste</c:v>
                </c:pt>
              </c:strCache>
            </c:strRef>
          </c:cat>
          <c:val>
            <c:numRef>
              <c:f>Sheet1!$B$2:$B$4</c:f>
              <c:numCache>
                <c:formatCode>0.00%</c:formatCode>
                <c:ptCount val="3"/>
                <c:pt idx="0">
                  <c:v>0.45100000000000001</c:v>
                </c:pt>
                <c:pt idx="1">
                  <c:v>0.30500000000000038</c:v>
                </c:pt>
                <c:pt idx="2">
                  <c:v>0.24400000000000024</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Tasa de desempleo</c:v>
                </c:pt>
              </c:strCache>
            </c:strRef>
          </c:tx>
          <c:invertIfNegative val="0"/>
          <c:dLbls>
            <c:showLegendKey val="0"/>
            <c:showVal val="1"/>
            <c:showCatName val="0"/>
            <c:showSerName val="0"/>
            <c:showPercent val="0"/>
            <c:showBubbleSize val="0"/>
            <c:showLeaderLines val="0"/>
          </c:dLbls>
          <c:cat>
            <c:numRef>
              <c:f>Sheet1!$A$2:$A$6</c:f>
              <c:numCache>
                <c:formatCode>General</c:formatCode>
                <c:ptCount val="5"/>
                <c:pt idx="0">
                  <c:v>2009</c:v>
                </c:pt>
                <c:pt idx="1">
                  <c:v>2010</c:v>
                </c:pt>
                <c:pt idx="2">
                  <c:v>2011</c:v>
                </c:pt>
                <c:pt idx="3">
                  <c:v>2012</c:v>
                </c:pt>
                <c:pt idx="4">
                  <c:v>2013</c:v>
                </c:pt>
              </c:numCache>
            </c:numRef>
          </c:cat>
          <c:val>
            <c:numRef>
              <c:f>Sheet1!$B$2:$B$6</c:f>
              <c:numCache>
                <c:formatCode>General</c:formatCode>
                <c:ptCount val="5"/>
                <c:pt idx="0">
                  <c:v>5.3</c:v>
                </c:pt>
                <c:pt idx="1">
                  <c:v>4.3</c:v>
                </c:pt>
                <c:pt idx="2">
                  <c:v>3.4</c:v>
                </c:pt>
                <c:pt idx="3">
                  <c:v>3.3</c:v>
                </c:pt>
                <c:pt idx="4">
                  <c:v>3.4</c:v>
                </c:pt>
              </c:numCache>
            </c:numRef>
          </c:val>
        </c:ser>
        <c:dLbls>
          <c:showLegendKey val="0"/>
          <c:showVal val="0"/>
          <c:showCatName val="0"/>
          <c:showSerName val="0"/>
          <c:showPercent val="0"/>
          <c:showBubbleSize val="0"/>
        </c:dLbls>
        <c:gapWidth val="150"/>
        <c:axId val="89431040"/>
        <c:axId val="89432832"/>
      </c:barChart>
      <c:catAx>
        <c:axId val="89431040"/>
        <c:scaling>
          <c:orientation val="minMax"/>
        </c:scaling>
        <c:delete val="0"/>
        <c:axPos val="b"/>
        <c:numFmt formatCode="General" sourceLinked="1"/>
        <c:majorTickMark val="out"/>
        <c:minorTickMark val="none"/>
        <c:tickLblPos val="nextTo"/>
        <c:crossAx val="89432832"/>
        <c:crosses val="autoZero"/>
        <c:auto val="1"/>
        <c:lblAlgn val="ctr"/>
        <c:lblOffset val="100"/>
        <c:noMultiLvlLbl val="0"/>
      </c:catAx>
      <c:valAx>
        <c:axId val="89432832"/>
        <c:scaling>
          <c:orientation val="minMax"/>
        </c:scaling>
        <c:delete val="0"/>
        <c:axPos val="l"/>
        <c:majorGridlines/>
        <c:title>
          <c:tx>
            <c:rich>
              <a:bodyPr rot="-5400000" vert="horz"/>
              <a:lstStyle/>
              <a:p>
                <a:pPr>
                  <a:defRPr/>
                </a:pPr>
                <a:r>
                  <a:rPr lang="es-ES"/>
                  <a:t>porcentaje </a:t>
                </a:r>
              </a:p>
            </c:rich>
          </c:tx>
          <c:overlay val="0"/>
        </c:title>
        <c:numFmt formatCode="General" sourceLinked="1"/>
        <c:majorTickMark val="out"/>
        <c:minorTickMark val="none"/>
        <c:tickLblPos val="nextTo"/>
        <c:crossAx val="89431040"/>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Tasa de desempleo</c:v>
                </c:pt>
              </c:strCache>
            </c:strRef>
          </c:tx>
          <c:invertIfNegative val="0"/>
          <c:cat>
            <c:strRef>
              <c:f>Sheet1!$A$2:$A$31</c:f>
              <c:strCache>
                <c:ptCount val="30"/>
                <c:pt idx="0">
                  <c:v>Beijing</c:v>
                </c:pt>
                <c:pt idx="1">
                  <c:v>Chongqing</c:v>
                </c:pt>
                <c:pt idx="2">
                  <c:v>Qinghai</c:v>
                </c:pt>
                <c:pt idx="3">
                  <c:v>Guangdong</c:v>
                </c:pt>
                <c:pt idx="4">
                  <c:v>Shaanxi</c:v>
                </c:pt>
                <c:pt idx="5">
                  <c:v>Jiangsu</c:v>
                </c:pt>
                <c:pt idx="6">
                  <c:v>Zhejiang</c:v>
                </c:pt>
                <c:pt idx="7">
                  <c:v>Shanxi</c:v>
                </c:pt>
                <c:pt idx="8">
                  <c:v>Henan</c:v>
                </c:pt>
                <c:pt idx="9">
                  <c:v>Jiangxi</c:v>
                </c:pt>
                <c:pt idx="10">
                  <c:v>Shandong</c:v>
                </c:pt>
                <c:pt idx="11">
                  <c:v>Hainan</c:v>
                </c:pt>
                <c:pt idx="12">
                  <c:v>Yunnan</c:v>
                </c:pt>
                <c:pt idx="13">
                  <c:v>Gansu</c:v>
                </c:pt>
                <c:pt idx="14">
                  <c:v>Ningxia</c:v>
                </c:pt>
                <c:pt idx="15">
                  <c:v>Liaoning</c:v>
                </c:pt>
                <c:pt idx="16">
                  <c:v>Anhui</c:v>
                </c:pt>
                <c:pt idx="17">
                  <c:v>Sichuan</c:v>
                </c:pt>
                <c:pt idx="18">
                  <c:v>Hubei</c:v>
                </c:pt>
                <c:pt idx="19">
                  <c:v>Tianjin</c:v>
                </c:pt>
                <c:pt idx="20">
                  <c:v>Fujian</c:v>
                </c:pt>
                <c:pt idx="21">
                  <c:v>Hebei</c:v>
                </c:pt>
                <c:pt idx="22">
                  <c:v>Mongolia Interior</c:v>
                </c:pt>
                <c:pt idx="23">
                  <c:v>Jilin</c:v>
                </c:pt>
                <c:pt idx="24">
                  <c:v>Shanghai</c:v>
                </c:pt>
                <c:pt idx="25">
                  <c:v>Tibet</c:v>
                </c:pt>
                <c:pt idx="26">
                  <c:v>Guizhou</c:v>
                </c:pt>
                <c:pt idx="27">
                  <c:v>Xinjiang</c:v>
                </c:pt>
                <c:pt idx="28">
                  <c:v>Hunan</c:v>
                </c:pt>
                <c:pt idx="29">
                  <c:v>Heilongjiang</c:v>
                </c:pt>
              </c:strCache>
            </c:strRef>
          </c:cat>
          <c:val>
            <c:numRef>
              <c:f>Sheet1!$B$2:$B$31</c:f>
              <c:numCache>
                <c:formatCode>General</c:formatCode>
                <c:ptCount val="30"/>
                <c:pt idx="0">
                  <c:v>1.2</c:v>
                </c:pt>
                <c:pt idx="1">
                  <c:v>2.2000000000000002</c:v>
                </c:pt>
                <c:pt idx="2">
                  <c:v>2.2999999999999998</c:v>
                </c:pt>
                <c:pt idx="3">
                  <c:v>2.4</c:v>
                </c:pt>
                <c:pt idx="4">
                  <c:v>2.5</c:v>
                </c:pt>
                <c:pt idx="5">
                  <c:v>3</c:v>
                </c:pt>
                <c:pt idx="6">
                  <c:v>3</c:v>
                </c:pt>
                <c:pt idx="7">
                  <c:v>3.1</c:v>
                </c:pt>
                <c:pt idx="8">
                  <c:v>3.1</c:v>
                </c:pt>
                <c:pt idx="9">
                  <c:v>3.2</c:v>
                </c:pt>
                <c:pt idx="10">
                  <c:v>3.2</c:v>
                </c:pt>
                <c:pt idx="11">
                  <c:v>3.3</c:v>
                </c:pt>
                <c:pt idx="12">
                  <c:v>3.3</c:v>
                </c:pt>
                <c:pt idx="13">
                  <c:v>3.3</c:v>
                </c:pt>
                <c:pt idx="14">
                  <c:v>3.3</c:v>
                </c:pt>
                <c:pt idx="15">
                  <c:v>3.4</c:v>
                </c:pt>
                <c:pt idx="16">
                  <c:v>3.4</c:v>
                </c:pt>
                <c:pt idx="17">
                  <c:v>3.4</c:v>
                </c:pt>
                <c:pt idx="18">
                  <c:v>3.5</c:v>
                </c:pt>
                <c:pt idx="19">
                  <c:v>3.6</c:v>
                </c:pt>
                <c:pt idx="20">
                  <c:v>3.6</c:v>
                </c:pt>
                <c:pt idx="21">
                  <c:v>3.7</c:v>
                </c:pt>
                <c:pt idx="22">
                  <c:v>3.7</c:v>
                </c:pt>
                <c:pt idx="23">
                  <c:v>3.7</c:v>
                </c:pt>
                <c:pt idx="24">
                  <c:v>4</c:v>
                </c:pt>
                <c:pt idx="25">
                  <c:v>4</c:v>
                </c:pt>
                <c:pt idx="26">
                  <c:v>4.0999999999999996</c:v>
                </c:pt>
                <c:pt idx="27">
                  <c:v>4.0999999999999996</c:v>
                </c:pt>
                <c:pt idx="28">
                  <c:v>4.2</c:v>
                </c:pt>
                <c:pt idx="29">
                  <c:v>4.4000000000000004</c:v>
                </c:pt>
              </c:numCache>
            </c:numRef>
          </c:val>
        </c:ser>
        <c:dLbls>
          <c:showLegendKey val="0"/>
          <c:showVal val="0"/>
          <c:showCatName val="0"/>
          <c:showSerName val="0"/>
          <c:showPercent val="0"/>
          <c:showBubbleSize val="0"/>
        </c:dLbls>
        <c:gapWidth val="150"/>
        <c:axId val="89441024"/>
        <c:axId val="89442560"/>
      </c:barChart>
      <c:catAx>
        <c:axId val="89441024"/>
        <c:scaling>
          <c:orientation val="minMax"/>
        </c:scaling>
        <c:delete val="0"/>
        <c:axPos val="b"/>
        <c:numFmt formatCode="General" sourceLinked="1"/>
        <c:majorTickMark val="out"/>
        <c:minorTickMark val="none"/>
        <c:tickLblPos val="nextTo"/>
        <c:txPr>
          <a:bodyPr/>
          <a:lstStyle/>
          <a:p>
            <a:pPr>
              <a:defRPr>
                <a:latin typeface="Arial" pitchFamily="34" charset="0"/>
                <a:cs typeface="Arial" pitchFamily="34" charset="0"/>
              </a:defRPr>
            </a:pPr>
            <a:endParaRPr lang="es-ES"/>
          </a:p>
        </c:txPr>
        <c:crossAx val="89442560"/>
        <c:crosses val="autoZero"/>
        <c:auto val="1"/>
        <c:lblAlgn val="ctr"/>
        <c:lblOffset val="100"/>
        <c:noMultiLvlLbl val="0"/>
      </c:catAx>
      <c:valAx>
        <c:axId val="89442560"/>
        <c:scaling>
          <c:orientation val="minMax"/>
        </c:scaling>
        <c:delete val="0"/>
        <c:axPos val="l"/>
        <c:majorGridlines/>
        <c:numFmt formatCode="General" sourceLinked="1"/>
        <c:majorTickMark val="out"/>
        <c:minorTickMark val="none"/>
        <c:tickLblPos val="nextTo"/>
        <c:txPr>
          <a:bodyPr/>
          <a:lstStyle/>
          <a:p>
            <a:pPr>
              <a:defRPr>
                <a:latin typeface="Arial" pitchFamily="34" charset="0"/>
                <a:cs typeface="Arial" pitchFamily="34" charset="0"/>
              </a:defRPr>
            </a:pPr>
            <a:endParaRPr lang="es-ES"/>
          </a:p>
        </c:txPr>
        <c:crossAx val="89441024"/>
        <c:crosses val="autoZero"/>
        <c:crossBetween val="between"/>
      </c:valAx>
      <c:spPr>
        <a:noFill/>
        <a:ln>
          <a:prstDash val="sysDot"/>
        </a:ln>
      </c:spPr>
    </c:plotArea>
    <c:plotVisOnly val="1"/>
    <c:dispBlanksAs val="gap"/>
    <c:showDLblsOverMax val="0"/>
  </c:chart>
  <c:spPr>
    <a:noFill/>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Hoja1!$B$1</c:f>
              <c:strCache>
                <c:ptCount val="1"/>
                <c:pt idx="0">
                  <c:v>China</c:v>
                </c:pt>
              </c:strCache>
            </c:strRef>
          </c:tx>
          <c:dLbls>
            <c:dLbl>
              <c:idx val="0"/>
              <c:layout>
                <c:manualLayout>
                  <c:x val="-2.4067388688327317E-2"/>
                  <c:y val="-6.1919504643962849E-2"/>
                </c:manualLayout>
              </c:layout>
              <c:showLegendKey val="0"/>
              <c:showVal val="1"/>
              <c:showCatName val="0"/>
              <c:showSerName val="0"/>
              <c:showPercent val="0"/>
              <c:showBubbleSize val="0"/>
            </c:dLbl>
            <c:dLbl>
              <c:idx val="14"/>
              <c:layout>
                <c:manualLayout>
                  <c:x val="-5.2948255114320185E-2"/>
                  <c:y val="-6.1919504643962849E-2"/>
                </c:manualLayout>
              </c:layout>
              <c:showLegendKey val="0"/>
              <c:showVal val="1"/>
              <c:showCatName val="0"/>
              <c:showSerName val="0"/>
              <c:showPercent val="0"/>
              <c:showBubbleSize val="0"/>
            </c:dLbl>
            <c:showLegendKey val="0"/>
            <c:showVal val="0"/>
            <c:showCatName val="0"/>
            <c:showSerName val="0"/>
            <c:showPercent val="0"/>
            <c:showBubbleSize val="0"/>
          </c:dLbls>
          <c:cat>
            <c:numRef>
              <c:f>Hoja1!$A$2:$A$16</c:f>
              <c:numCache>
                <c:formatCode>General</c:formatCod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numCache>
            </c:numRef>
          </c:cat>
          <c:val>
            <c:numRef>
              <c:f>Hoja1!$B$2:$B$16</c:f>
              <c:numCache>
                <c:formatCode>0.0</c:formatCode>
                <c:ptCount val="15"/>
                <c:pt idx="0">
                  <c:v>82.400001529999997</c:v>
                </c:pt>
                <c:pt idx="1">
                  <c:v>81.599998470000003</c:v>
                </c:pt>
                <c:pt idx="2">
                  <c:v>80.800003050000001</c:v>
                </c:pt>
                <c:pt idx="3">
                  <c:v>80</c:v>
                </c:pt>
                <c:pt idx="4">
                  <c:v>79.199996949999999</c:v>
                </c:pt>
                <c:pt idx="5">
                  <c:v>78.599998470000003</c:v>
                </c:pt>
                <c:pt idx="6">
                  <c:v>78</c:v>
                </c:pt>
                <c:pt idx="7">
                  <c:v>77.5</c:v>
                </c:pt>
                <c:pt idx="8">
                  <c:v>77.099998470000003</c:v>
                </c:pt>
                <c:pt idx="9">
                  <c:v>76.699996949999999</c:v>
                </c:pt>
                <c:pt idx="10">
                  <c:v>76.400001529999997</c:v>
                </c:pt>
                <c:pt idx="11">
                  <c:v>76.699996949999999</c:v>
                </c:pt>
                <c:pt idx="12">
                  <c:v>77</c:v>
                </c:pt>
                <c:pt idx="13">
                  <c:v>77.300003050000001</c:v>
                </c:pt>
                <c:pt idx="14">
                  <c:v>77.599998470000003</c:v>
                </c:pt>
              </c:numCache>
            </c:numRef>
          </c:val>
          <c:smooth val="0"/>
        </c:ser>
        <c:ser>
          <c:idx val="1"/>
          <c:order val="1"/>
          <c:tx>
            <c:strRef>
              <c:f>Hoja1!$C$1</c:f>
              <c:strCache>
                <c:ptCount val="1"/>
                <c:pt idx="0">
                  <c:v>España</c:v>
                </c:pt>
              </c:strCache>
            </c:strRef>
          </c:tx>
          <c:dLbls>
            <c:dLbl>
              <c:idx val="0"/>
              <c:layout>
                <c:manualLayout>
                  <c:x val="-2.6474127557160047E-2"/>
                  <c:y val="4.9535603715170205E-2"/>
                </c:manualLayout>
              </c:layout>
              <c:showLegendKey val="0"/>
              <c:showVal val="1"/>
              <c:showCatName val="0"/>
              <c:showSerName val="0"/>
              <c:showPercent val="0"/>
              <c:showBubbleSize val="0"/>
            </c:dLbl>
            <c:dLbl>
              <c:idx val="14"/>
              <c:layout>
                <c:manualLayout>
                  <c:x val="-4.5728038507821991E-2"/>
                  <c:y val="6.6047471620227033E-2"/>
                </c:manualLayout>
              </c:layout>
              <c:showLegendKey val="0"/>
              <c:showVal val="1"/>
              <c:showCatName val="0"/>
              <c:showSerName val="0"/>
              <c:showPercent val="0"/>
              <c:showBubbleSize val="0"/>
            </c:dLbl>
            <c:showLegendKey val="0"/>
            <c:showVal val="0"/>
            <c:showCatName val="0"/>
            <c:showSerName val="0"/>
            <c:showPercent val="0"/>
            <c:showBubbleSize val="0"/>
          </c:dLbls>
          <c:cat>
            <c:numRef>
              <c:f>Hoja1!$A$2:$A$16</c:f>
              <c:numCache>
                <c:formatCode>General</c:formatCod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numCache>
            </c:numRef>
          </c:cat>
          <c:val>
            <c:numRef>
              <c:f>Hoja1!$C$2:$C$16</c:f>
              <c:numCache>
                <c:formatCode>0.0</c:formatCode>
                <c:ptCount val="15"/>
                <c:pt idx="0">
                  <c:v>65.699996949999999</c:v>
                </c:pt>
                <c:pt idx="1">
                  <c:v>64.800003050000001</c:v>
                </c:pt>
                <c:pt idx="2">
                  <c:v>66.099998470000003</c:v>
                </c:pt>
                <c:pt idx="3">
                  <c:v>67.599998470000003</c:v>
                </c:pt>
                <c:pt idx="4">
                  <c:v>68.900001529999997</c:v>
                </c:pt>
                <c:pt idx="5">
                  <c:v>70</c:v>
                </c:pt>
                <c:pt idx="6">
                  <c:v>71.099998470000003</c:v>
                </c:pt>
                <c:pt idx="7">
                  <c:v>71.800003050000001</c:v>
                </c:pt>
                <c:pt idx="8">
                  <c:v>72.900001529999997</c:v>
                </c:pt>
                <c:pt idx="9">
                  <c:v>73.199996949999999</c:v>
                </c:pt>
                <c:pt idx="10">
                  <c:v>73.599998470000003</c:v>
                </c:pt>
                <c:pt idx="11">
                  <c:v>74</c:v>
                </c:pt>
                <c:pt idx="12">
                  <c:v>74.400001529999997</c:v>
                </c:pt>
                <c:pt idx="13">
                  <c:v>74.199996949999999</c:v>
                </c:pt>
                <c:pt idx="14">
                  <c:v>74.400001529999997</c:v>
                </c:pt>
              </c:numCache>
            </c:numRef>
          </c:val>
          <c:smooth val="0"/>
        </c:ser>
        <c:dLbls>
          <c:showLegendKey val="0"/>
          <c:showVal val="0"/>
          <c:showCatName val="0"/>
          <c:showSerName val="0"/>
          <c:showPercent val="0"/>
          <c:showBubbleSize val="0"/>
        </c:dLbls>
        <c:marker val="1"/>
        <c:smooth val="0"/>
        <c:axId val="89324544"/>
        <c:axId val="89424640"/>
      </c:lineChart>
      <c:catAx>
        <c:axId val="89324544"/>
        <c:scaling>
          <c:orientation val="minMax"/>
        </c:scaling>
        <c:delete val="0"/>
        <c:axPos val="b"/>
        <c:numFmt formatCode="General" sourceLinked="1"/>
        <c:majorTickMark val="out"/>
        <c:minorTickMark val="none"/>
        <c:tickLblPos val="nextTo"/>
        <c:txPr>
          <a:bodyPr rot="5400000" vert="horz"/>
          <a:lstStyle/>
          <a:p>
            <a:pPr>
              <a:defRPr/>
            </a:pPr>
            <a:endParaRPr lang="es-ES"/>
          </a:p>
        </c:txPr>
        <c:crossAx val="89424640"/>
        <c:crosses val="autoZero"/>
        <c:auto val="1"/>
        <c:lblAlgn val="ctr"/>
        <c:lblOffset val="100"/>
        <c:noMultiLvlLbl val="0"/>
      </c:catAx>
      <c:valAx>
        <c:axId val="89424640"/>
        <c:scaling>
          <c:orientation val="minMax"/>
          <c:max val="100"/>
          <c:min val="50"/>
        </c:scaling>
        <c:delete val="0"/>
        <c:axPos val="l"/>
        <c:majorGridlines/>
        <c:numFmt formatCode="0.0" sourceLinked="1"/>
        <c:majorTickMark val="out"/>
        <c:minorTickMark val="none"/>
        <c:tickLblPos val="nextTo"/>
        <c:crossAx val="89324544"/>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Hoja1!$B$1</c:f>
              <c:strCache>
                <c:ptCount val="1"/>
                <c:pt idx="0">
                  <c:v>China</c:v>
                </c:pt>
              </c:strCache>
            </c:strRef>
          </c:tx>
          <c:dLbls>
            <c:dLbl>
              <c:idx val="0"/>
              <c:layout>
                <c:manualLayout>
                  <c:x val="-2.4067388688327317E-2"/>
                  <c:y val="-6.1919504643962849E-2"/>
                </c:manualLayout>
              </c:layout>
              <c:showLegendKey val="0"/>
              <c:showVal val="1"/>
              <c:showCatName val="0"/>
              <c:showSerName val="0"/>
              <c:showPercent val="0"/>
              <c:showBubbleSize val="0"/>
            </c:dLbl>
            <c:dLbl>
              <c:idx val="14"/>
              <c:layout>
                <c:manualLayout>
                  <c:x val="-4.5728228014819447E-2"/>
                  <c:y val="5.3663245654664724E-2"/>
                </c:manualLayout>
              </c:layout>
              <c:showLegendKey val="0"/>
              <c:showVal val="1"/>
              <c:showCatName val="0"/>
              <c:showSerName val="0"/>
              <c:showPercent val="0"/>
              <c:showBubbleSize val="0"/>
            </c:dLbl>
            <c:showLegendKey val="0"/>
            <c:showVal val="0"/>
            <c:showCatName val="0"/>
            <c:showSerName val="0"/>
            <c:showPercent val="0"/>
            <c:showBubbleSize val="0"/>
          </c:dLbls>
          <c:cat>
            <c:numRef>
              <c:f>Hoja1!$A$2:$A$16</c:f>
              <c:numCache>
                <c:formatCode>General</c:formatCod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numCache>
            </c:numRef>
          </c:cat>
          <c:val>
            <c:numRef>
              <c:f>Hoja1!$B$2:$B$16</c:f>
              <c:numCache>
                <c:formatCode>0.0</c:formatCode>
                <c:ptCount val="15"/>
                <c:pt idx="0">
                  <c:v>44.945022180000002</c:v>
                </c:pt>
                <c:pt idx="1">
                  <c:v>44.901696010000002</c:v>
                </c:pt>
                <c:pt idx="2">
                  <c:v>44.791884340000003</c:v>
                </c:pt>
                <c:pt idx="3">
                  <c:v>44.743637540000002</c:v>
                </c:pt>
                <c:pt idx="4">
                  <c:v>44.625518139999997</c:v>
                </c:pt>
                <c:pt idx="5">
                  <c:v>44.508923250000002</c:v>
                </c:pt>
                <c:pt idx="6">
                  <c:v>44.401294210000003</c:v>
                </c:pt>
                <c:pt idx="7">
                  <c:v>44.295388060000001</c:v>
                </c:pt>
                <c:pt idx="8">
                  <c:v>44.186505320000002</c:v>
                </c:pt>
                <c:pt idx="9">
                  <c:v>44.08359506</c:v>
                </c:pt>
                <c:pt idx="10">
                  <c:v>43.973839529999999</c:v>
                </c:pt>
                <c:pt idx="11">
                  <c:v>43.920881960000003</c:v>
                </c:pt>
                <c:pt idx="12">
                  <c:v>43.923044959999999</c:v>
                </c:pt>
                <c:pt idx="13">
                  <c:v>43.863957560000003</c:v>
                </c:pt>
                <c:pt idx="14">
                  <c:v>43.866532399999997</c:v>
                </c:pt>
              </c:numCache>
            </c:numRef>
          </c:val>
          <c:smooth val="0"/>
        </c:ser>
        <c:ser>
          <c:idx val="1"/>
          <c:order val="1"/>
          <c:tx>
            <c:strRef>
              <c:f>Hoja1!$C$1</c:f>
              <c:strCache>
                <c:ptCount val="1"/>
                <c:pt idx="0">
                  <c:v>España</c:v>
                </c:pt>
              </c:strCache>
            </c:strRef>
          </c:tx>
          <c:dLbls>
            <c:dLbl>
              <c:idx val="0"/>
              <c:layout>
                <c:manualLayout>
                  <c:x val="-2.6474127557160047E-2"/>
                  <c:y val="4.9535603715170205E-2"/>
                </c:manualLayout>
              </c:layout>
              <c:showLegendKey val="0"/>
              <c:showVal val="1"/>
              <c:showCatName val="0"/>
              <c:showSerName val="0"/>
              <c:showPercent val="0"/>
              <c:showBubbleSize val="0"/>
            </c:dLbl>
            <c:dLbl>
              <c:idx val="14"/>
              <c:layout>
                <c:manualLayout>
                  <c:x val="-4.813496688365218E-2"/>
                  <c:y val="-5.3663570691434466E-2"/>
                </c:manualLayout>
              </c:layout>
              <c:showLegendKey val="0"/>
              <c:showVal val="1"/>
              <c:showCatName val="0"/>
              <c:showSerName val="0"/>
              <c:showPercent val="0"/>
              <c:showBubbleSize val="0"/>
            </c:dLbl>
            <c:showLegendKey val="0"/>
            <c:showVal val="0"/>
            <c:showCatName val="0"/>
            <c:showSerName val="0"/>
            <c:showPercent val="0"/>
            <c:showBubbleSize val="0"/>
          </c:dLbls>
          <c:cat>
            <c:numRef>
              <c:f>Hoja1!$A$2:$A$16</c:f>
              <c:numCache>
                <c:formatCode>General</c:formatCode>
                <c:ptCount val="1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numCache>
            </c:numRef>
          </c:cat>
          <c:val>
            <c:numRef>
              <c:f>Hoja1!$C$2:$C$16</c:f>
              <c:numCache>
                <c:formatCode>0.0</c:formatCode>
                <c:ptCount val="15"/>
                <c:pt idx="0">
                  <c:v>39.420082720000003</c:v>
                </c:pt>
                <c:pt idx="1">
                  <c:v>38.917610240000002</c:v>
                </c:pt>
                <c:pt idx="2">
                  <c:v>39.601948950000001</c:v>
                </c:pt>
                <c:pt idx="3">
                  <c:v>40.349079549999999</c:v>
                </c:pt>
                <c:pt idx="4">
                  <c:v>40.806967440000001</c:v>
                </c:pt>
                <c:pt idx="5">
                  <c:v>41.210547130000002</c:v>
                </c:pt>
                <c:pt idx="6">
                  <c:v>41.853585930000001</c:v>
                </c:pt>
                <c:pt idx="7">
                  <c:v>42.242707809999999</c:v>
                </c:pt>
                <c:pt idx="8">
                  <c:v>42.848495939999999</c:v>
                </c:pt>
                <c:pt idx="9">
                  <c:v>43.713834869999999</c:v>
                </c:pt>
                <c:pt idx="10">
                  <c:v>44.183673470000002</c:v>
                </c:pt>
                <c:pt idx="11">
                  <c:v>44.775499089999997</c:v>
                </c:pt>
                <c:pt idx="12">
                  <c:v>45.222537580000001</c:v>
                </c:pt>
                <c:pt idx="13">
                  <c:v>45.548565259999997</c:v>
                </c:pt>
                <c:pt idx="14">
                  <c:v>45.645089820000003</c:v>
                </c:pt>
              </c:numCache>
            </c:numRef>
          </c:val>
          <c:smooth val="0"/>
        </c:ser>
        <c:dLbls>
          <c:showLegendKey val="0"/>
          <c:showVal val="0"/>
          <c:showCatName val="0"/>
          <c:showSerName val="0"/>
          <c:showPercent val="0"/>
          <c:showBubbleSize val="0"/>
        </c:dLbls>
        <c:marker val="1"/>
        <c:smooth val="0"/>
        <c:axId val="105986304"/>
        <c:axId val="105992192"/>
      </c:lineChart>
      <c:catAx>
        <c:axId val="105986304"/>
        <c:scaling>
          <c:orientation val="minMax"/>
        </c:scaling>
        <c:delete val="0"/>
        <c:axPos val="b"/>
        <c:numFmt formatCode="General" sourceLinked="1"/>
        <c:majorTickMark val="out"/>
        <c:minorTickMark val="none"/>
        <c:tickLblPos val="nextTo"/>
        <c:txPr>
          <a:bodyPr rot="5400000" vert="horz"/>
          <a:lstStyle/>
          <a:p>
            <a:pPr>
              <a:defRPr/>
            </a:pPr>
            <a:endParaRPr lang="es-ES"/>
          </a:p>
        </c:txPr>
        <c:crossAx val="105992192"/>
        <c:crosses val="autoZero"/>
        <c:auto val="1"/>
        <c:lblAlgn val="ctr"/>
        <c:lblOffset val="100"/>
        <c:noMultiLvlLbl val="0"/>
      </c:catAx>
      <c:valAx>
        <c:axId val="105992192"/>
        <c:scaling>
          <c:orientation val="minMax"/>
          <c:max val="50"/>
          <c:min val="30"/>
        </c:scaling>
        <c:delete val="0"/>
        <c:axPos val="l"/>
        <c:majorGridlines/>
        <c:numFmt formatCode="0.0" sourceLinked="1"/>
        <c:majorTickMark val="out"/>
        <c:minorTickMark val="none"/>
        <c:tickLblPos val="nextTo"/>
        <c:crossAx val="105986304"/>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0.15952580812944583"/>
          <c:y val="0.13107611548556428"/>
          <c:w val="0.80559300591022853"/>
          <c:h val="0.64200443391178641"/>
        </c:manualLayout>
      </c:layout>
      <c:bar3DChart>
        <c:barDir val="col"/>
        <c:grouping val="percentStacked"/>
        <c:varyColors val="0"/>
        <c:ser>
          <c:idx val="0"/>
          <c:order val="0"/>
          <c:tx>
            <c:strRef>
              <c:f>Sheet1!$B$1</c:f>
              <c:strCache>
                <c:ptCount val="1"/>
                <c:pt idx="0">
                  <c:v>Agricultura </c:v>
                </c:pt>
              </c:strCache>
            </c:strRef>
          </c:tx>
          <c:invertIfNegative val="0"/>
          <c:cat>
            <c:numRef>
              <c:f>Sheet1!$A$2:$A$9</c:f>
              <c:numCache>
                <c:formatCode>General</c:formatCode>
                <c:ptCount val="8"/>
                <c:pt idx="0">
                  <c:v>2006</c:v>
                </c:pt>
                <c:pt idx="1">
                  <c:v>2007</c:v>
                </c:pt>
                <c:pt idx="2">
                  <c:v>2008</c:v>
                </c:pt>
                <c:pt idx="3">
                  <c:v>2009</c:v>
                </c:pt>
                <c:pt idx="4">
                  <c:v>2010</c:v>
                </c:pt>
                <c:pt idx="5">
                  <c:v>2011</c:v>
                </c:pt>
                <c:pt idx="6">
                  <c:v>2012</c:v>
                </c:pt>
                <c:pt idx="7">
                  <c:v>2013</c:v>
                </c:pt>
              </c:numCache>
            </c:numRef>
          </c:cat>
          <c:val>
            <c:numRef>
              <c:f>Sheet1!$B$2:$B$9</c:f>
              <c:numCache>
                <c:formatCode>General</c:formatCode>
                <c:ptCount val="8"/>
                <c:pt idx="0">
                  <c:v>42.6</c:v>
                </c:pt>
                <c:pt idx="1">
                  <c:v>40.800000000000004</c:v>
                </c:pt>
                <c:pt idx="2">
                  <c:v>39.6</c:v>
                </c:pt>
                <c:pt idx="3">
                  <c:v>38.1</c:v>
                </c:pt>
                <c:pt idx="4">
                  <c:v>36.700000000000003</c:v>
                </c:pt>
                <c:pt idx="5">
                  <c:v>34.800000000000004</c:v>
                </c:pt>
                <c:pt idx="6">
                  <c:v>33.200000000000003</c:v>
                </c:pt>
                <c:pt idx="7">
                  <c:v>31.7</c:v>
                </c:pt>
              </c:numCache>
            </c:numRef>
          </c:val>
        </c:ser>
        <c:ser>
          <c:idx val="1"/>
          <c:order val="1"/>
          <c:tx>
            <c:strRef>
              <c:f>Sheet1!$C$1</c:f>
              <c:strCache>
                <c:ptCount val="1"/>
                <c:pt idx="0">
                  <c:v>Industria</c:v>
                </c:pt>
              </c:strCache>
            </c:strRef>
          </c:tx>
          <c:invertIfNegative val="0"/>
          <c:cat>
            <c:numRef>
              <c:f>Sheet1!$A$2:$A$9</c:f>
              <c:numCache>
                <c:formatCode>General</c:formatCode>
                <c:ptCount val="8"/>
                <c:pt idx="0">
                  <c:v>2006</c:v>
                </c:pt>
                <c:pt idx="1">
                  <c:v>2007</c:v>
                </c:pt>
                <c:pt idx="2">
                  <c:v>2008</c:v>
                </c:pt>
                <c:pt idx="3">
                  <c:v>2009</c:v>
                </c:pt>
                <c:pt idx="4">
                  <c:v>2010</c:v>
                </c:pt>
                <c:pt idx="5">
                  <c:v>2011</c:v>
                </c:pt>
                <c:pt idx="6">
                  <c:v>2012</c:v>
                </c:pt>
                <c:pt idx="7">
                  <c:v>2013</c:v>
                </c:pt>
              </c:numCache>
            </c:numRef>
          </c:cat>
          <c:val>
            <c:numRef>
              <c:f>Sheet1!$C$2:$C$9</c:f>
              <c:numCache>
                <c:formatCode>General</c:formatCode>
                <c:ptCount val="8"/>
                <c:pt idx="0">
                  <c:v>25.2</c:v>
                </c:pt>
                <c:pt idx="1">
                  <c:v>26.8</c:v>
                </c:pt>
                <c:pt idx="2">
                  <c:v>27.2</c:v>
                </c:pt>
                <c:pt idx="3">
                  <c:v>27.8</c:v>
                </c:pt>
                <c:pt idx="4">
                  <c:v>28.7</c:v>
                </c:pt>
                <c:pt idx="5">
                  <c:v>29.5</c:v>
                </c:pt>
                <c:pt idx="6">
                  <c:v>30.1</c:v>
                </c:pt>
                <c:pt idx="7">
                  <c:v>29.2</c:v>
                </c:pt>
              </c:numCache>
            </c:numRef>
          </c:val>
        </c:ser>
        <c:ser>
          <c:idx val="2"/>
          <c:order val="2"/>
          <c:tx>
            <c:strRef>
              <c:f>Sheet1!$D$1</c:f>
              <c:strCache>
                <c:ptCount val="1"/>
                <c:pt idx="0">
                  <c:v>Servicios</c:v>
                </c:pt>
              </c:strCache>
            </c:strRef>
          </c:tx>
          <c:invertIfNegative val="0"/>
          <c:cat>
            <c:numRef>
              <c:f>Sheet1!$A$2:$A$9</c:f>
              <c:numCache>
                <c:formatCode>General</c:formatCode>
                <c:ptCount val="8"/>
                <c:pt idx="0">
                  <c:v>2006</c:v>
                </c:pt>
                <c:pt idx="1">
                  <c:v>2007</c:v>
                </c:pt>
                <c:pt idx="2">
                  <c:v>2008</c:v>
                </c:pt>
                <c:pt idx="3">
                  <c:v>2009</c:v>
                </c:pt>
                <c:pt idx="4">
                  <c:v>2010</c:v>
                </c:pt>
                <c:pt idx="5">
                  <c:v>2011</c:v>
                </c:pt>
                <c:pt idx="6">
                  <c:v>2012</c:v>
                </c:pt>
                <c:pt idx="7">
                  <c:v>2013</c:v>
                </c:pt>
              </c:numCache>
            </c:numRef>
          </c:cat>
          <c:val>
            <c:numRef>
              <c:f>Sheet1!$D$2:$D$9</c:f>
              <c:numCache>
                <c:formatCode>General</c:formatCode>
                <c:ptCount val="8"/>
                <c:pt idx="0">
                  <c:v>32.200000000000003</c:v>
                </c:pt>
                <c:pt idx="1">
                  <c:v>32.4</c:v>
                </c:pt>
                <c:pt idx="2">
                  <c:v>33.200000000000003</c:v>
                </c:pt>
                <c:pt idx="3">
                  <c:v>34.1</c:v>
                </c:pt>
                <c:pt idx="4">
                  <c:v>34.6</c:v>
                </c:pt>
                <c:pt idx="5">
                  <c:v>35.700000000000003</c:v>
                </c:pt>
                <c:pt idx="6">
                  <c:v>37.800000000000004</c:v>
                </c:pt>
                <c:pt idx="7">
                  <c:v>39.1</c:v>
                </c:pt>
              </c:numCache>
            </c:numRef>
          </c:val>
        </c:ser>
        <c:dLbls>
          <c:showLegendKey val="0"/>
          <c:showVal val="0"/>
          <c:showCatName val="0"/>
          <c:showSerName val="0"/>
          <c:showPercent val="0"/>
          <c:showBubbleSize val="0"/>
        </c:dLbls>
        <c:gapWidth val="95"/>
        <c:gapDepth val="95"/>
        <c:shape val="cylinder"/>
        <c:axId val="95520256"/>
        <c:axId val="95521792"/>
        <c:axId val="0"/>
      </c:bar3DChart>
      <c:catAx>
        <c:axId val="95520256"/>
        <c:scaling>
          <c:orientation val="minMax"/>
        </c:scaling>
        <c:delete val="0"/>
        <c:axPos val="b"/>
        <c:numFmt formatCode="General" sourceLinked="1"/>
        <c:majorTickMark val="none"/>
        <c:minorTickMark val="none"/>
        <c:tickLblPos val="nextTo"/>
        <c:crossAx val="95521792"/>
        <c:crosses val="autoZero"/>
        <c:auto val="1"/>
        <c:lblAlgn val="ctr"/>
        <c:lblOffset val="100"/>
        <c:noMultiLvlLbl val="0"/>
      </c:catAx>
      <c:valAx>
        <c:axId val="95521792"/>
        <c:scaling>
          <c:orientation val="minMax"/>
        </c:scaling>
        <c:delete val="0"/>
        <c:axPos val="l"/>
        <c:majorGridlines/>
        <c:numFmt formatCode="0%" sourceLinked="1"/>
        <c:majorTickMark val="none"/>
        <c:minorTickMark val="none"/>
        <c:tickLblPos val="nextTo"/>
        <c:crossAx val="9552025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percentStacked"/>
        <c:varyColors val="0"/>
        <c:ser>
          <c:idx val="0"/>
          <c:order val="0"/>
          <c:tx>
            <c:strRef>
              <c:f>Sheet1!$B$1</c:f>
              <c:strCache>
                <c:ptCount val="1"/>
                <c:pt idx="0">
                  <c:v>Agricultura </c:v>
                </c:pt>
              </c:strCache>
            </c:strRef>
          </c:tx>
          <c:invertIfNegative val="0"/>
          <c:cat>
            <c:numRef>
              <c:f>Sheet1!$A$2:$A$9</c:f>
              <c:numCache>
                <c:formatCode>General</c:formatCode>
                <c:ptCount val="8"/>
                <c:pt idx="0">
                  <c:v>2006</c:v>
                </c:pt>
                <c:pt idx="1">
                  <c:v>2007</c:v>
                </c:pt>
                <c:pt idx="2">
                  <c:v>2008</c:v>
                </c:pt>
                <c:pt idx="3">
                  <c:v>2009</c:v>
                </c:pt>
                <c:pt idx="4">
                  <c:v>2010</c:v>
                </c:pt>
                <c:pt idx="5">
                  <c:v>2011</c:v>
                </c:pt>
                <c:pt idx="6">
                  <c:v>2012</c:v>
                </c:pt>
                <c:pt idx="7">
                  <c:v>2013</c:v>
                </c:pt>
              </c:numCache>
            </c:numRef>
          </c:cat>
          <c:val>
            <c:numRef>
              <c:f>Sheet1!$B$2:$B$9</c:f>
              <c:numCache>
                <c:formatCode>General</c:formatCode>
                <c:ptCount val="8"/>
                <c:pt idx="0">
                  <c:v>4.8</c:v>
                </c:pt>
                <c:pt idx="1">
                  <c:v>4.5</c:v>
                </c:pt>
                <c:pt idx="2">
                  <c:v>4</c:v>
                </c:pt>
                <c:pt idx="3">
                  <c:v>4.2</c:v>
                </c:pt>
                <c:pt idx="4">
                  <c:v>4.3</c:v>
                </c:pt>
                <c:pt idx="5">
                  <c:v>4.2</c:v>
                </c:pt>
                <c:pt idx="6">
                  <c:v>4.4000000000000004</c:v>
                </c:pt>
                <c:pt idx="7">
                  <c:v>4.5</c:v>
                </c:pt>
              </c:numCache>
            </c:numRef>
          </c:val>
        </c:ser>
        <c:ser>
          <c:idx val="1"/>
          <c:order val="1"/>
          <c:tx>
            <c:strRef>
              <c:f>Sheet1!$C$1</c:f>
              <c:strCache>
                <c:ptCount val="1"/>
                <c:pt idx="0">
                  <c:v>Industria</c:v>
                </c:pt>
              </c:strCache>
            </c:strRef>
          </c:tx>
          <c:invertIfNegative val="0"/>
          <c:cat>
            <c:numRef>
              <c:f>Sheet1!$A$2:$A$9</c:f>
              <c:numCache>
                <c:formatCode>General</c:formatCode>
                <c:ptCount val="8"/>
                <c:pt idx="0">
                  <c:v>2006</c:v>
                </c:pt>
                <c:pt idx="1">
                  <c:v>2007</c:v>
                </c:pt>
                <c:pt idx="2">
                  <c:v>2008</c:v>
                </c:pt>
                <c:pt idx="3">
                  <c:v>2009</c:v>
                </c:pt>
                <c:pt idx="4">
                  <c:v>2010</c:v>
                </c:pt>
                <c:pt idx="5">
                  <c:v>2011</c:v>
                </c:pt>
                <c:pt idx="6">
                  <c:v>2012</c:v>
                </c:pt>
                <c:pt idx="7">
                  <c:v>2013</c:v>
                </c:pt>
              </c:numCache>
            </c:numRef>
          </c:cat>
          <c:val>
            <c:numRef>
              <c:f>Sheet1!$C$2:$C$9</c:f>
              <c:numCache>
                <c:formatCode>General</c:formatCode>
                <c:ptCount val="8"/>
                <c:pt idx="0">
                  <c:v>29.5</c:v>
                </c:pt>
                <c:pt idx="1">
                  <c:v>29.3</c:v>
                </c:pt>
                <c:pt idx="2">
                  <c:v>27.9</c:v>
                </c:pt>
                <c:pt idx="3">
                  <c:v>24.7</c:v>
                </c:pt>
                <c:pt idx="4">
                  <c:v>23.1</c:v>
                </c:pt>
                <c:pt idx="5">
                  <c:v>21.8</c:v>
                </c:pt>
                <c:pt idx="6">
                  <c:v>20.7</c:v>
                </c:pt>
                <c:pt idx="7">
                  <c:v>19.5</c:v>
                </c:pt>
              </c:numCache>
            </c:numRef>
          </c:val>
        </c:ser>
        <c:ser>
          <c:idx val="2"/>
          <c:order val="2"/>
          <c:tx>
            <c:strRef>
              <c:f>Sheet1!$D$1</c:f>
              <c:strCache>
                <c:ptCount val="1"/>
                <c:pt idx="0">
                  <c:v>Servicios</c:v>
                </c:pt>
              </c:strCache>
            </c:strRef>
          </c:tx>
          <c:invertIfNegative val="0"/>
          <c:cat>
            <c:numRef>
              <c:f>Sheet1!$A$2:$A$9</c:f>
              <c:numCache>
                <c:formatCode>General</c:formatCode>
                <c:ptCount val="8"/>
                <c:pt idx="0">
                  <c:v>2006</c:v>
                </c:pt>
                <c:pt idx="1">
                  <c:v>2007</c:v>
                </c:pt>
                <c:pt idx="2">
                  <c:v>2008</c:v>
                </c:pt>
                <c:pt idx="3">
                  <c:v>2009</c:v>
                </c:pt>
                <c:pt idx="4">
                  <c:v>2010</c:v>
                </c:pt>
                <c:pt idx="5">
                  <c:v>2011</c:v>
                </c:pt>
                <c:pt idx="6">
                  <c:v>2012</c:v>
                </c:pt>
                <c:pt idx="7">
                  <c:v>2013</c:v>
                </c:pt>
              </c:numCache>
            </c:numRef>
          </c:cat>
          <c:val>
            <c:numRef>
              <c:f>Sheet1!$D$2:$D$9</c:f>
              <c:numCache>
                <c:formatCode>General</c:formatCode>
                <c:ptCount val="8"/>
                <c:pt idx="0">
                  <c:v>65.7</c:v>
                </c:pt>
                <c:pt idx="1">
                  <c:v>66.2</c:v>
                </c:pt>
                <c:pt idx="2">
                  <c:v>68.099999999999994</c:v>
                </c:pt>
                <c:pt idx="3">
                  <c:v>71.099999999999994</c:v>
                </c:pt>
                <c:pt idx="4">
                  <c:v>72.599999999999994</c:v>
                </c:pt>
                <c:pt idx="5">
                  <c:v>74</c:v>
                </c:pt>
                <c:pt idx="6">
                  <c:v>74.900000000000006</c:v>
                </c:pt>
                <c:pt idx="7">
                  <c:v>76</c:v>
                </c:pt>
              </c:numCache>
            </c:numRef>
          </c:val>
        </c:ser>
        <c:dLbls>
          <c:showLegendKey val="0"/>
          <c:showVal val="0"/>
          <c:showCatName val="0"/>
          <c:showSerName val="0"/>
          <c:showPercent val="0"/>
          <c:showBubbleSize val="0"/>
        </c:dLbls>
        <c:gapWidth val="95"/>
        <c:gapDepth val="95"/>
        <c:shape val="cylinder"/>
        <c:axId val="108959616"/>
        <c:axId val="108961152"/>
        <c:axId val="0"/>
      </c:bar3DChart>
      <c:catAx>
        <c:axId val="108959616"/>
        <c:scaling>
          <c:orientation val="minMax"/>
        </c:scaling>
        <c:delete val="0"/>
        <c:axPos val="b"/>
        <c:numFmt formatCode="General" sourceLinked="1"/>
        <c:majorTickMark val="none"/>
        <c:minorTickMark val="none"/>
        <c:tickLblPos val="nextTo"/>
        <c:crossAx val="108961152"/>
        <c:crosses val="autoZero"/>
        <c:auto val="1"/>
        <c:lblAlgn val="ctr"/>
        <c:lblOffset val="100"/>
        <c:noMultiLvlLbl val="0"/>
      </c:catAx>
      <c:valAx>
        <c:axId val="108961152"/>
        <c:scaling>
          <c:orientation val="minMax"/>
        </c:scaling>
        <c:delete val="0"/>
        <c:axPos val="l"/>
        <c:majorGridlines/>
        <c:numFmt formatCode="0%" sourceLinked="1"/>
        <c:majorTickMark val="none"/>
        <c:minorTickMark val="none"/>
        <c:tickLblPos val="nextTo"/>
        <c:crossAx val="10895961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450BFB-5EA9-4B8C-B7EC-703292726F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61</Pages>
  <Words>12990</Words>
  <Characters>71449</Characters>
  <Application>Microsoft Office Word</Application>
  <DocSecurity>0</DocSecurity>
  <Lines>595</Lines>
  <Paragraphs>168</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微软中国</Company>
  <LinksUpToDate>false</LinksUpToDate>
  <CharactersWithSpaces>84271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Tolosa</cp:lastModifiedBy>
  <cp:revision>22</cp:revision>
  <cp:lastPrinted>2017-01-17T09:10:00Z</cp:lastPrinted>
  <dcterms:created xsi:type="dcterms:W3CDTF">2017-01-16T17:56:00Z</dcterms:created>
  <dcterms:modified xsi:type="dcterms:W3CDTF">2017-01-17T09:10:00Z</dcterms:modified>
</cp:coreProperties>
</file>