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777B" w:rsidRDefault="00C3474F" w:rsidP="00D406A5">
      <w:pPr>
        <w:jc w:val="right"/>
      </w:pPr>
      <w:r>
        <w:rPr>
          <w:noProof/>
        </w:rPr>
        <w:pict>
          <v:shapetype id="_x0000_t202" coordsize="21600,21600" o:spt="202" path="m,l,21600r21600,l21600,xe">
            <v:stroke joinstyle="miter"/>
            <v:path gradientshapeok="t" o:connecttype="rect"/>
          </v:shapetype>
          <v:shape id="Text Box 2" o:spid="_x0000_s1026" type="#_x0000_t202" style="position:absolute;left:0;text-align:left;margin-left:-85.05pt;margin-top:-71.45pt;width:180.75pt;height:907.05pt;z-index:3;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" o:allowincell="f" fillcolor="#ea0000" stroked="f">
            <v:textbox style="layout-flow:vertical;mso-layout-flow-alt:bottom-to-top">
              <w:txbxContent>
                <w:p w:rsidR="00C3474F" w:rsidRPr="00D2476B" w:rsidRDefault="00C3474F" w:rsidP="00D406A5">
                  <w:pPr>
                    <w:pStyle w:val="Ttulo2"/>
                    <w:jc w:val="center"/>
                    <w:rPr>
                      <w:color w:val="F79646"/>
                      <w:sz w:val="72"/>
                    </w:rPr>
                  </w:pPr>
                  <w:r w:rsidRPr="00D2476B">
                    <w:rPr>
                      <w:color w:val="F79646"/>
                      <w:sz w:val="72"/>
                    </w:rPr>
                    <w:t>Facultad de Ciencias Sociales y Jurídicas</w:t>
                  </w:r>
                </w:p>
                <w:p w:rsidR="00C3474F" w:rsidRPr="00D406A5" w:rsidRDefault="00C3474F" w:rsidP="00D406A5">
                  <w:pPr>
                    <w:pStyle w:val="Ttulo1"/>
                    <w:jc w:val="center"/>
                    <w:rPr>
                      <w:rFonts w:ascii="Arial Narrow" w:hAnsi="Arial Narrow"/>
                    </w:rPr>
                  </w:pPr>
                  <w:r w:rsidRPr="00D406A5">
                    <w:rPr>
                      <w:rFonts w:ascii="Arial Narrow" w:hAnsi="Arial Narrow"/>
                    </w:rPr>
                    <w:t>Grado en Derecho</w:t>
                  </w:r>
                </w:p>
              </w:txbxContent>
            </v:textbox>
          </v:shape>
        </w:pict>
      </w:r>
    </w:p>
    <w:p w:rsidR="0038777B" w:rsidRDefault="0038777B" w:rsidP="00D406A5"/>
    <w:p w:rsidR="0038777B" w:rsidRPr="00B9129F" w:rsidRDefault="0038777B" w:rsidP="00D406A5"/>
    <w:p w:rsidR="0038777B" w:rsidRPr="00B9129F" w:rsidRDefault="0038777B" w:rsidP="00D406A5"/>
    <w:p w:rsidR="0038777B" w:rsidRPr="00B9129F" w:rsidRDefault="00C3474F" w:rsidP="00D406A5">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5" o:spid="_x0000_s1027" type="#_x0000_t75" alt="escudo" style="position:absolute;margin-left:261.75pt;margin-top:14.65pt;width:74.25pt;height:81pt;z-index:4;visibility:visible" o:allowincell="f">
            <v:imagedata r:id="rId9" o:title=""/>
            <w10:wrap type="topAndBottom"/>
          </v:shape>
        </w:pict>
      </w:r>
      <w:r>
        <w:rPr>
          <w:noProof/>
        </w:rPr>
        <w:pict>
          <v:shape id="Text Box 6" o:spid="_x0000_s1028" type="#_x0000_t202" style="position:absolute;margin-left:95.7pt;margin-top:101.4pt;width:402.6pt;height:129.6pt;z-index: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" o:allowincell="f" stroked="f">
            <v:textbox>
              <w:txbxContent>
                <w:p w:rsidR="00C3474F" w:rsidRDefault="00C3474F" w:rsidP="00D406A5">
                  <w:pPr>
                    <w:pStyle w:val="Ttulo6"/>
                    <w:rPr>
                      <w:b w:val="0"/>
                    </w:rPr>
                  </w:pPr>
                  <w:r>
                    <w:t>Universidad de Jaén</w:t>
                  </w:r>
                </w:p>
                <w:p w:rsidR="00C3474F" w:rsidRDefault="00C3474F" w:rsidP="00D406A5">
                  <w:pPr>
                    <w:pStyle w:val="Ttulo3"/>
                  </w:pPr>
                  <w:r>
                    <w:t>Facultad de Ciencias Sociales y Jurídicas</w:t>
                  </w:r>
                </w:p>
                <w:p w:rsidR="00C3474F" w:rsidRDefault="00C3474F" w:rsidP="00D406A5"/>
                <w:p w:rsidR="00C3474F" w:rsidRDefault="00C3474F" w:rsidP="00D406A5"/>
                <w:p w:rsidR="00C3474F" w:rsidRDefault="00C3474F" w:rsidP="00D406A5"/>
                <w:p w:rsidR="00C3474F" w:rsidRDefault="00C3474F" w:rsidP="00D406A5"/>
                <w:p w:rsidR="00C3474F" w:rsidRDefault="00C3474F" w:rsidP="00D406A5"/>
                <w:p w:rsidR="00C3474F" w:rsidRDefault="00C3474F" w:rsidP="00D406A5">
                  <w:pPr>
                    <w:pStyle w:val="Textoindependiente"/>
                    <w:rPr>
                      <w:rFonts w:ascii="Arial" w:hAnsi="Arial"/>
                      <w:sz w:val="44"/>
                      <w:u w:val="single"/>
                    </w:rPr>
                  </w:pPr>
                  <w:r>
                    <w:rPr>
                      <w:rFonts w:ascii="Arial" w:hAnsi="Arial"/>
                      <w:sz w:val="44"/>
                      <w:u w:val="single"/>
                    </w:rPr>
                    <w:t>Trabajo Fin de Grado</w:t>
                  </w:r>
                </w:p>
              </w:txbxContent>
            </v:textbox>
          </v:shape>
        </w:pict>
      </w:r>
    </w:p>
    <w:p w:rsidR="0038777B" w:rsidRPr="00B9129F" w:rsidRDefault="0038777B" w:rsidP="00D406A5"/>
    <w:p w:rsidR="0038777B" w:rsidRPr="00B9129F" w:rsidRDefault="0038777B" w:rsidP="00D406A5"/>
    <w:p w:rsidR="0038777B" w:rsidRPr="00B9129F" w:rsidRDefault="0038777B" w:rsidP="00D406A5"/>
    <w:p w:rsidR="0038777B" w:rsidRPr="00B9129F" w:rsidRDefault="0038777B" w:rsidP="00D406A5"/>
    <w:p w:rsidR="0038777B" w:rsidRPr="00B9129F" w:rsidRDefault="0038777B" w:rsidP="00D406A5"/>
    <w:p w:rsidR="0038777B" w:rsidRPr="00B9129F" w:rsidRDefault="0038777B" w:rsidP="00D406A5"/>
    <w:p w:rsidR="0038777B" w:rsidRPr="00B9129F" w:rsidRDefault="0038777B" w:rsidP="00D406A5"/>
    <w:p w:rsidR="0038777B" w:rsidRPr="00B9129F" w:rsidRDefault="0038777B" w:rsidP="00D406A5"/>
    <w:p w:rsidR="0038777B" w:rsidRDefault="0038777B" w:rsidP="00D406A5"/>
    <w:p w:rsidR="0038777B" w:rsidRDefault="0038777B" w:rsidP="00D406A5"/>
    <w:p w:rsidR="0038777B" w:rsidRPr="00B9129F" w:rsidRDefault="0038777B" w:rsidP="00D406A5">
      <w:pPr>
        <w:tabs>
          <w:tab w:val="left" w:pos="7215"/>
        </w:tabs>
      </w:pPr>
      <w:r>
        <w:tab/>
      </w:r>
    </w:p>
    <w:p w:rsidR="0038777B" w:rsidRDefault="0038777B" w:rsidP="00D406A5">
      <w:pPr>
        <w:jc w:val="right"/>
      </w:pPr>
    </w:p>
    <w:p w:rsidR="0038777B" w:rsidRDefault="0038777B" w:rsidP="00D406A5">
      <w:pPr>
        <w:jc w:val="right"/>
      </w:pPr>
    </w:p>
    <w:p w:rsidR="0038777B" w:rsidRDefault="007465D1" w:rsidP="00D406A5">
      <w:pPr>
        <w:jc w:val="right"/>
      </w:pPr>
      <w:r>
        <w:rPr>
          <w:noProof/>
        </w:rPr>
        <w:pict>
          <v:shape id="Text Box 7" o:spid="_x0000_s1030" type="#_x0000_t202" style="position:absolute;left:0;text-align:left;margin-left:111.75pt;margin-top:8.45pt;width:372.45pt;height:227.25pt;z-index: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" o:allowincell="f" stroked="f">
            <v:textbox>
              <w:txbxContent>
                <w:p w:rsidR="00C3474F" w:rsidRDefault="00C3474F" w:rsidP="00D406A5">
                  <w:pPr>
                    <w:pStyle w:val="Textoindependiente2"/>
                    <w:rPr>
                      <w:b/>
                      <w:sz w:val="64"/>
                      <w:lang w:val="es-ES_tradnl"/>
                    </w:rPr>
                  </w:pPr>
                </w:p>
                <w:p w:rsidR="00C3474F" w:rsidRPr="00181EDB" w:rsidRDefault="00C3474F" w:rsidP="00D406A5">
                  <w:pPr>
                    <w:pStyle w:val="Textoindependiente2"/>
                    <w:rPr>
                      <w:b/>
                      <w:sz w:val="64"/>
                      <w:lang w:val="es-ES_tradnl"/>
                    </w:rPr>
                  </w:pPr>
                  <w:r>
                    <w:rPr>
                      <w:b/>
                      <w:sz w:val="64"/>
                      <w:lang w:val="es-ES_tradnl"/>
                    </w:rPr>
                    <w:t>LA SECESIÓN CATALA COMO QUIEBRA AL ESTADO DE DERECHO</w:t>
                  </w:r>
                </w:p>
              </w:txbxContent>
            </v:textbox>
          </v:shape>
        </w:pict>
      </w: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7465D1" w:rsidP="00D406A5">
      <w:pPr>
        <w:jc w:val="right"/>
      </w:pPr>
      <w:r>
        <w:rPr>
          <w:noProof/>
        </w:rPr>
        <w:pict>
          <v:shape id="Text Box 8" o:spid="_x0000_s1029" type="#_x0000_t202" style="position:absolute;left:0;text-align:left;margin-left:127.65pt;margin-top:.5pt;width:356.55pt;height:223.2pt;z-index: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" o:allowincell="f" stroked="f">
            <v:textbox>
              <w:txbxContent>
                <w:p w:rsidR="00C3474F" w:rsidRDefault="00C3474F" w:rsidP="00D406A5">
                  <w:pPr>
                    <w:pStyle w:val="Ttulo5"/>
                    <w:jc w:val="center"/>
                  </w:pPr>
                  <w:r>
                    <w:t>Alumno:</w:t>
                  </w:r>
                </w:p>
                <w:p w:rsidR="00C3474F" w:rsidRDefault="00C3474F" w:rsidP="00D406A5">
                  <w:pPr>
                    <w:jc w:val="center"/>
                    <w:rPr>
                      <w:rFonts w:ascii="Arial" w:hAnsi="Arial"/>
                      <w:sz w:val="32"/>
                    </w:rPr>
                  </w:pPr>
                </w:p>
                <w:p w:rsidR="00C3474F" w:rsidRDefault="00C3474F" w:rsidP="00D406A5">
                  <w:pPr>
                    <w:jc w:val="center"/>
                    <w:rPr>
                      <w:rFonts w:ascii="Arial" w:hAnsi="Arial"/>
                      <w:sz w:val="32"/>
                    </w:rPr>
                  </w:pPr>
                </w:p>
                <w:p w:rsidR="00C3474F" w:rsidRDefault="00C3474F" w:rsidP="00D406A5">
                  <w:pPr>
                    <w:jc w:val="center"/>
                    <w:rPr>
                      <w:rFonts w:ascii="Arial" w:hAnsi="Arial"/>
                      <w:sz w:val="32"/>
                    </w:rPr>
                  </w:pPr>
                  <w:r>
                    <w:rPr>
                      <w:rFonts w:ascii="Arial" w:hAnsi="Arial"/>
                      <w:sz w:val="32"/>
                    </w:rPr>
                    <w:t>Luque Santiago, Amador</w:t>
                  </w:r>
                </w:p>
                <w:p w:rsidR="00C3474F" w:rsidRDefault="00C3474F" w:rsidP="00D406A5">
                  <w:pPr>
                    <w:jc w:val="center"/>
                    <w:rPr>
                      <w:rFonts w:ascii="Arial" w:hAnsi="Arial"/>
                      <w:sz w:val="32"/>
                    </w:rPr>
                  </w:pPr>
                </w:p>
                <w:p w:rsidR="00C3474F" w:rsidRDefault="00C3474F" w:rsidP="00D406A5">
                  <w:pPr>
                    <w:jc w:val="center"/>
                    <w:rPr>
                      <w:rFonts w:ascii="Arial" w:hAnsi="Arial"/>
                      <w:sz w:val="32"/>
                    </w:rPr>
                  </w:pPr>
                </w:p>
                <w:p w:rsidR="00C3474F" w:rsidRDefault="00C3474F" w:rsidP="001411DD">
                  <w:pPr>
                    <w:pStyle w:val="Ttulo4"/>
                    <w:rPr>
                      <w:b w:val="0"/>
                      <w:sz w:val="36"/>
                    </w:rPr>
                  </w:pPr>
                  <w:r>
                    <w:rPr>
                      <w:sz w:val="36"/>
                    </w:rPr>
                    <w:t>Mes, Año:</w:t>
                  </w:r>
                </w:p>
                <w:p w:rsidR="00C3474F" w:rsidRDefault="00C3474F" w:rsidP="001411DD"/>
                <w:p w:rsidR="00C3474F" w:rsidRPr="001411DD" w:rsidRDefault="00C3474F" w:rsidP="001411DD"/>
                <w:p w:rsidR="00C3474F" w:rsidRDefault="00C3474F" w:rsidP="001411DD"/>
                <w:p w:rsidR="00C3474F" w:rsidRPr="001411DD" w:rsidRDefault="00C3474F" w:rsidP="001411DD">
                  <w:pPr>
                    <w:jc w:val="center"/>
                    <w:rPr>
                      <w:rFonts w:ascii="Arial" w:hAnsi="Arial" w:cs="Arial"/>
                      <w:sz w:val="32"/>
                      <w:szCs w:val="32"/>
                    </w:rPr>
                  </w:pPr>
                  <w:r>
                    <w:rPr>
                      <w:rFonts w:ascii="Arial" w:hAnsi="Arial" w:cs="Arial"/>
                      <w:sz w:val="32"/>
                      <w:szCs w:val="32"/>
                    </w:rPr>
                    <w:t>Mayo, 2017</w:t>
                  </w:r>
                </w:p>
              </w:txbxContent>
            </v:textbox>
          </v:shape>
        </w:pict>
      </w: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D406A5">
      <w:pPr>
        <w:jc w:val="right"/>
      </w:pPr>
    </w:p>
    <w:p w:rsidR="0038777B" w:rsidRDefault="0038777B" w:rsidP="00FE0DF5">
      <w:pPr>
        <w:spacing w:after="160" w:line="360" w:lineRule="auto"/>
        <w:outlineLvl w:val="0"/>
        <w:rPr>
          <w:b/>
          <w:sz w:val="40"/>
          <w:szCs w:val="40"/>
          <w:lang w:val="es-ES_tradnl" w:eastAsia="en-US"/>
        </w:rPr>
      </w:pPr>
      <w:r w:rsidRPr="00562AD3">
        <w:rPr>
          <w:b/>
          <w:sz w:val="40"/>
          <w:szCs w:val="40"/>
          <w:lang w:val="es-ES_tradnl" w:eastAsia="en-US"/>
        </w:rPr>
        <w:lastRenderedPageBreak/>
        <w:t>ÍNDICE DE CONTENIDOS</w:t>
      </w:r>
    </w:p>
    <w:p w:rsidR="0038777B" w:rsidRPr="00FE0DF5" w:rsidRDefault="0038777B" w:rsidP="00562AD3">
      <w:pPr>
        <w:spacing w:after="160" w:line="360" w:lineRule="auto"/>
        <w:rPr>
          <w:b/>
          <w:sz w:val="24"/>
          <w:szCs w:val="24"/>
          <w:lang w:val="es-ES_tradnl" w:eastAsia="en-US"/>
        </w:rPr>
      </w:pPr>
    </w:p>
    <w:p w:rsidR="0038777B" w:rsidRPr="00562AD3" w:rsidRDefault="0038777B" w:rsidP="00FE0DF5">
      <w:pPr>
        <w:spacing w:after="160" w:line="360" w:lineRule="auto"/>
        <w:jc w:val="both"/>
        <w:outlineLvl w:val="0"/>
        <w:rPr>
          <w:b/>
          <w:sz w:val="24"/>
          <w:szCs w:val="24"/>
          <w:lang w:val="es-ES_tradnl" w:eastAsia="en-US"/>
        </w:rPr>
      </w:pPr>
      <w:r w:rsidRPr="00562AD3">
        <w:rPr>
          <w:b/>
          <w:sz w:val="24"/>
          <w:szCs w:val="24"/>
          <w:lang w:val="es-ES_tradnl" w:eastAsia="en-US"/>
        </w:rPr>
        <w:t>INTRODUCCIÓN</w:t>
      </w:r>
      <w:r w:rsidR="00ED3125">
        <w:rPr>
          <w:b/>
          <w:sz w:val="24"/>
          <w:szCs w:val="24"/>
          <w:lang w:val="es-ES_tradnl" w:eastAsia="en-US"/>
        </w:rPr>
        <w:t>………………………………………………………..…</w:t>
      </w:r>
      <w:r w:rsidRPr="00562AD3">
        <w:rPr>
          <w:b/>
          <w:sz w:val="24"/>
          <w:szCs w:val="24"/>
          <w:lang w:val="es-ES_tradnl" w:eastAsia="en-US"/>
        </w:rPr>
        <w:t>…</w:t>
      </w:r>
      <w:r w:rsidR="00ED3125">
        <w:rPr>
          <w:b/>
          <w:sz w:val="24"/>
          <w:szCs w:val="24"/>
          <w:lang w:val="es-ES_tradnl" w:eastAsia="en-US"/>
        </w:rPr>
        <w:t>Pp. 1-2</w:t>
      </w:r>
    </w:p>
    <w:p w:rsidR="0038777B" w:rsidRPr="00562AD3" w:rsidRDefault="0038777B" w:rsidP="00FE0DF5">
      <w:pPr>
        <w:spacing w:after="160" w:line="360" w:lineRule="auto"/>
        <w:jc w:val="both"/>
        <w:outlineLvl w:val="0"/>
        <w:rPr>
          <w:b/>
          <w:sz w:val="24"/>
          <w:szCs w:val="24"/>
          <w:lang w:val="es-ES_tradnl" w:eastAsia="en-US"/>
        </w:rPr>
      </w:pPr>
      <w:r>
        <w:rPr>
          <w:b/>
          <w:sz w:val="24"/>
          <w:szCs w:val="24"/>
          <w:lang w:val="es-ES_tradnl" w:eastAsia="en-US"/>
        </w:rPr>
        <w:t>1. DEBATE; VOLUNTAD DEMOCRÁTICA Y LEGALIDAD</w:t>
      </w:r>
      <w:r w:rsidR="00C457C2">
        <w:rPr>
          <w:b/>
          <w:sz w:val="24"/>
          <w:szCs w:val="24"/>
          <w:lang w:val="es-ES_tradnl" w:eastAsia="en-US"/>
        </w:rPr>
        <w:t>………….. Pp. 3-7</w:t>
      </w:r>
    </w:p>
    <w:p w:rsidR="0038777B" w:rsidRPr="00562AD3" w:rsidRDefault="0038777B" w:rsidP="00562AD3">
      <w:pPr>
        <w:spacing w:after="160" w:line="360" w:lineRule="auto"/>
        <w:jc w:val="both"/>
        <w:rPr>
          <w:sz w:val="24"/>
          <w:szCs w:val="24"/>
          <w:lang w:val="es-ES_tradnl" w:eastAsia="en-US"/>
        </w:rPr>
      </w:pPr>
      <w:r w:rsidRPr="00562AD3">
        <w:rPr>
          <w:b/>
          <w:sz w:val="24"/>
          <w:szCs w:val="24"/>
          <w:lang w:val="es-ES_tradnl" w:eastAsia="en-US"/>
        </w:rPr>
        <w:tab/>
      </w:r>
      <w:r w:rsidRPr="00562AD3">
        <w:rPr>
          <w:sz w:val="24"/>
          <w:szCs w:val="24"/>
          <w:lang w:val="es-ES_tradnl" w:eastAsia="en-US"/>
        </w:rPr>
        <w:t>1.1.</w:t>
      </w:r>
      <w:r w:rsidRPr="00562AD3">
        <w:rPr>
          <w:sz w:val="24"/>
          <w:szCs w:val="24"/>
          <w:lang w:val="es-ES_tradnl" w:eastAsia="en-US"/>
        </w:rPr>
        <w:tab/>
        <w:t>El agotamiento del Estado autonómico como antecedente</w:t>
      </w:r>
      <w:r w:rsidR="00ED3125">
        <w:rPr>
          <w:sz w:val="24"/>
          <w:szCs w:val="24"/>
          <w:lang w:val="es-ES_tradnl" w:eastAsia="en-US"/>
        </w:rPr>
        <w:t>……</w:t>
      </w:r>
      <w:r w:rsidR="00C457C2">
        <w:rPr>
          <w:sz w:val="24"/>
          <w:szCs w:val="24"/>
          <w:lang w:val="es-ES_tradnl" w:eastAsia="en-US"/>
        </w:rPr>
        <w:t>. Pp. 3-4</w:t>
      </w:r>
      <w:r w:rsidRPr="00562AD3">
        <w:rPr>
          <w:sz w:val="24"/>
          <w:szCs w:val="24"/>
          <w:lang w:val="es-ES_tradnl" w:eastAsia="en-US"/>
        </w:rPr>
        <w:t xml:space="preserve"> </w:t>
      </w:r>
    </w:p>
    <w:p w:rsidR="0038777B" w:rsidRPr="00562AD3" w:rsidRDefault="0038777B" w:rsidP="00562AD3">
      <w:pPr>
        <w:spacing w:after="160" w:line="360" w:lineRule="auto"/>
        <w:jc w:val="both"/>
        <w:rPr>
          <w:sz w:val="24"/>
          <w:szCs w:val="24"/>
          <w:lang w:val="es-ES_tradnl" w:eastAsia="en-US"/>
        </w:rPr>
      </w:pPr>
      <w:r w:rsidRPr="00562AD3">
        <w:rPr>
          <w:sz w:val="24"/>
          <w:szCs w:val="24"/>
          <w:lang w:val="es-ES_tradnl" w:eastAsia="en-US"/>
        </w:rPr>
        <w:tab/>
        <w:t>1.2.</w:t>
      </w:r>
      <w:r w:rsidRPr="00562AD3">
        <w:rPr>
          <w:sz w:val="24"/>
          <w:szCs w:val="24"/>
          <w:lang w:val="es-ES_tradnl" w:eastAsia="en-US"/>
        </w:rPr>
        <w:tab/>
        <w:t>Voluntad democrática y legalidad ¿qué debe primar?</w:t>
      </w:r>
      <w:r w:rsidR="00ED3125">
        <w:rPr>
          <w:sz w:val="24"/>
          <w:szCs w:val="24"/>
          <w:lang w:val="es-ES_tradnl" w:eastAsia="en-US"/>
        </w:rPr>
        <w:t>............</w:t>
      </w:r>
      <w:r w:rsidR="00C457C2">
        <w:rPr>
          <w:sz w:val="24"/>
          <w:szCs w:val="24"/>
          <w:lang w:val="es-ES_tradnl" w:eastAsia="en-US"/>
        </w:rPr>
        <w:t>.... Pp. 4-7</w:t>
      </w:r>
    </w:p>
    <w:p w:rsidR="0038777B" w:rsidRPr="00562AD3" w:rsidRDefault="0038777B" w:rsidP="00562AD3">
      <w:pPr>
        <w:spacing w:after="160" w:line="360" w:lineRule="auto"/>
        <w:jc w:val="both"/>
        <w:rPr>
          <w:sz w:val="24"/>
          <w:szCs w:val="24"/>
          <w:lang w:val="es-ES_tradnl" w:eastAsia="en-US"/>
        </w:rPr>
      </w:pPr>
      <w:r w:rsidRPr="00562AD3">
        <w:rPr>
          <w:sz w:val="24"/>
          <w:szCs w:val="24"/>
          <w:lang w:val="es-ES_tradnl" w:eastAsia="en-US"/>
        </w:rPr>
        <w:tab/>
      </w:r>
      <w:r w:rsidRPr="00562AD3">
        <w:rPr>
          <w:sz w:val="24"/>
          <w:szCs w:val="24"/>
          <w:lang w:val="es-ES_tradnl" w:eastAsia="en-US"/>
        </w:rPr>
        <w:tab/>
        <w:t>1.2.1. El principio democrático</w:t>
      </w:r>
    </w:p>
    <w:p w:rsidR="0038777B" w:rsidRPr="00562AD3" w:rsidRDefault="0038777B" w:rsidP="00562AD3">
      <w:pPr>
        <w:spacing w:after="160" w:line="360" w:lineRule="auto"/>
        <w:jc w:val="both"/>
        <w:rPr>
          <w:sz w:val="24"/>
          <w:szCs w:val="24"/>
          <w:lang w:val="es-ES_tradnl" w:eastAsia="en-US"/>
        </w:rPr>
      </w:pPr>
      <w:r w:rsidRPr="00562AD3">
        <w:rPr>
          <w:sz w:val="24"/>
          <w:szCs w:val="24"/>
          <w:lang w:val="es-ES_tradnl" w:eastAsia="en-US"/>
        </w:rPr>
        <w:tab/>
      </w:r>
      <w:r w:rsidRPr="00562AD3">
        <w:rPr>
          <w:sz w:val="24"/>
          <w:szCs w:val="24"/>
          <w:lang w:val="es-ES_tradnl" w:eastAsia="en-US"/>
        </w:rPr>
        <w:tab/>
        <w:t>1.2.2. La autodeterminación como derecho</w:t>
      </w:r>
    </w:p>
    <w:p w:rsidR="0038777B" w:rsidRDefault="0038777B" w:rsidP="00562AD3">
      <w:pPr>
        <w:spacing w:after="160" w:line="360" w:lineRule="auto"/>
        <w:jc w:val="both"/>
        <w:rPr>
          <w:sz w:val="24"/>
          <w:szCs w:val="24"/>
          <w:lang w:val="es-ES_tradnl" w:eastAsia="en-US"/>
        </w:rPr>
      </w:pPr>
      <w:r w:rsidRPr="00562AD3">
        <w:rPr>
          <w:sz w:val="24"/>
          <w:szCs w:val="24"/>
          <w:lang w:val="es-ES_tradnl" w:eastAsia="en-US"/>
        </w:rPr>
        <w:tab/>
      </w:r>
      <w:r w:rsidRPr="00562AD3">
        <w:rPr>
          <w:sz w:val="24"/>
          <w:szCs w:val="24"/>
          <w:lang w:val="es-ES_tradnl" w:eastAsia="en-US"/>
        </w:rPr>
        <w:tab/>
        <w:t>1.2.3. El conflicto y la (posible) solución</w:t>
      </w:r>
    </w:p>
    <w:p w:rsidR="0038777B" w:rsidRPr="00562AD3" w:rsidRDefault="0038777B" w:rsidP="00562AD3">
      <w:pPr>
        <w:spacing w:after="160" w:line="360" w:lineRule="auto"/>
        <w:jc w:val="both"/>
        <w:rPr>
          <w:sz w:val="24"/>
          <w:szCs w:val="24"/>
          <w:lang w:val="es-ES_tradnl" w:eastAsia="en-US"/>
        </w:rPr>
      </w:pPr>
    </w:p>
    <w:p w:rsidR="0038777B" w:rsidRPr="00562AD3" w:rsidRDefault="0038777B" w:rsidP="00FE0DF5">
      <w:pPr>
        <w:spacing w:after="160" w:line="360" w:lineRule="auto"/>
        <w:jc w:val="both"/>
        <w:outlineLvl w:val="0"/>
        <w:rPr>
          <w:b/>
          <w:sz w:val="24"/>
          <w:szCs w:val="24"/>
          <w:lang w:val="es-ES_tradnl" w:eastAsia="en-US"/>
        </w:rPr>
      </w:pPr>
      <w:r w:rsidRPr="00562AD3">
        <w:rPr>
          <w:b/>
          <w:sz w:val="24"/>
          <w:szCs w:val="24"/>
          <w:lang w:val="es-ES_tradnl" w:eastAsia="en-US"/>
        </w:rPr>
        <w:t>2</w:t>
      </w:r>
      <w:r>
        <w:rPr>
          <w:b/>
          <w:sz w:val="24"/>
          <w:szCs w:val="24"/>
          <w:lang w:val="es-ES_tradnl" w:eastAsia="en-US"/>
        </w:rPr>
        <w:t>.</w:t>
      </w:r>
      <w:r w:rsidRPr="00562AD3">
        <w:rPr>
          <w:b/>
          <w:sz w:val="24"/>
          <w:szCs w:val="24"/>
          <w:lang w:val="es-ES_tradnl" w:eastAsia="en-US"/>
        </w:rPr>
        <w:t xml:space="preserve"> </w:t>
      </w:r>
      <w:r>
        <w:rPr>
          <w:b/>
          <w:sz w:val="24"/>
          <w:szCs w:val="24"/>
          <w:lang w:val="es-ES_tradnl" w:eastAsia="en-US"/>
        </w:rPr>
        <w:t>QUIEBRA A LA TEORÍA DEL PODER CONSTITUYENTE</w:t>
      </w:r>
      <w:r w:rsidR="00ED3125">
        <w:rPr>
          <w:b/>
          <w:sz w:val="24"/>
          <w:szCs w:val="24"/>
          <w:lang w:val="es-ES_tradnl" w:eastAsia="en-US"/>
        </w:rPr>
        <w:t>……...</w:t>
      </w:r>
      <w:r w:rsidR="0079585D">
        <w:rPr>
          <w:b/>
          <w:sz w:val="24"/>
          <w:szCs w:val="24"/>
          <w:lang w:val="es-ES_tradnl" w:eastAsia="en-US"/>
        </w:rPr>
        <w:t>.</w:t>
      </w:r>
      <w:r w:rsidR="000D185A">
        <w:rPr>
          <w:b/>
          <w:sz w:val="24"/>
          <w:szCs w:val="24"/>
          <w:lang w:val="es-ES_tradnl" w:eastAsia="en-US"/>
        </w:rPr>
        <w:t>. Pp. 8-14</w:t>
      </w:r>
    </w:p>
    <w:p w:rsidR="0038777B" w:rsidRDefault="0038777B" w:rsidP="00562AD3">
      <w:pPr>
        <w:spacing w:after="160" w:line="360" w:lineRule="auto"/>
        <w:jc w:val="both"/>
        <w:rPr>
          <w:sz w:val="24"/>
          <w:szCs w:val="24"/>
          <w:lang w:val="es-ES_tradnl" w:eastAsia="en-US"/>
        </w:rPr>
      </w:pPr>
      <w:r w:rsidRPr="00562AD3">
        <w:rPr>
          <w:b/>
          <w:sz w:val="24"/>
          <w:szCs w:val="24"/>
          <w:lang w:val="es-ES_tradnl" w:eastAsia="en-US"/>
        </w:rPr>
        <w:tab/>
      </w:r>
      <w:r w:rsidRPr="00562AD3">
        <w:rPr>
          <w:sz w:val="24"/>
          <w:szCs w:val="24"/>
          <w:lang w:val="es-ES_tradnl" w:eastAsia="en-US"/>
        </w:rPr>
        <w:t>2.1. El poder constituyente</w:t>
      </w:r>
      <w:r w:rsidR="000D185A">
        <w:rPr>
          <w:sz w:val="24"/>
          <w:szCs w:val="24"/>
          <w:lang w:val="es-ES_tradnl" w:eastAsia="en-US"/>
        </w:rPr>
        <w:t>……………………………………….…... Pp. 8</w:t>
      </w:r>
      <w:r w:rsidR="0079585D">
        <w:rPr>
          <w:sz w:val="24"/>
          <w:szCs w:val="24"/>
          <w:lang w:val="es-ES_tradnl" w:eastAsia="en-US"/>
        </w:rPr>
        <w:t>-11</w:t>
      </w:r>
    </w:p>
    <w:p w:rsidR="0079585D" w:rsidRDefault="0038777B" w:rsidP="00562AD3">
      <w:pPr>
        <w:spacing w:after="160" w:line="360" w:lineRule="auto"/>
        <w:jc w:val="both"/>
        <w:rPr>
          <w:sz w:val="24"/>
          <w:szCs w:val="24"/>
          <w:lang w:val="es-ES_tradnl" w:eastAsia="en-US"/>
        </w:rPr>
      </w:pPr>
      <w:r w:rsidRPr="00562AD3">
        <w:rPr>
          <w:sz w:val="24"/>
          <w:szCs w:val="24"/>
          <w:lang w:val="es-ES_tradnl" w:eastAsia="en-US"/>
        </w:rPr>
        <w:tab/>
        <w:t xml:space="preserve">2.2. El Tribunal Constitucional como comisionado </w:t>
      </w:r>
    </w:p>
    <w:p w:rsidR="0038777B" w:rsidRPr="00562AD3" w:rsidRDefault="0038777B" w:rsidP="0079585D">
      <w:pPr>
        <w:spacing w:after="160" w:line="360" w:lineRule="auto"/>
        <w:ind w:firstLine="708"/>
        <w:jc w:val="both"/>
        <w:rPr>
          <w:sz w:val="24"/>
          <w:szCs w:val="24"/>
          <w:lang w:val="es-ES_tradnl" w:eastAsia="en-US"/>
        </w:rPr>
      </w:pPr>
      <w:r w:rsidRPr="00562AD3">
        <w:rPr>
          <w:sz w:val="24"/>
          <w:szCs w:val="24"/>
          <w:lang w:val="es-ES_tradnl" w:eastAsia="en-US"/>
        </w:rPr>
        <w:t>del poder constituyente</w:t>
      </w:r>
      <w:r w:rsidR="0079585D">
        <w:rPr>
          <w:sz w:val="24"/>
          <w:szCs w:val="24"/>
          <w:lang w:val="es-ES_tradnl" w:eastAsia="en-US"/>
        </w:rPr>
        <w:t>…………………………………………….….. Pp. 11</w:t>
      </w:r>
    </w:p>
    <w:p w:rsidR="0079585D" w:rsidRDefault="0038777B" w:rsidP="00562AD3">
      <w:pPr>
        <w:spacing w:after="160" w:line="360" w:lineRule="auto"/>
        <w:jc w:val="both"/>
        <w:rPr>
          <w:sz w:val="24"/>
          <w:szCs w:val="24"/>
          <w:lang w:val="es-ES_tradnl" w:eastAsia="en-US"/>
        </w:rPr>
      </w:pPr>
      <w:r w:rsidRPr="00562AD3">
        <w:rPr>
          <w:sz w:val="24"/>
          <w:szCs w:val="24"/>
          <w:lang w:val="es-ES_tradnl" w:eastAsia="en-US"/>
        </w:rPr>
        <w:tab/>
        <w:t xml:space="preserve">2.3. La quiebra del poder constituyente; el poder constituyente </w:t>
      </w:r>
    </w:p>
    <w:p w:rsidR="0038777B" w:rsidRDefault="0079585D" w:rsidP="0079585D">
      <w:pPr>
        <w:spacing w:after="160" w:line="360" w:lineRule="auto"/>
        <w:ind w:firstLine="708"/>
        <w:jc w:val="both"/>
        <w:rPr>
          <w:sz w:val="24"/>
          <w:szCs w:val="24"/>
          <w:lang w:val="es-ES_tradnl" w:eastAsia="en-US"/>
        </w:rPr>
      </w:pPr>
      <w:proofErr w:type="gramStart"/>
      <w:r>
        <w:rPr>
          <w:sz w:val="24"/>
          <w:szCs w:val="24"/>
          <w:lang w:val="es-ES_tradnl" w:eastAsia="en-US"/>
        </w:rPr>
        <w:t>r</w:t>
      </w:r>
      <w:r w:rsidR="0038777B" w:rsidRPr="00562AD3">
        <w:rPr>
          <w:sz w:val="24"/>
          <w:szCs w:val="24"/>
          <w:lang w:val="es-ES_tradnl" w:eastAsia="en-US"/>
        </w:rPr>
        <w:t>evolucionario</w:t>
      </w:r>
      <w:proofErr w:type="gramEnd"/>
      <w:r>
        <w:rPr>
          <w:sz w:val="24"/>
          <w:szCs w:val="24"/>
          <w:lang w:val="es-ES_tradnl" w:eastAsia="en-US"/>
        </w:rPr>
        <w:t>……</w:t>
      </w:r>
      <w:r w:rsidR="000D185A">
        <w:rPr>
          <w:sz w:val="24"/>
          <w:szCs w:val="24"/>
          <w:lang w:val="es-ES_tradnl" w:eastAsia="en-US"/>
        </w:rPr>
        <w:t>……………………………………………....…… Pp. 12-14</w:t>
      </w:r>
    </w:p>
    <w:p w:rsidR="0038777B" w:rsidRPr="00562AD3" w:rsidRDefault="0038777B" w:rsidP="00562AD3">
      <w:pPr>
        <w:spacing w:after="160" w:line="360" w:lineRule="auto"/>
        <w:jc w:val="both"/>
        <w:rPr>
          <w:sz w:val="24"/>
          <w:szCs w:val="24"/>
          <w:lang w:val="es-ES_tradnl" w:eastAsia="en-US"/>
        </w:rPr>
      </w:pPr>
    </w:p>
    <w:p w:rsidR="0083437A" w:rsidRDefault="0038777B" w:rsidP="00FE0DF5">
      <w:pPr>
        <w:spacing w:after="160" w:line="360" w:lineRule="auto"/>
        <w:outlineLvl w:val="0"/>
        <w:rPr>
          <w:b/>
          <w:sz w:val="24"/>
          <w:szCs w:val="24"/>
          <w:lang w:val="es-ES_tradnl" w:eastAsia="en-US"/>
        </w:rPr>
      </w:pPr>
      <w:r w:rsidRPr="00562AD3">
        <w:rPr>
          <w:b/>
          <w:sz w:val="24"/>
          <w:szCs w:val="24"/>
          <w:lang w:val="es-ES_tradnl" w:eastAsia="en-US"/>
        </w:rPr>
        <w:t>3.</w:t>
      </w:r>
      <w:r w:rsidR="0083437A" w:rsidRPr="0083437A">
        <w:t xml:space="preserve"> </w:t>
      </w:r>
      <w:r w:rsidR="0083437A" w:rsidRPr="0083437A">
        <w:rPr>
          <w:b/>
          <w:sz w:val="24"/>
          <w:szCs w:val="24"/>
          <w:lang w:val="es-ES_tradnl" w:eastAsia="en-US"/>
        </w:rPr>
        <w:t xml:space="preserve">ACTOS Y RESOLUCIONES DE LOS ÓRGANOS DE CATALUNYA </w:t>
      </w:r>
    </w:p>
    <w:p w:rsidR="0038777B" w:rsidRPr="00562AD3" w:rsidRDefault="0083437A" w:rsidP="00FE0DF5">
      <w:pPr>
        <w:spacing w:after="160" w:line="360" w:lineRule="auto"/>
        <w:outlineLvl w:val="0"/>
        <w:rPr>
          <w:b/>
          <w:sz w:val="24"/>
          <w:szCs w:val="24"/>
          <w:lang w:val="es-ES_tradnl" w:eastAsia="en-US"/>
        </w:rPr>
      </w:pPr>
      <w:r w:rsidRPr="0083437A">
        <w:rPr>
          <w:b/>
          <w:sz w:val="24"/>
          <w:szCs w:val="24"/>
          <w:lang w:val="es-ES_tradnl" w:eastAsia="en-US"/>
        </w:rPr>
        <w:t>PAR</w:t>
      </w:r>
      <w:r>
        <w:rPr>
          <w:b/>
          <w:sz w:val="24"/>
          <w:szCs w:val="24"/>
          <w:lang w:val="es-ES_tradnl" w:eastAsia="en-US"/>
        </w:rPr>
        <w:t>A ACTIVAR UN PROCESO DE SECESIÓN……….</w:t>
      </w:r>
      <w:r w:rsidR="000D185A">
        <w:rPr>
          <w:b/>
          <w:sz w:val="24"/>
          <w:szCs w:val="24"/>
          <w:lang w:val="es-ES_tradnl" w:eastAsia="en-US"/>
        </w:rPr>
        <w:t>………….……. Pp. 15-26</w:t>
      </w:r>
    </w:p>
    <w:p w:rsidR="0079585D" w:rsidRDefault="0038777B" w:rsidP="00562AD3">
      <w:pPr>
        <w:spacing w:after="160" w:line="360" w:lineRule="auto"/>
        <w:rPr>
          <w:sz w:val="24"/>
          <w:szCs w:val="24"/>
          <w:lang w:val="es-ES_tradnl" w:eastAsia="en-US"/>
        </w:rPr>
      </w:pPr>
      <w:r w:rsidRPr="00562AD3">
        <w:rPr>
          <w:b/>
          <w:sz w:val="24"/>
          <w:szCs w:val="24"/>
          <w:lang w:val="es-ES_tradnl" w:eastAsia="en-US"/>
        </w:rPr>
        <w:tab/>
      </w:r>
      <w:r w:rsidRPr="00562AD3">
        <w:rPr>
          <w:sz w:val="24"/>
          <w:szCs w:val="24"/>
          <w:lang w:val="es-ES_tradnl" w:eastAsia="en-US"/>
        </w:rPr>
        <w:t xml:space="preserve">3.1. Resoluciones del </w:t>
      </w:r>
      <w:proofErr w:type="spellStart"/>
      <w:r w:rsidRPr="00562AD3">
        <w:rPr>
          <w:sz w:val="24"/>
          <w:szCs w:val="24"/>
          <w:lang w:val="es-ES_tradnl" w:eastAsia="en-US"/>
        </w:rPr>
        <w:t>Parlament</w:t>
      </w:r>
      <w:proofErr w:type="spellEnd"/>
      <w:r w:rsidRPr="00562AD3">
        <w:rPr>
          <w:sz w:val="24"/>
          <w:szCs w:val="24"/>
          <w:lang w:val="es-ES_tradnl" w:eastAsia="en-US"/>
        </w:rPr>
        <w:t xml:space="preserve"> de Catalunya relativas al derecho </w:t>
      </w:r>
    </w:p>
    <w:p w:rsidR="0038777B" w:rsidRDefault="0038777B" w:rsidP="0079585D">
      <w:pPr>
        <w:spacing w:after="160" w:line="360" w:lineRule="auto"/>
        <w:ind w:firstLine="708"/>
        <w:rPr>
          <w:sz w:val="24"/>
          <w:szCs w:val="24"/>
          <w:lang w:val="es-ES_tradnl" w:eastAsia="en-US"/>
        </w:rPr>
      </w:pPr>
      <w:r w:rsidRPr="00562AD3">
        <w:rPr>
          <w:sz w:val="24"/>
          <w:szCs w:val="24"/>
          <w:lang w:val="es-ES_tradnl" w:eastAsia="en-US"/>
        </w:rPr>
        <w:t>a decidir</w:t>
      </w:r>
      <w:r w:rsidR="0079585D">
        <w:rPr>
          <w:sz w:val="24"/>
          <w:szCs w:val="24"/>
          <w:lang w:val="es-ES_tradnl" w:eastAsia="en-US"/>
        </w:rPr>
        <w:t>……</w:t>
      </w:r>
      <w:r w:rsidR="0045466B">
        <w:rPr>
          <w:sz w:val="24"/>
          <w:szCs w:val="24"/>
          <w:lang w:val="es-ES_tradnl" w:eastAsia="en-US"/>
        </w:rPr>
        <w:t>…………………………………………………………... Pp. 15-20</w:t>
      </w:r>
    </w:p>
    <w:p w:rsidR="00C457C2" w:rsidRDefault="00C457C2" w:rsidP="00C457C2">
      <w:pPr>
        <w:spacing w:after="160" w:line="360" w:lineRule="auto"/>
        <w:ind w:left="1416"/>
        <w:rPr>
          <w:sz w:val="24"/>
          <w:szCs w:val="24"/>
          <w:lang w:val="es-ES_tradnl" w:eastAsia="en-US"/>
        </w:rPr>
      </w:pPr>
      <w:r w:rsidRPr="00C457C2">
        <w:rPr>
          <w:sz w:val="24"/>
          <w:szCs w:val="24"/>
          <w:lang w:val="es-ES_tradnl" w:eastAsia="en-US"/>
        </w:rPr>
        <w:t xml:space="preserve">3.1.1. Primera etapa; declaración del derecho de </w:t>
      </w:r>
    </w:p>
    <w:p w:rsidR="00C457C2" w:rsidRDefault="00C457C2" w:rsidP="00C457C2">
      <w:pPr>
        <w:spacing w:after="160" w:line="360" w:lineRule="auto"/>
        <w:ind w:left="1416"/>
        <w:rPr>
          <w:sz w:val="24"/>
          <w:szCs w:val="24"/>
          <w:lang w:val="es-ES_tradnl" w:eastAsia="en-US"/>
        </w:rPr>
      </w:pPr>
      <w:proofErr w:type="gramStart"/>
      <w:r w:rsidRPr="00C457C2">
        <w:rPr>
          <w:sz w:val="24"/>
          <w:szCs w:val="24"/>
          <w:lang w:val="es-ES_tradnl" w:eastAsia="en-US"/>
        </w:rPr>
        <w:t>autodeterminación</w:t>
      </w:r>
      <w:proofErr w:type="gramEnd"/>
    </w:p>
    <w:p w:rsidR="00C457C2" w:rsidRDefault="00C457C2" w:rsidP="00C457C2">
      <w:pPr>
        <w:spacing w:after="160" w:line="360" w:lineRule="auto"/>
        <w:ind w:left="1416"/>
        <w:rPr>
          <w:sz w:val="24"/>
          <w:szCs w:val="24"/>
          <w:lang w:val="es-ES_tradnl" w:eastAsia="en-US"/>
        </w:rPr>
      </w:pPr>
      <w:r w:rsidRPr="00C457C2">
        <w:rPr>
          <w:sz w:val="24"/>
          <w:szCs w:val="24"/>
          <w:lang w:val="es-ES_tradnl" w:eastAsia="en-US"/>
        </w:rPr>
        <w:lastRenderedPageBreak/>
        <w:t>3.1.2. Segunda etapa; instrumento</w:t>
      </w:r>
      <w:r>
        <w:rPr>
          <w:sz w:val="24"/>
          <w:szCs w:val="24"/>
          <w:lang w:val="es-ES_tradnl" w:eastAsia="en-US"/>
        </w:rPr>
        <w:t xml:space="preserve">s para ejercer el derecho a la </w:t>
      </w:r>
      <w:r w:rsidRPr="00C457C2">
        <w:rPr>
          <w:sz w:val="24"/>
          <w:szCs w:val="24"/>
          <w:lang w:val="es-ES_tradnl" w:eastAsia="en-US"/>
        </w:rPr>
        <w:t>autodeterminación</w:t>
      </w:r>
    </w:p>
    <w:p w:rsidR="00C457C2" w:rsidRDefault="00C457C2" w:rsidP="00C457C2">
      <w:pPr>
        <w:spacing w:after="160" w:line="360" w:lineRule="auto"/>
        <w:ind w:left="1416"/>
        <w:rPr>
          <w:sz w:val="24"/>
          <w:szCs w:val="24"/>
          <w:lang w:val="es-ES_tradnl" w:eastAsia="en-US"/>
        </w:rPr>
      </w:pPr>
      <w:r w:rsidRPr="00C457C2">
        <w:rPr>
          <w:sz w:val="24"/>
          <w:szCs w:val="24"/>
          <w:lang w:val="es-ES_tradnl" w:eastAsia="en-US"/>
        </w:rPr>
        <w:t xml:space="preserve">3.1.3. Tercera etapa; reivindicación de la ejecución del derecho </w:t>
      </w:r>
    </w:p>
    <w:p w:rsidR="00C457C2" w:rsidRPr="00562AD3" w:rsidRDefault="00C457C2" w:rsidP="00C457C2">
      <w:pPr>
        <w:spacing w:after="160" w:line="360" w:lineRule="auto"/>
        <w:ind w:left="1416"/>
        <w:rPr>
          <w:sz w:val="24"/>
          <w:szCs w:val="24"/>
          <w:lang w:val="es-ES_tradnl" w:eastAsia="en-US"/>
        </w:rPr>
      </w:pPr>
      <w:proofErr w:type="gramStart"/>
      <w:r w:rsidRPr="00C457C2">
        <w:rPr>
          <w:sz w:val="24"/>
          <w:szCs w:val="24"/>
          <w:lang w:val="es-ES_tradnl" w:eastAsia="en-US"/>
        </w:rPr>
        <w:t>a</w:t>
      </w:r>
      <w:proofErr w:type="gramEnd"/>
      <w:r w:rsidRPr="00C457C2">
        <w:rPr>
          <w:sz w:val="24"/>
          <w:szCs w:val="24"/>
          <w:lang w:val="es-ES_tradnl" w:eastAsia="en-US"/>
        </w:rPr>
        <w:t xml:space="preserve"> decidir</w:t>
      </w:r>
    </w:p>
    <w:p w:rsidR="0038777B" w:rsidRPr="00562AD3" w:rsidRDefault="0038777B" w:rsidP="00562AD3">
      <w:pPr>
        <w:spacing w:after="160" w:line="360" w:lineRule="auto"/>
        <w:rPr>
          <w:sz w:val="24"/>
          <w:szCs w:val="24"/>
          <w:lang w:val="es-ES_tradnl" w:eastAsia="en-US"/>
        </w:rPr>
      </w:pPr>
      <w:r w:rsidRPr="00562AD3">
        <w:rPr>
          <w:sz w:val="24"/>
          <w:szCs w:val="24"/>
          <w:lang w:val="es-ES_tradnl" w:eastAsia="en-US"/>
        </w:rPr>
        <w:tab/>
        <w:t>3.2. El referéndum de 2014</w:t>
      </w:r>
      <w:r w:rsidR="0079585D">
        <w:rPr>
          <w:sz w:val="24"/>
          <w:szCs w:val="24"/>
          <w:lang w:val="es-ES_tradnl" w:eastAsia="en-US"/>
        </w:rPr>
        <w:t xml:space="preserve">………………………………………...….. Pp. </w:t>
      </w:r>
      <w:r w:rsidR="0045466B">
        <w:rPr>
          <w:sz w:val="24"/>
          <w:szCs w:val="24"/>
          <w:lang w:val="es-ES_tradnl" w:eastAsia="en-US"/>
        </w:rPr>
        <w:t>20-22</w:t>
      </w:r>
    </w:p>
    <w:p w:rsidR="0079585D" w:rsidRDefault="0038777B" w:rsidP="00562AD3">
      <w:pPr>
        <w:spacing w:after="160" w:line="360" w:lineRule="auto"/>
        <w:rPr>
          <w:sz w:val="24"/>
          <w:szCs w:val="24"/>
          <w:lang w:val="es-ES_tradnl" w:eastAsia="en-US"/>
        </w:rPr>
      </w:pPr>
      <w:r w:rsidRPr="00562AD3">
        <w:rPr>
          <w:sz w:val="24"/>
          <w:szCs w:val="24"/>
          <w:lang w:val="es-ES_tradnl" w:eastAsia="en-US"/>
        </w:rPr>
        <w:tab/>
        <w:t xml:space="preserve">3.3. El secesionismo en la actividad reciente de las instituciones </w:t>
      </w:r>
    </w:p>
    <w:p w:rsidR="00C457C2" w:rsidRDefault="0079585D" w:rsidP="00C457C2">
      <w:pPr>
        <w:spacing w:after="160" w:line="360" w:lineRule="auto"/>
        <w:ind w:firstLine="708"/>
        <w:rPr>
          <w:sz w:val="24"/>
          <w:szCs w:val="24"/>
          <w:lang w:val="es-ES_tradnl" w:eastAsia="en-US"/>
        </w:rPr>
      </w:pPr>
      <w:r>
        <w:rPr>
          <w:sz w:val="24"/>
          <w:szCs w:val="24"/>
          <w:lang w:val="es-ES_tradnl" w:eastAsia="en-US"/>
        </w:rPr>
        <w:t>c</w:t>
      </w:r>
      <w:r w:rsidR="0038777B" w:rsidRPr="00562AD3">
        <w:rPr>
          <w:sz w:val="24"/>
          <w:szCs w:val="24"/>
          <w:lang w:val="es-ES_tradnl" w:eastAsia="en-US"/>
        </w:rPr>
        <w:t>atalanas</w:t>
      </w:r>
      <w:r>
        <w:rPr>
          <w:sz w:val="24"/>
          <w:szCs w:val="24"/>
          <w:lang w:val="es-ES_tradnl" w:eastAsia="en-US"/>
        </w:rPr>
        <w:t xml:space="preserve">……………………………………………………………….. Pp. </w:t>
      </w:r>
      <w:r w:rsidR="0045466B">
        <w:rPr>
          <w:sz w:val="24"/>
          <w:szCs w:val="24"/>
          <w:lang w:val="es-ES_tradnl" w:eastAsia="en-US"/>
        </w:rPr>
        <w:t>22-26</w:t>
      </w:r>
    </w:p>
    <w:p w:rsidR="0038777B" w:rsidRPr="00562AD3" w:rsidRDefault="0038777B" w:rsidP="00562AD3">
      <w:pPr>
        <w:spacing w:after="160" w:line="360" w:lineRule="auto"/>
        <w:rPr>
          <w:sz w:val="24"/>
          <w:szCs w:val="24"/>
          <w:lang w:val="es-ES_tradnl" w:eastAsia="en-US"/>
        </w:rPr>
      </w:pPr>
    </w:p>
    <w:p w:rsidR="0038777B" w:rsidRPr="000D185A" w:rsidRDefault="0038777B" w:rsidP="00FE0DF5">
      <w:pPr>
        <w:spacing w:after="160" w:line="360" w:lineRule="auto"/>
        <w:outlineLvl w:val="0"/>
        <w:rPr>
          <w:b/>
          <w:sz w:val="24"/>
          <w:szCs w:val="24"/>
          <w:lang w:val="es-ES_tradnl" w:eastAsia="en-US"/>
        </w:rPr>
      </w:pPr>
      <w:r w:rsidRPr="00562AD3">
        <w:rPr>
          <w:b/>
          <w:sz w:val="24"/>
          <w:szCs w:val="24"/>
          <w:lang w:val="es-ES_tradnl" w:eastAsia="en-US"/>
        </w:rPr>
        <w:t>4</w:t>
      </w:r>
      <w:r>
        <w:rPr>
          <w:b/>
          <w:sz w:val="24"/>
          <w:szCs w:val="24"/>
          <w:lang w:val="es-ES_tradnl" w:eastAsia="en-US"/>
        </w:rPr>
        <w:t>. ANÁLISIS JURISPRUDENCIAL DEL PROCESO CATALÁN</w:t>
      </w:r>
      <w:r w:rsidR="0079585D">
        <w:rPr>
          <w:b/>
          <w:sz w:val="24"/>
          <w:szCs w:val="24"/>
          <w:lang w:val="es-ES_tradnl" w:eastAsia="en-US"/>
        </w:rPr>
        <w:t>……..</w:t>
      </w:r>
      <w:r w:rsidR="000D185A">
        <w:rPr>
          <w:b/>
          <w:sz w:val="24"/>
          <w:szCs w:val="24"/>
          <w:lang w:val="es-ES_tradnl" w:eastAsia="en-US"/>
        </w:rPr>
        <w:t>.</w:t>
      </w:r>
      <w:r w:rsidR="0079585D">
        <w:rPr>
          <w:b/>
          <w:sz w:val="24"/>
          <w:szCs w:val="24"/>
          <w:lang w:val="es-ES_tradnl" w:eastAsia="en-US"/>
        </w:rPr>
        <w:t xml:space="preserve">. Pp. </w:t>
      </w:r>
      <w:r w:rsidR="008D2692">
        <w:rPr>
          <w:b/>
          <w:sz w:val="24"/>
          <w:szCs w:val="24"/>
          <w:lang w:val="es-ES_tradnl" w:eastAsia="en-US"/>
        </w:rPr>
        <w:t>27-32</w:t>
      </w:r>
    </w:p>
    <w:p w:rsidR="000D185A" w:rsidRDefault="000D185A" w:rsidP="000D185A">
      <w:pPr>
        <w:spacing w:after="160" w:line="360" w:lineRule="auto"/>
        <w:ind w:left="708"/>
        <w:rPr>
          <w:sz w:val="24"/>
          <w:szCs w:val="24"/>
          <w:lang w:val="es-ES_tradnl" w:eastAsia="en-US"/>
        </w:rPr>
      </w:pPr>
      <w:r w:rsidRPr="000D185A">
        <w:rPr>
          <w:sz w:val="24"/>
          <w:szCs w:val="24"/>
          <w:lang w:val="es-ES_tradnl" w:eastAsia="en-US"/>
        </w:rPr>
        <w:t xml:space="preserve">4.1. El precedente; la Sentencia del Tribunal Constitucional </w:t>
      </w:r>
    </w:p>
    <w:p w:rsidR="0038777B" w:rsidRPr="005130D6" w:rsidRDefault="000D185A" w:rsidP="000D185A">
      <w:pPr>
        <w:spacing w:after="160" w:line="360" w:lineRule="auto"/>
        <w:ind w:left="708"/>
        <w:rPr>
          <w:sz w:val="24"/>
          <w:szCs w:val="24"/>
          <w:lang w:val="es-ES_tradnl" w:eastAsia="en-US"/>
        </w:rPr>
      </w:pPr>
      <w:r>
        <w:rPr>
          <w:sz w:val="24"/>
          <w:szCs w:val="24"/>
          <w:lang w:val="es-ES_tradnl" w:eastAsia="en-US"/>
        </w:rPr>
        <w:t xml:space="preserve">sobre el Plan </w:t>
      </w:r>
      <w:r w:rsidRPr="000D185A">
        <w:rPr>
          <w:sz w:val="24"/>
          <w:szCs w:val="24"/>
          <w:lang w:val="es-ES_tradnl" w:eastAsia="en-US"/>
        </w:rPr>
        <w:t>Ibarretxe.</w:t>
      </w:r>
      <w:r>
        <w:rPr>
          <w:sz w:val="24"/>
          <w:szCs w:val="24"/>
          <w:lang w:val="es-ES_tradnl" w:eastAsia="en-US"/>
        </w:rPr>
        <w:t>………………………..……………………….. Pp. 27</w:t>
      </w:r>
      <w:r w:rsidR="00F222AE">
        <w:rPr>
          <w:sz w:val="24"/>
          <w:szCs w:val="24"/>
          <w:lang w:val="es-ES_tradnl" w:eastAsia="en-US"/>
        </w:rPr>
        <w:t>-</w:t>
      </w:r>
      <w:r>
        <w:rPr>
          <w:sz w:val="24"/>
          <w:szCs w:val="24"/>
          <w:lang w:val="es-ES_tradnl" w:eastAsia="en-US"/>
        </w:rPr>
        <w:t>29</w:t>
      </w:r>
    </w:p>
    <w:p w:rsidR="0038777B" w:rsidRPr="00562AD3" w:rsidRDefault="0038777B" w:rsidP="00562AD3">
      <w:pPr>
        <w:spacing w:after="160" w:line="360" w:lineRule="auto"/>
        <w:rPr>
          <w:sz w:val="24"/>
          <w:szCs w:val="24"/>
          <w:lang w:val="es-ES_tradnl" w:eastAsia="en-US"/>
        </w:rPr>
      </w:pPr>
      <w:r w:rsidRPr="005130D6">
        <w:rPr>
          <w:sz w:val="24"/>
          <w:szCs w:val="24"/>
          <w:lang w:val="es-ES_tradnl" w:eastAsia="en-US"/>
        </w:rPr>
        <w:tab/>
        <w:t xml:space="preserve">4.2. </w:t>
      </w:r>
      <w:r w:rsidR="000D185A">
        <w:rPr>
          <w:sz w:val="24"/>
          <w:szCs w:val="24"/>
          <w:lang w:val="es-ES_tradnl" w:eastAsia="en-US"/>
        </w:rPr>
        <w:t>Jurisprudencia relativa al proceso catalán………………………… Pp. 29-31</w:t>
      </w:r>
    </w:p>
    <w:p w:rsidR="000D185A" w:rsidRDefault="000D185A" w:rsidP="000D185A">
      <w:pPr>
        <w:spacing w:after="160" w:line="360" w:lineRule="auto"/>
        <w:ind w:left="708"/>
        <w:jc w:val="both"/>
        <w:rPr>
          <w:sz w:val="24"/>
          <w:szCs w:val="24"/>
          <w:lang w:val="es-ES_tradnl" w:eastAsia="en-US"/>
        </w:rPr>
      </w:pPr>
      <w:r w:rsidRPr="000D185A">
        <w:rPr>
          <w:sz w:val="24"/>
          <w:szCs w:val="24"/>
          <w:lang w:val="es-ES_tradnl" w:eastAsia="en-US"/>
        </w:rPr>
        <w:t xml:space="preserve">4.3. Sentencia del Tribunal Superior de Justicia de </w:t>
      </w:r>
    </w:p>
    <w:p w:rsidR="0038777B" w:rsidRPr="000D185A" w:rsidRDefault="000D185A" w:rsidP="000D185A">
      <w:pPr>
        <w:spacing w:after="160" w:line="360" w:lineRule="auto"/>
        <w:ind w:left="708"/>
        <w:jc w:val="both"/>
        <w:rPr>
          <w:sz w:val="24"/>
          <w:szCs w:val="24"/>
          <w:lang w:eastAsia="en-US"/>
        </w:rPr>
      </w:pPr>
      <w:r w:rsidRPr="000D185A">
        <w:rPr>
          <w:sz w:val="24"/>
          <w:szCs w:val="24"/>
          <w:lang w:val="es-ES_tradnl" w:eastAsia="en-US"/>
        </w:rPr>
        <w:t>Catalunya 1/2017; las inhabilitaciones del 9N</w:t>
      </w:r>
      <w:r>
        <w:rPr>
          <w:sz w:val="24"/>
          <w:szCs w:val="24"/>
          <w:lang w:val="es-ES_tradnl" w:eastAsia="en-US"/>
        </w:rPr>
        <w:t>………………..……… Pp. 31-32</w:t>
      </w:r>
    </w:p>
    <w:p w:rsidR="00F222AE" w:rsidRDefault="0038777B" w:rsidP="00874135">
      <w:pPr>
        <w:spacing w:after="160" w:line="360" w:lineRule="auto"/>
        <w:jc w:val="both"/>
        <w:rPr>
          <w:b/>
          <w:sz w:val="24"/>
          <w:szCs w:val="24"/>
          <w:lang w:val="es-ES_tradnl" w:eastAsia="en-US"/>
        </w:rPr>
      </w:pPr>
      <w:r w:rsidRPr="005130D6">
        <w:rPr>
          <w:b/>
          <w:sz w:val="24"/>
          <w:szCs w:val="24"/>
          <w:lang w:val="es-ES_tradnl" w:eastAsia="en-US"/>
        </w:rPr>
        <w:t xml:space="preserve">5. MECANISMOS JURÍDICOS A DISPOSICIÓN DEL ESTADO </w:t>
      </w:r>
    </w:p>
    <w:p w:rsidR="0038777B" w:rsidRDefault="00F222AE" w:rsidP="00874135">
      <w:pPr>
        <w:spacing w:after="160" w:line="360" w:lineRule="auto"/>
        <w:jc w:val="both"/>
        <w:rPr>
          <w:b/>
          <w:sz w:val="24"/>
          <w:szCs w:val="24"/>
          <w:lang w:val="es-ES_tradnl" w:eastAsia="en-US"/>
        </w:rPr>
      </w:pPr>
      <w:r>
        <w:rPr>
          <w:b/>
          <w:sz w:val="24"/>
          <w:szCs w:val="24"/>
          <w:lang w:val="es-ES_tradnl" w:eastAsia="en-US"/>
        </w:rPr>
        <w:t xml:space="preserve">FRENTE A LA </w:t>
      </w:r>
      <w:r w:rsidR="0038777B" w:rsidRPr="005130D6">
        <w:rPr>
          <w:b/>
          <w:sz w:val="24"/>
          <w:szCs w:val="24"/>
          <w:lang w:val="es-ES_tradnl" w:eastAsia="en-US"/>
        </w:rPr>
        <w:t>SECESIÓN</w:t>
      </w:r>
      <w:r w:rsidR="008D2692">
        <w:rPr>
          <w:b/>
          <w:sz w:val="24"/>
          <w:szCs w:val="24"/>
          <w:lang w:val="es-ES_tradnl" w:eastAsia="en-US"/>
        </w:rPr>
        <w:t>…………………………………</w:t>
      </w:r>
      <w:r w:rsidR="000D185A">
        <w:rPr>
          <w:b/>
          <w:sz w:val="24"/>
          <w:szCs w:val="24"/>
          <w:lang w:val="es-ES_tradnl" w:eastAsia="en-US"/>
        </w:rPr>
        <w:t>...</w:t>
      </w:r>
      <w:r w:rsidR="008D2692">
        <w:rPr>
          <w:b/>
          <w:sz w:val="24"/>
          <w:szCs w:val="24"/>
          <w:lang w:val="es-ES_tradnl" w:eastAsia="en-US"/>
        </w:rPr>
        <w:t>……………. Pp. 33-43</w:t>
      </w:r>
    </w:p>
    <w:p w:rsidR="0038777B" w:rsidRPr="00874135" w:rsidRDefault="0038777B" w:rsidP="00874135">
      <w:pPr>
        <w:spacing w:after="160" w:line="360" w:lineRule="auto"/>
        <w:jc w:val="both"/>
        <w:rPr>
          <w:sz w:val="24"/>
          <w:szCs w:val="24"/>
          <w:lang w:val="es-ES_tradnl" w:eastAsia="en-US"/>
        </w:rPr>
      </w:pPr>
      <w:r>
        <w:rPr>
          <w:b/>
          <w:sz w:val="24"/>
          <w:szCs w:val="24"/>
          <w:lang w:val="es-ES_tradnl" w:eastAsia="en-US"/>
        </w:rPr>
        <w:tab/>
      </w:r>
      <w:r w:rsidRPr="00874135">
        <w:rPr>
          <w:sz w:val="24"/>
          <w:szCs w:val="24"/>
          <w:lang w:val="es-ES_tradnl" w:eastAsia="en-US"/>
        </w:rPr>
        <w:t>5.1. Aplicación del artículo 155 de la Constitución Española</w:t>
      </w:r>
      <w:r w:rsidR="008D2692">
        <w:rPr>
          <w:sz w:val="24"/>
          <w:szCs w:val="24"/>
          <w:lang w:val="es-ES_tradnl" w:eastAsia="en-US"/>
        </w:rPr>
        <w:t>……</w:t>
      </w:r>
      <w:r w:rsidR="000D185A">
        <w:rPr>
          <w:sz w:val="24"/>
          <w:szCs w:val="24"/>
          <w:lang w:val="es-ES_tradnl" w:eastAsia="en-US"/>
        </w:rPr>
        <w:t>...</w:t>
      </w:r>
      <w:r w:rsidR="008D2692">
        <w:rPr>
          <w:sz w:val="24"/>
          <w:szCs w:val="24"/>
          <w:lang w:val="es-ES_tradnl" w:eastAsia="en-US"/>
        </w:rPr>
        <w:t>... Pp. 33</w:t>
      </w:r>
      <w:r w:rsidR="00F222AE">
        <w:rPr>
          <w:sz w:val="24"/>
          <w:szCs w:val="24"/>
          <w:lang w:val="es-ES_tradnl" w:eastAsia="en-US"/>
        </w:rPr>
        <w:t>-37</w:t>
      </w:r>
    </w:p>
    <w:p w:rsidR="00F222AE" w:rsidRDefault="0038777B" w:rsidP="00874135">
      <w:pPr>
        <w:spacing w:after="160" w:line="360" w:lineRule="auto"/>
        <w:jc w:val="both"/>
        <w:rPr>
          <w:sz w:val="24"/>
          <w:szCs w:val="24"/>
          <w:lang w:val="es-ES_tradnl" w:eastAsia="en-US"/>
        </w:rPr>
      </w:pPr>
      <w:r w:rsidRPr="00874135">
        <w:rPr>
          <w:sz w:val="24"/>
          <w:szCs w:val="24"/>
          <w:lang w:val="es-ES_tradnl" w:eastAsia="en-US"/>
        </w:rPr>
        <w:tab/>
      </w:r>
      <w:r w:rsidRPr="00874135">
        <w:rPr>
          <w:sz w:val="24"/>
          <w:szCs w:val="24"/>
          <w:lang w:val="es-ES_tradnl" w:eastAsia="en-US"/>
        </w:rPr>
        <w:tab/>
        <w:t>5.1.1. El procedimiento para la aplicación del art 155 CE</w:t>
      </w:r>
    </w:p>
    <w:p w:rsidR="0038777B" w:rsidRPr="00874135" w:rsidRDefault="0038777B" w:rsidP="00874135">
      <w:pPr>
        <w:spacing w:after="160" w:line="360" w:lineRule="auto"/>
        <w:jc w:val="both"/>
        <w:rPr>
          <w:sz w:val="24"/>
          <w:szCs w:val="24"/>
          <w:lang w:val="es-ES_tradnl" w:eastAsia="en-US"/>
        </w:rPr>
      </w:pPr>
      <w:r w:rsidRPr="00874135">
        <w:rPr>
          <w:sz w:val="24"/>
          <w:szCs w:val="24"/>
          <w:lang w:val="es-ES_tradnl" w:eastAsia="en-US"/>
        </w:rPr>
        <w:tab/>
      </w:r>
      <w:r w:rsidRPr="00874135">
        <w:rPr>
          <w:sz w:val="24"/>
          <w:szCs w:val="24"/>
          <w:lang w:val="es-ES_tradnl" w:eastAsia="en-US"/>
        </w:rPr>
        <w:tab/>
        <w:t>5.1.2. Medidas derivadas</w:t>
      </w:r>
    </w:p>
    <w:p w:rsidR="0038777B" w:rsidRPr="00874135" w:rsidRDefault="0038777B" w:rsidP="00874135">
      <w:pPr>
        <w:spacing w:after="160" w:line="360" w:lineRule="auto"/>
        <w:jc w:val="both"/>
        <w:rPr>
          <w:sz w:val="24"/>
          <w:szCs w:val="24"/>
          <w:lang w:val="es-ES_tradnl" w:eastAsia="en-US"/>
        </w:rPr>
      </w:pPr>
      <w:r w:rsidRPr="00874135">
        <w:rPr>
          <w:sz w:val="24"/>
          <w:szCs w:val="24"/>
          <w:lang w:val="es-ES_tradnl" w:eastAsia="en-US"/>
        </w:rPr>
        <w:tab/>
      </w:r>
      <w:r w:rsidRPr="00874135">
        <w:rPr>
          <w:sz w:val="24"/>
          <w:szCs w:val="24"/>
          <w:lang w:val="es-ES_tradnl" w:eastAsia="en-US"/>
        </w:rPr>
        <w:tab/>
        <w:t>5.1.3. La pertinencia de la aplicación del 155</w:t>
      </w:r>
    </w:p>
    <w:p w:rsidR="00F222AE" w:rsidRDefault="0038777B" w:rsidP="00874135">
      <w:pPr>
        <w:spacing w:after="160" w:line="360" w:lineRule="auto"/>
        <w:jc w:val="both"/>
        <w:rPr>
          <w:sz w:val="24"/>
          <w:szCs w:val="24"/>
          <w:lang w:val="es-ES_tradnl" w:eastAsia="en-US"/>
        </w:rPr>
      </w:pPr>
      <w:r w:rsidRPr="00874135">
        <w:rPr>
          <w:sz w:val="24"/>
          <w:szCs w:val="24"/>
          <w:lang w:val="es-ES_tradnl" w:eastAsia="en-US"/>
        </w:rPr>
        <w:tab/>
        <w:t xml:space="preserve">5.2. La reforma de la Ley Orgánica del Tribunal Constitucional </w:t>
      </w:r>
    </w:p>
    <w:p w:rsidR="0038777B" w:rsidRPr="00874135" w:rsidRDefault="0038777B" w:rsidP="00F222AE">
      <w:pPr>
        <w:spacing w:after="160" w:line="360" w:lineRule="auto"/>
        <w:ind w:firstLine="708"/>
        <w:jc w:val="both"/>
        <w:rPr>
          <w:sz w:val="24"/>
          <w:szCs w:val="24"/>
          <w:lang w:val="es-ES_tradnl" w:eastAsia="en-US"/>
        </w:rPr>
      </w:pPr>
      <w:r w:rsidRPr="00874135">
        <w:rPr>
          <w:sz w:val="24"/>
          <w:szCs w:val="24"/>
          <w:lang w:val="es-ES_tradnl" w:eastAsia="en-US"/>
        </w:rPr>
        <w:t>de 2015</w:t>
      </w:r>
      <w:r w:rsidR="00F222AE">
        <w:rPr>
          <w:sz w:val="24"/>
          <w:szCs w:val="24"/>
          <w:lang w:val="es-ES_tradnl" w:eastAsia="en-US"/>
        </w:rPr>
        <w:t>………………………………………………………………. Pp. 37-40</w:t>
      </w:r>
    </w:p>
    <w:p w:rsidR="0038777B" w:rsidRPr="00874135" w:rsidRDefault="0038777B" w:rsidP="00874135">
      <w:pPr>
        <w:spacing w:after="160" w:line="360" w:lineRule="auto"/>
        <w:jc w:val="both"/>
        <w:rPr>
          <w:sz w:val="24"/>
          <w:szCs w:val="24"/>
          <w:lang w:val="es-ES_tradnl" w:eastAsia="en-US"/>
        </w:rPr>
      </w:pPr>
      <w:r w:rsidRPr="00874135">
        <w:rPr>
          <w:sz w:val="24"/>
          <w:szCs w:val="24"/>
          <w:lang w:val="es-ES_tradnl" w:eastAsia="en-US"/>
        </w:rPr>
        <w:tab/>
        <w:t>5.3. La secesión en el Código Penal español</w:t>
      </w:r>
      <w:r w:rsidR="008D2692">
        <w:rPr>
          <w:sz w:val="24"/>
          <w:szCs w:val="24"/>
          <w:lang w:val="es-ES_tradnl" w:eastAsia="en-US"/>
        </w:rPr>
        <w:t>………………………... Pp. 40-42</w:t>
      </w:r>
    </w:p>
    <w:p w:rsidR="0038777B" w:rsidRPr="00562AD3" w:rsidRDefault="0038777B" w:rsidP="00874135">
      <w:pPr>
        <w:spacing w:after="160" w:line="360" w:lineRule="auto"/>
        <w:jc w:val="both"/>
        <w:rPr>
          <w:sz w:val="24"/>
          <w:szCs w:val="24"/>
          <w:lang w:val="es-ES_tradnl" w:eastAsia="en-US"/>
        </w:rPr>
      </w:pPr>
      <w:r w:rsidRPr="00874135">
        <w:rPr>
          <w:sz w:val="24"/>
          <w:szCs w:val="24"/>
          <w:lang w:val="es-ES_tradnl" w:eastAsia="en-US"/>
        </w:rPr>
        <w:tab/>
        <w:t>5.4. El estado de sitio</w:t>
      </w:r>
      <w:r w:rsidR="008D2692">
        <w:rPr>
          <w:sz w:val="24"/>
          <w:szCs w:val="24"/>
          <w:lang w:val="es-ES_tradnl" w:eastAsia="en-US"/>
        </w:rPr>
        <w:t>……………………………………………...… Pp. 42-43</w:t>
      </w:r>
    </w:p>
    <w:p w:rsidR="0038777B" w:rsidRPr="00562AD3" w:rsidRDefault="0038777B" w:rsidP="00FE0DF5">
      <w:pPr>
        <w:spacing w:after="160" w:line="360" w:lineRule="auto"/>
        <w:jc w:val="both"/>
        <w:outlineLvl w:val="0"/>
        <w:rPr>
          <w:b/>
          <w:sz w:val="24"/>
          <w:szCs w:val="24"/>
          <w:lang w:val="es-ES_tradnl" w:eastAsia="en-US"/>
        </w:rPr>
      </w:pPr>
      <w:r w:rsidRPr="00562AD3">
        <w:rPr>
          <w:b/>
          <w:sz w:val="24"/>
          <w:szCs w:val="24"/>
          <w:lang w:val="es-ES_tradnl" w:eastAsia="en-US"/>
        </w:rPr>
        <w:t>CONCLUSIONES</w:t>
      </w:r>
      <w:r w:rsidR="00F222AE">
        <w:rPr>
          <w:b/>
          <w:sz w:val="24"/>
          <w:szCs w:val="24"/>
          <w:lang w:val="es-ES_tradnl" w:eastAsia="en-US"/>
        </w:rPr>
        <w:t>………………………………………………………..</w:t>
      </w:r>
      <w:r w:rsidRPr="00562AD3">
        <w:rPr>
          <w:b/>
          <w:sz w:val="24"/>
          <w:szCs w:val="24"/>
          <w:lang w:val="es-ES_tradnl" w:eastAsia="en-US"/>
        </w:rPr>
        <w:t>…</w:t>
      </w:r>
      <w:r w:rsidR="00A059B4">
        <w:rPr>
          <w:b/>
          <w:sz w:val="24"/>
          <w:szCs w:val="24"/>
          <w:lang w:val="es-ES_tradnl" w:eastAsia="en-US"/>
        </w:rPr>
        <w:t xml:space="preserve"> </w:t>
      </w:r>
      <w:r w:rsidR="00F222AE">
        <w:rPr>
          <w:b/>
          <w:sz w:val="24"/>
          <w:szCs w:val="24"/>
          <w:lang w:val="es-ES_tradnl" w:eastAsia="en-US"/>
        </w:rPr>
        <w:t>Pp. 43-44</w:t>
      </w:r>
    </w:p>
    <w:p w:rsidR="0038777B" w:rsidRDefault="0038777B" w:rsidP="00FE0DF5">
      <w:pPr>
        <w:spacing w:after="160" w:line="360" w:lineRule="auto"/>
        <w:jc w:val="both"/>
        <w:outlineLvl w:val="0"/>
        <w:rPr>
          <w:b/>
          <w:sz w:val="24"/>
          <w:szCs w:val="24"/>
          <w:lang w:val="es-ES_tradnl" w:eastAsia="en-US"/>
        </w:rPr>
      </w:pPr>
      <w:r w:rsidRPr="00562AD3">
        <w:rPr>
          <w:b/>
          <w:sz w:val="24"/>
          <w:szCs w:val="24"/>
          <w:lang w:val="es-ES_tradnl" w:eastAsia="en-US"/>
        </w:rPr>
        <w:lastRenderedPageBreak/>
        <w:t>REFERENCIAS BIBLIOGRÁFICAS…</w:t>
      </w:r>
      <w:r w:rsidR="0022080A">
        <w:rPr>
          <w:b/>
          <w:sz w:val="24"/>
          <w:szCs w:val="24"/>
          <w:lang w:val="es-ES_tradnl" w:eastAsia="en-US"/>
        </w:rPr>
        <w:t>…………………………………. Pp. 46-54</w:t>
      </w:r>
      <w:r w:rsidRPr="00562AD3">
        <w:rPr>
          <w:b/>
          <w:sz w:val="24"/>
          <w:szCs w:val="24"/>
          <w:lang w:val="es-ES_tradnl" w:eastAsia="en-US"/>
        </w:rPr>
        <w:t xml:space="preserve"> </w:t>
      </w:r>
    </w:p>
    <w:p w:rsidR="0038777B" w:rsidRDefault="0038777B" w:rsidP="00FE0DF5">
      <w:pPr>
        <w:spacing w:after="160" w:line="360" w:lineRule="auto"/>
        <w:jc w:val="both"/>
        <w:outlineLvl w:val="0"/>
        <w:rPr>
          <w:sz w:val="24"/>
          <w:szCs w:val="24"/>
          <w:lang w:val="es-ES_tradnl" w:eastAsia="en-US"/>
        </w:rPr>
      </w:pPr>
      <w:r w:rsidRPr="00A473FF">
        <w:rPr>
          <w:sz w:val="24"/>
          <w:szCs w:val="24"/>
          <w:lang w:val="es-ES_tradnl" w:eastAsia="en-US"/>
        </w:rPr>
        <w:tab/>
        <w:t>Índice de doctrina</w:t>
      </w:r>
    </w:p>
    <w:p w:rsidR="00F222AE" w:rsidRDefault="00F222AE" w:rsidP="00FE0DF5">
      <w:pPr>
        <w:spacing w:after="160" w:line="360" w:lineRule="auto"/>
        <w:jc w:val="both"/>
        <w:outlineLvl w:val="0"/>
        <w:rPr>
          <w:sz w:val="24"/>
          <w:szCs w:val="24"/>
          <w:lang w:val="es-ES_tradnl" w:eastAsia="en-US"/>
        </w:rPr>
      </w:pPr>
      <w:r>
        <w:rPr>
          <w:sz w:val="24"/>
          <w:szCs w:val="24"/>
          <w:lang w:val="es-ES_tradnl" w:eastAsia="en-US"/>
        </w:rPr>
        <w:tab/>
        <w:t>Índice de jurisprudencia</w:t>
      </w:r>
    </w:p>
    <w:p w:rsidR="0038777B" w:rsidRPr="00A473FF" w:rsidRDefault="0038777B" w:rsidP="00FE0DF5">
      <w:pPr>
        <w:spacing w:after="160" w:line="360" w:lineRule="auto"/>
        <w:jc w:val="both"/>
        <w:outlineLvl w:val="0"/>
        <w:rPr>
          <w:sz w:val="24"/>
          <w:szCs w:val="24"/>
          <w:lang w:val="es-ES_tradnl" w:eastAsia="en-US"/>
        </w:rPr>
      </w:pPr>
      <w:r>
        <w:rPr>
          <w:sz w:val="24"/>
          <w:szCs w:val="24"/>
          <w:lang w:val="es-ES_tradnl" w:eastAsia="en-US"/>
        </w:rPr>
        <w:tab/>
        <w:t>Índice de legislación y resoluciones parlamentarias</w:t>
      </w:r>
    </w:p>
    <w:p w:rsidR="0038777B" w:rsidRPr="00562AD3" w:rsidRDefault="0038777B" w:rsidP="00562AD3">
      <w:pPr>
        <w:rPr>
          <w:lang w:val="es-ES_tradnl"/>
        </w:rPr>
      </w:pPr>
    </w:p>
    <w:p w:rsidR="0038777B" w:rsidRDefault="0038777B" w:rsidP="00D406A5">
      <w:pPr>
        <w:jc w:val="right"/>
      </w:pPr>
    </w:p>
    <w:p w:rsidR="0038777B" w:rsidRDefault="0038777B" w:rsidP="00D406A5">
      <w:pPr>
        <w:jc w:val="right"/>
      </w:pPr>
    </w:p>
    <w:p w:rsidR="0038777B" w:rsidRDefault="0038777B" w:rsidP="00D406A5">
      <w:pPr>
        <w:jc w:val="right"/>
      </w:pPr>
    </w:p>
    <w:p w:rsidR="00146A22" w:rsidRDefault="00146A22" w:rsidP="00E67EAC">
      <w:pPr>
        <w:spacing w:after="160" w:line="360" w:lineRule="auto"/>
        <w:jc w:val="both"/>
      </w:pPr>
    </w:p>
    <w:p w:rsidR="00C457C2" w:rsidRDefault="00C457C2" w:rsidP="00E67EAC">
      <w:pPr>
        <w:spacing w:after="160" w:line="360" w:lineRule="auto"/>
        <w:jc w:val="both"/>
      </w:pPr>
    </w:p>
    <w:p w:rsidR="00C457C2" w:rsidRDefault="00C457C2" w:rsidP="00E67EAC">
      <w:pPr>
        <w:spacing w:after="160" w:line="360" w:lineRule="auto"/>
        <w:jc w:val="both"/>
      </w:pPr>
    </w:p>
    <w:p w:rsidR="00C457C2" w:rsidRDefault="00C457C2" w:rsidP="00E67EAC">
      <w:pPr>
        <w:spacing w:after="160" w:line="360" w:lineRule="auto"/>
        <w:jc w:val="both"/>
      </w:pPr>
    </w:p>
    <w:p w:rsidR="00C457C2" w:rsidRDefault="00C457C2" w:rsidP="00E67EAC">
      <w:pPr>
        <w:spacing w:after="160" w:line="360" w:lineRule="auto"/>
        <w:jc w:val="both"/>
      </w:pPr>
    </w:p>
    <w:p w:rsidR="00C457C2" w:rsidRDefault="00C457C2" w:rsidP="00E67EAC">
      <w:pPr>
        <w:spacing w:after="160" w:line="360" w:lineRule="auto"/>
        <w:jc w:val="both"/>
      </w:pPr>
    </w:p>
    <w:p w:rsidR="00C457C2" w:rsidRDefault="00C457C2" w:rsidP="00E67EAC">
      <w:pPr>
        <w:spacing w:after="160" w:line="360" w:lineRule="auto"/>
        <w:jc w:val="both"/>
      </w:pPr>
    </w:p>
    <w:p w:rsidR="00C457C2" w:rsidRDefault="00C457C2" w:rsidP="00E67EAC">
      <w:pPr>
        <w:spacing w:after="160" w:line="360" w:lineRule="auto"/>
        <w:jc w:val="both"/>
      </w:pPr>
    </w:p>
    <w:p w:rsidR="00C457C2" w:rsidRDefault="00C457C2" w:rsidP="00E67EAC">
      <w:pPr>
        <w:spacing w:after="160" w:line="360" w:lineRule="auto"/>
        <w:jc w:val="both"/>
      </w:pPr>
    </w:p>
    <w:p w:rsidR="00C457C2" w:rsidRDefault="00C457C2" w:rsidP="00E67EAC">
      <w:pPr>
        <w:spacing w:after="160" w:line="360" w:lineRule="auto"/>
        <w:jc w:val="both"/>
      </w:pPr>
    </w:p>
    <w:p w:rsidR="00C457C2" w:rsidRDefault="00C457C2" w:rsidP="00E67EAC">
      <w:pPr>
        <w:spacing w:after="160" w:line="360" w:lineRule="auto"/>
        <w:jc w:val="both"/>
      </w:pPr>
    </w:p>
    <w:p w:rsidR="00C457C2" w:rsidRDefault="00C457C2" w:rsidP="00E67EAC">
      <w:pPr>
        <w:spacing w:after="160" w:line="360" w:lineRule="auto"/>
        <w:jc w:val="both"/>
      </w:pPr>
    </w:p>
    <w:p w:rsidR="00C457C2" w:rsidRDefault="00C457C2" w:rsidP="00E67EAC">
      <w:pPr>
        <w:spacing w:after="160" w:line="360" w:lineRule="auto"/>
        <w:jc w:val="both"/>
      </w:pPr>
    </w:p>
    <w:p w:rsidR="00C457C2" w:rsidRDefault="00C457C2" w:rsidP="00E67EAC">
      <w:pPr>
        <w:spacing w:after="160" w:line="360" w:lineRule="auto"/>
        <w:jc w:val="both"/>
      </w:pPr>
    </w:p>
    <w:p w:rsidR="00C457C2" w:rsidRDefault="00C457C2" w:rsidP="00E67EAC">
      <w:pPr>
        <w:spacing w:after="160" w:line="360" w:lineRule="auto"/>
        <w:jc w:val="both"/>
      </w:pPr>
    </w:p>
    <w:p w:rsidR="00C457C2" w:rsidRDefault="00C457C2" w:rsidP="00E67EAC">
      <w:pPr>
        <w:spacing w:after="160" w:line="360" w:lineRule="auto"/>
        <w:jc w:val="both"/>
      </w:pPr>
    </w:p>
    <w:p w:rsidR="00C457C2" w:rsidRDefault="00C457C2" w:rsidP="00E67EAC">
      <w:pPr>
        <w:spacing w:after="160" w:line="360" w:lineRule="auto"/>
        <w:jc w:val="both"/>
      </w:pPr>
    </w:p>
    <w:p w:rsidR="00C457C2" w:rsidRDefault="00C457C2" w:rsidP="00E67EAC">
      <w:pPr>
        <w:spacing w:after="160" w:line="360" w:lineRule="auto"/>
        <w:jc w:val="both"/>
      </w:pPr>
    </w:p>
    <w:p w:rsidR="00C457C2" w:rsidRDefault="00C457C2" w:rsidP="00E67EAC">
      <w:pPr>
        <w:spacing w:after="160" w:line="360" w:lineRule="auto"/>
        <w:jc w:val="both"/>
      </w:pPr>
    </w:p>
    <w:p w:rsidR="00C457C2" w:rsidRDefault="00C457C2" w:rsidP="00E67EAC">
      <w:pPr>
        <w:spacing w:after="160" w:line="360" w:lineRule="auto"/>
        <w:jc w:val="both"/>
      </w:pPr>
    </w:p>
    <w:p w:rsidR="00C457C2" w:rsidRDefault="00C457C2" w:rsidP="00E67EAC">
      <w:pPr>
        <w:spacing w:after="160" w:line="360" w:lineRule="auto"/>
        <w:jc w:val="both"/>
      </w:pPr>
    </w:p>
    <w:p w:rsidR="0038777B" w:rsidRDefault="0038777B" w:rsidP="00E67EAC">
      <w:pPr>
        <w:spacing w:after="160" w:line="360" w:lineRule="auto"/>
        <w:jc w:val="both"/>
        <w:rPr>
          <w:b/>
        </w:rPr>
      </w:pPr>
      <w:r w:rsidRPr="00FE0DF5">
        <w:rPr>
          <w:b/>
        </w:rPr>
        <w:lastRenderedPageBreak/>
        <w:t>RESUMEN</w:t>
      </w:r>
    </w:p>
    <w:p w:rsidR="0038777B" w:rsidRDefault="0038777B" w:rsidP="00E67EAC">
      <w:pPr>
        <w:spacing w:after="160" w:line="360" w:lineRule="auto"/>
        <w:jc w:val="both"/>
        <w:rPr>
          <w:b/>
        </w:rPr>
      </w:pPr>
    </w:p>
    <w:p w:rsidR="0038777B" w:rsidRPr="00FE0DF5" w:rsidRDefault="0038777B" w:rsidP="00E67EAC">
      <w:pPr>
        <w:spacing w:line="360" w:lineRule="auto"/>
        <w:jc w:val="both"/>
        <w:rPr>
          <w:sz w:val="24"/>
          <w:szCs w:val="24"/>
        </w:rPr>
      </w:pPr>
      <w:r>
        <w:rPr>
          <w:sz w:val="24"/>
          <w:szCs w:val="24"/>
        </w:rPr>
        <w:tab/>
      </w:r>
      <w:r w:rsidRPr="00FE0DF5">
        <w:rPr>
          <w:sz w:val="24"/>
          <w:szCs w:val="24"/>
        </w:rPr>
        <w:t xml:space="preserve">El conflicto territorial es una constante en la historia de España. Este trabajo pretende analizar el proceso secesionista catalán, partiendo del debate sobre legalidad y poder constituyente, hasta llegar a  las especialidades de dicho proceso </w:t>
      </w:r>
      <w:r>
        <w:rPr>
          <w:sz w:val="24"/>
          <w:szCs w:val="24"/>
        </w:rPr>
        <w:t>manifestadas</w:t>
      </w:r>
      <w:r w:rsidRPr="00FE0DF5">
        <w:rPr>
          <w:sz w:val="24"/>
          <w:szCs w:val="24"/>
        </w:rPr>
        <w:t xml:space="preserve"> </w:t>
      </w:r>
      <w:r>
        <w:rPr>
          <w:sz w:val="24"/>
          <w:szCs w:val="24"/>
        </w:rPr>
        <w:t>tanto</w:t>
      </w:r>
      <w:r w:rsidRPr="00FE0DF5">
        <w:rPr>
          <w:sz w:val="24"/>
          <w:szCs w:val="24"/>
        </w:rPr>
        <w:t xml:space="preserve"> por las acciones de las instituciones catalanas </w:t>
      </w:r>
      <w:r>
        <w:rPr>
          <w:sz w:val="24"/>
          <w:szCs w:val="24"/>
        </w:rPr>
        <w:t>como</w:t>
      </w:r>
      <w:r w:rsidRPr="00FE0DF5">
        <w:rPr>
          <w:sz w:val="24"/>
          <w:szCs w:val="24"/>
        </w:rPr>
        <w:t xml:space="preserve"> por la respuesta dada por los Tribunales. Para finalizar, se recopilan los recursos jurídicos a disposición del Estado de Derecho para hacer frente a este problema.</w:t>
      </w:r>
    </w:p>
    <w:p w:rsidR="0038777B" w:rsidRPr="00FE0DF5" w:rsidRDefault="0038777B" w:rsidP="00E67EAC">
      <w:pPr>
        <w:spacing w:line="360" w:lineRule="auto"/>
        <w:jc w:val="both"/>
        <w:rPr>
          <w:sz w:val="24"/>
          <w:szCs w:val="24"/>
        </w:rPr>
      </w:pPr>
    </w:p>
    <w:p w:rsidR="0038777B" w:rsidRPr="00FE0DF5" w:rsidRDefault="0038777B" w:rsidP="00E67EAC">
      <w:pPr>
        <w:spacing w:line="360" w:lineRule="auto"/>
        <w:jc w:val="both"/>
        <w:rPr>
          <w:sz w:val="24"/>
          <w:szCs w:val="24"/>
        </w:rPr>
      </w:pPr>
      <w:r w:rsidRPr="00FE0DF5">
        <w:rPr>
          <w:sz w:val="24"/>
          <w:szCs w:val="24"/>
        </w:rPr>
        <w:t>Palabras clave: secesionismo; derecho de autodeterminación; poder constituyente; principio democrático</w:t>
      </w:r>
    </w:p>
    <w:p w:rsidR="0038777B" w:rsidRPr="00FE0DF5" w:rsidRDefault="0038777B" w:rsidP="00E67EAC">
      <w:pPr>
        <w:spacing w:line="360" w:lineRule="auto"/>
        <w:jc w:val="both"/>
        <w:rPr>
          <w:sz w:val="24"/>
          <w:szCs w:val="24"/>
        </w:rPr>
      </w:pPr>
    </w:p>
    <w:p w:rsidR="0038777B" w:rsidRPr="00FE0DF5" w:rsidRDefault="0038777B" w:rsidP="00E67EAC">
      <w:pPr>
        <w:spacing w:line="360" w:lineRule="auto"/>
        <w:jc w:val="both"/>
        <w:rPr>
          <w:sz w:val="24"/>
          <w:szCs w:val="24"/>
          <w:lang w:val="en-GB"/>
        </w:rPr>
      </w:pPr>
      <w:r w:rsidRPr="00FE0DF5">
        <w:rPr>
          <w:sz w:val="24"/>
          <w:szCs w:val="24"/>
        </w:rPr>
        <w:tab/>
      </w:r>
      <w:r w:rsidRPr="00FE0DF5">
        <w:rPr>
          <w:sz w:val="24"/>
          <w:szCs w:val="24"/>
          <w:lang w:val="en-GB"/>
        </w:rPr>
        <w:t xml:space="preserve">The territorial </w:t>
      </w:r>
      <w:r w:rsidR="00037948">
        <w:rPr>
          <w:sz w:val="24"/>
          <w:szCs w:val="24"/>
          <w:lang w:val="en-GB"/>
        </w:rPr>
        <w:t>dispute</w:t>
      </w:r>
      <w:r w:rsidRPr="00FE0DF5">
        <w:rPr>
          <w:sz w:val="24"/>
          <w:szCs w:val="24"/>
          <w:lang w:val="en-GB"/>
        </w:rPr>
        <w:t xml:space="preserve"> is a constant in the history of Spain. This research aims to </w:t>
      </w:r>
      <w:r w:rsidR="00EE002F" w:rsidRPr="00FE0DF5">
        <w:rPr>
          <w:sz w:val="24"/>
          <w:szCs w:val="24"/>
          <w:lang w:val="en-GB"/>
        </w:rPr>
        <w:t>analyse</w:t>
      </w:r>
      <w:r w:rsidRPr="00FE0DF5">
        <w:rPr>
          <w:sz w:val="24"/>
          <w:szCs w:val="24"/>
          <w:lang w:val="en-GB"/>
        </w:rPr>
        <w:t xml:space="preserve"> the Catalan secessionist process, starting from the debate on legality and constituent power, </w:t>
      </w:r>
      <w:r w:rsidR="00037948">
        <w:rPr>
          <w:sz w:val="24"/>
          <w:szCs w:val="24"/>
          <w:lang w:val="en-GB"/>
        </w:rPr>
        <w:t>trough</w:t>
      </w:r>
      <w:r w:rsidRPr="00FE0DF5">
        <w:rPr>
          <w:sz w:val="24"/>
          <w:szCs w:val="24"/>
          <w:lang w:val="en-GB"/>
        </w:rPr>
        <w:t xml:space="preserve"> reaching the </w:t>
      </w:r>
      <w:r w:rsidR="00037948">
        <w:rPr>
          <w:sz w:val="24"/>
          <w:szCs w:val="24"/>
          <w:lang w:val="en-GB"/>
        </w:rPr>
        <w:t>features</w:t>
      </w:r>
      <w:r w:rsidRPr="00FE0DF5">
        <w:rPr>
          <w:sz w:val="24"/>
          <w:szCs w:val="24"/>
          <w:lang w:val="en-GB"/>
        </w:rPr>
        <w:t xml:space="preserve"> of this process constituted on the one hand by the </w:t>
      </w:r>
      <w:r w:rsidR="00037948">
        <w:rPr>
          <w:sz w:val="24"/>
          <w:szCs w:val="24"/>
          <w:lang w:val="en-GB"/>
        </w:rPr>
        <w:t>Catalan institutions actions</w:t>
      </w:r>
      <w:r w:rsidRPr="00FE0DF5">
        <w:rPr>
          <w:sz w:val="24"/>
          <w:szCs w:val="24"/>
          <w:lang w:val="en-GB"/>
        </w:rPr>
        <w:t xml:space="preserve"> and on the other </w:t>
      </w:r>
      <w:r w:rsidR="00037948">
        <w:rPr>
          <w:sz w:val="24"/>
          <w:szCs w:val="24"/>
          <w:lang w:val="en-GB"/>
        </w:rPr>
        <w:t xml:space="preserve">hand by </w:t>
      </w:r>
      <w:r w:rsidRPr="00FE0DF5">
        <w:rPr>
          <w:sz w:val="24"/>
          <w:szCs w:val="24"/>
          <w:lang w:val="en-GB"/>
        </w:rPr>
        <w:t xml:space="preserve">the answer </w:t>
      </w:r>
      <w:r w:rsidR="00037948">
        <w:rPr>
          <w:sz w:val="24"/>
          <w:szCs w:val="24"/>
          <w:lang w:val="en-GB"/>
        </w:rPr>
        <w:t>obtained from</w:t>
      </w:r>
      <w:r w:rsidRPr="00FE0DF5">
        <w:rPr>
          <w:sz w:val="24"/>
          <w:szCs w:val="24"/>
          <w:lang w:val="en-GB"/>
        </w:rPr>
        <w:t xml:space="preserve"> the Tribunals. Finally, we will gather the legal </w:t>
      </w:r>
      <w:r w:rsidR="00037948">
        <w:rPr>
          <w:sz w:val="24"/>
          <w:szCs w:val="24"/>
          <w:lang w:val="en-GB"/>
        </w:rPr>
        <w:t>resources</w:t>
      </w:r>
      <w:r w:rsidRPr="00FE0DF5">
        <w:rPr>
          <w:sz w:val="24"/>
          <w:szCs w:val="24"/>
          <w:lang w:val="en-GB"/>
        </w:rPr>
        <w:t xml:space="preserve"> which are available </w:t>
      </w:r>
      <w:r w:rsidR="00037948">
        <w:rPr>
          <w:sz w:val="24"/>
          <w:szCs w:val="24"/>
          <w:lang w:val="en-GB"/>
        </w:rPr>
        <w:t>for</w:t>
      </w:r>
      <w:r w:rsidRPr="00FE0DF5">
        <w:rPr>
          <w:sz w:val="24"/>
          <w:szCs w:val="24"/>
          <w:lang w:val="en-GB"/>
        </w:rPr>
        <w:t xml:space="preserve"> the rule of law to </w:t>
      </w:r>
      <w:r w:rsidR="00037948">
        <w:rPr>
          <w:sz w:val="24"/>
          <w:szCs w:val="24"/>
          <w:lang w:val="en-GB"/>
        </w:rPr>
        <w:t>cope</w:t>
      </w:r>
      <w:r w:rsidRPr="00FE0DF5">
        <w:rPr>
          <w:sz w:val="24"/>
          <w:szCs w:val="24"/>
          <w:lang w:val="en-GB"/>
        </w:rPr>
        <w:t xml:space="preserve"> with this problem.</w:t>
      </w:r>
    </w:p>
    <w:p w:rsidR="0038777B" w:rsidRPr="00FE0DF5" w:rsidRDefault="0038777B" w:rsidP="00E67EAC">
      <w:pPr>
        <w:spacing w:line="360" w:lineRule="auto"/>
        <w:jc w:val="both"/>
        <w:rPr>
          <w:sz w:val="24"/>
          <w:szCs w:val="24"/>
          <w:lang w:val="en-GB"/>
        </w:rPr>
      </w:pPr>
      <w:r w:rsidRPr="00FE0DF5">
        <w:rPr>
          <w:sz w:val="24"/>
          <w:szCs w:val="24"/>
          <w:lang w:val="en-GB"/>
        </w:rPr>
        <w:tab/>
      </w:r>
    </w:p>
    <w:p w:rsidR="0038777B" w:rsidRPr="00FE0DF5" w:rsidRDefault="0038777B" w:rsidP="00E67EAC">
      <w:pPr>
        <w:spacing w:line="360" w:lineRule="auto"/>
        <w:jc w:val="both"/>
        <w:rPr>
          <w:rFonts w:cs="Frutiger LT Std 55 Roman"/>
          <w:color w:val="000000"/>
          <w:sz w:val="24"/>
          <w:szCs w:val="24"/>
          <w:lang w:val="en-GB"/>
        </w:rPr>
      </w:pPr>
      <w:r w:rsidRPr="00FE0DF5">
        <w:rPr>
          <w:sz w:val="24"/>
          <w:szCs w:val="24"/>
          <w:lang w:val="en-GB"/>
        </w:rPr>
        <w:t xml:space="preserve">Key words: secession; </w:t>
      </w:r>
      <w:r w:rsidRPr="00FE0DF5">
        <w:rPr>
          <w:rFonts w:cs="Frutiger LT Std 55 Roman"/>
          <w:color w:val="000000"/>
          <w:sz w:val="24"/>
          <w:szCs w:val="24"/>
          <w:lang w:val="en-GB"/>
        </w:rPr>
        <w:t xml:space="preserve">right to the self-determination; constituent power; democratic principle </w:t>
      </w:r>
    </w:p>
    <w:p w:rsidR="0038777B" w:rsidRDefault="0038777B" w:rsidP="00E67EAC">
      <w:pPr>
        <w:spacing w:after="160" w:line="360" w:lineRule="auto"/>
        <w:jc w:val="both"/>
        <w:rPr>
          <w:b/>
          <w:lang w:val="en-GB"/>
        </w:rPr>
      </w:pPr>
    </w:p>
    <w:p w:rsidR="0038777B" w:rsidRDefault="0038777B" w:rsidP="00E67EAC">
      <w:pPr>
        <w:spacing w:after="160" w:line="360" w:lineRule="auto"/>
        <w:jc w:val="both"/>
        <w:rPr>
          <w:b/>
          <w:lang w:val="en-GB"/>
        </w:rPr>
      </w:pPr>
    </w:p>
    <w:p w:rsidR="0038777B" w:rsidRDefault="0038777B" w:rsidP="00E67EAC">
      <w:pPr>
        <w:spacing w:after="160" w:line="360" w:lineRule="auto"/>
        <w:jc w:val="both"/>
        <w:rPr>
          <w:b/>
          <w:lang w:val="en-GB"/>
        </w:rPr>
      </w:pPr>
    </w:p>
    <w:p w:rsidR="0038777B" w:rsidRDefault="0038777B" w:rsidP="00E67EAC">
      <w:pPr>
        <w:spacing w:after="160" w:line="360" w:lineRule="auto"/>
        <w:jc w:val="both"/>
        <w:rPr>
          <w:b/>
          <w:lang w:val="en-GB"/>
        </w:rPr>
      </w:pPr>
    </w:p>
    <w:p w:rsidR="0038777B" w:rsidRDefault="0038777B" w:rsidP="00E67EAC">
      <w:pPr>
        <w:spacing w:after="160" w:line="360" w:lineRule="auto"/>
        <w:jc w:val="both"/>
        <w:rPr>
          <w:b/>
          <w:lang w:val="en-GB"/>
        </w:rPr>
      </w:pPr>
    </w:p>
    <w:p w:rsidR="00EE002F" w:rsidRPr="00F222AE" w:rsidRDefault="00EE002F" w:rsidP="00F222AE">
      <w:pPr>
        <w:tabs>
          <w:tab w:val="left" w:pos="4860"/>
        </w:tabs>
        <w:spacing w:after="160" w:line="360" w:lineRule="auto"/>
        <w:jc w:val="both"/>
        <w:rPr>
          <w:b/>
          <w:lang w:val="en-GB"/>
        </w:rPr>
        <w:sectPr w:rsidR="00EE002F" w:rsidRPr="00F222AE" w:rsidSect="00562AD3">
          <w:pgSz w:w="11906" w:h="16838"/>
          <w:pgMar w:top="1417" w:right="1701" w:bottom="1417" w:left="1701" w:header="720" w:footer="720" w:gutter="0"/>
          <w:cols w:space="720"/>
          <w:docGrid w:linePitch="272"/>
        </w:sectPr>
      </w:pPr>
    </w:p>
    <w:p w:rsidR="0038777B" w:rsidRPr="00A473FF" w:rsidRDefault="00A17C8F" w:rsidP="00E67EAC">
      <w:pPr>
        <w:spacing w:after="160" w:line="360" w:lineRule="auto"/>
        <w:jc w:val="both"/>
        <w:rPr>
          <w:b/>
        </w:rPr>
      </w:pPr>
      <w:r>
        <w:rPr>
          <w:b/>
        </w:rPr>
        <w:lastRenderedPageBreak/>
        <w:t>INTRODUCCIÓ</w:t>
      </w:r>
      <w:r w:rsidR="0038777B" w:rsidRPr="00A473FF">
        <w:rPr>
          <w:b/>
        </w:rPr>
        <w:t>N</w:t>
      </w:r>
    </w:p>
    <w:p w:rsidR="0038777B" w:rsidRPr="001A1D18" w:rsidRDefault="0038777B" w:rsidP="00E67EAC">
      <w:pPr>
        <w:spacing w:after="160" w:line="360" w:lineRule="auto"/>
        <w:jc w:val="both"/>
        <w:rPr>
          <w:sz w:val="24"/>
          <w:szCs w:val="24"/>
        </w:rPr>
      </w:pPr>
      <w:r w:rsidRPr="00A473FF">
        <w:tab/>
      </w:r>
      <w:r w:rsidRPr="001A1D18">
        <w:rPr>
          <w:sz w:val="24"/>
          <w:szCs w:val="24"/>
        </w:rPr>
        <w:t>En España, el conflicto territorial es un problema que subsiste con el paso de los años. Desde el restablecimiento de la democracia, con la aprobación de la Constitución Española de 1977, dos Comunidades Autónomas han planteado de forma más o menos intensa su intención de remodelar la relación con el Estado (Euskadi y Catalunya). La primera, Euskadi, presenta hoy en día una situación de estabilidad institucional manifestada en el abandono de las instituciones vascas de las pretensiones secesionistas. El caso catalán (objeto de este trabajo) sin embargo supone hoy en día un problema real para la unidad del Estado español y el mantenimiento del Estado de Derecho.</w:t>
      </w:r>
    </w:p>
    <w:p w:rsidR="0038777B" w:rsidRPr="001A1D18" w:rsidRDefault="0038777B" w:rsidP="00E67EAC">
      <w:pPr>
        <w:spacing w:after="160" w:line="360" w:lineRule="auto"/>
        <w:jc w:val="both"/>
        <w:rPr>
          <w:sz w:val="24"/>
          <w:szCs w:val="24"/>
        </w:rPr>
      </w:pPr>
      <w:r w:rsidRPr="001A1D18">
        <w:rPr>
          <w:sz w:val="24"/>
          <w:szCs w:val="24"/>
        </w:rPr>
        <w:tab/>
        <w:t>El Estado de Derecho está en serio peligro, la quiebra del orden constitucional es una posibilidad real, y los derechos de los ciudadanos implicados pueden verse igualmente afectados. Son razones que justifican sin lugar a dudas la necesidad de un completo análisis del proceso secesionista catalán, no desde una perspectiva social o política, sino jurídica, rehusando del tradicional tratamiento del derecho de autodeterminación o secesión y su estudio comparado para centrarnos en el ordenamiento jurídico español, y su aplicación al caso de Catalunya.</w:t>
      </w:r>
    </w:p>
    <w:p w:rsidR="0038777B" w:rsidRPr="001A1D18" w:rsidRDefault="0038777B" w:rsidP="00E67EAC">
      <w:pPr>
        <w:spacing w:after="160" w:line="360" w:lineRule="auto"/>
        <w:jc w:val="both"/>
        <w:rPr>
          <w:sz w:val="24"/>
          <w:szCs w:val="24"/>
        </w:rPr>
      </w:pPr>
      <w:r w:rsidRPr="001A1D18">
        <w:rPr>
          <w:sz w:val="24"/>
          <w:szCs w:val="24"/>
        </w:rPr>
        <w:tab/>
        <w:t>Para ello son varias las cuestiones que debemos atender. En primer lugar es importante y necesario contextualizar la situación, poniendo de manifiesto el agotamiento del Estado de derecho y sus causas, prosiguiendo con el marco conceptual del derecho de autodeterminación y su convivencia con el principio democrático</w:t>
      </w:r>
      <w:r>
        <w:rPr>
          <w:sz w:val="24"/>
          <w:szCs w:val="24"/>
        </w:rPr>
        <w:t>, sin olvidar el poder constituyente</w:t>
      </w:r>
      <w:r w:rsidRPr="001A1D18">
        <w:rPr>
          <w:sz w:val="24"/>
          <w:szCs w:val="24"/>
        </w:rPr>
        <w:t xml:space="preserve">. Supone otra interesante cuestión el estudio de la actividad de las instituciones catalanas (principalmente la del Parlament de Catalunya, como representante directo del pueblo catalán) dirigidas a la consecución o el reconocimiento de un derecho de autodeterminación, y también el estudio de la jurisprudencia aparejada a esta actividad (fundamentalmente del Tribunal Constitucional). En conclusión y como motivo central del trabajo, detallaremos los mecanismos dispuestos en el ordenamiento jurídico frente a la secesión.  </w:t>
      </w:r>
    </w:p>
    <w:p w:rsidR="0038777B" w:rsidRDefault="0038777B" w:rsidP="00E67EAC">
      <w:pPr>
        <w:spacing w:after="160" w:line="360" w:lineRule="auto"/>
        <w:jc w:val="both"/>
        <w:rPr>
          <w:sz w:val="24"/>
          <w:szCs w:val="24"/>
        </w:rPr>
      </w:pPr>
      <w:r w:rsidRPr="001A1D18">
        <w:rPr>
          <w:sz w:val="24"/>
          <w:szCs w:val="24"/>
        </w:rPr>
        <w:tab/>
        <w:t xml:space="preserve">Este análisis integral del proceso catalán no pretende resultar estéril. De este modo, pretendemos  en primer lugar establecer una relación de primacía entre dos cuestiones enfrentadas: la voluntad democrática de un pueblo y la legalidad imperante en su sociedad. </w:t>
      </w:r>
    </w:p>
    <w:p w:rsidR="0038777B" w:rsidRPr="001A1D18" w:rsidRDefault="0038777B" w:rsidP="00E67EAC">
      <w:pPr>
        <w:spacing w:after="160" w:line="360" w:lineRule="auto"/>
        <w:jc w:val="both"/>
        <w:rPr>
          <w:sz w:val="24"/>
          <w:szCs w:val="24"/>
        </w:rPr>
      </w:pPr>
      <w:r>
        <w:rPr>
          <w:sz w:val="24"/>
          <w:szCs w:val="24"/>
        </w:rPr>
        <w:lastRenderedPageBreak/>
        <w:tab/>
        <w:t>Relacionado con lo anterior, el análisis del poder constituyente (su formación, sus vicisitudes, etc) nos permitirá concluir con la posibilidad del establecimiento de un derecho de secesión por medio del poder constituyente revolucionario.</w:t>
      </w:r>
    </w:p>
    <w:p w:rsidR="0038777B" w:rsidRPr="001A1D18" w:rsidRDefault="0038777B" w:rsidP="00E67EAC">
      <w:pPr>
        <w:spacing w:after="160" w:line="360" w:lineRule="auto"/>
        <w:jc w:val="both"/>
        <w:rPr>
          <w:sz w:val="24"/>
          <w:szCs w:val="24"/>
        </w:rPr>
      </w:pPr>
      <w:r w:rsidRPr="001A1D18">
        <w:rPr>
          <w:sz w:val="24"/>
          <w:szCs w:val="24"/>
        </w:rPr>
        <w:tab/>
        <w:t xml:space="preserve">Por otro lado buscamos realizar una detallada observancia de la actividad de las autoridades catalanas, encaminada a la consecución material de la secesión, en busca de quiebras a la legalidad vigente (en su caso acompañadas por sus respectivas resoluciones judiciales). </w:t>
      </w:r>
    </w:p>
    <w:p w:rsidR="0038777B" w:rsidRPr="001A1D18" w:rsidRDefault="0038777B" w:rsidP="00E67EAC">
      <w:pPr>
        <w:spacing w:after="160" w:line="360" w:lineRule="auto"/>
        <w:jc w:val="both"/>
        <w:rPr>
          <w:sz w:val="24"/>
          <w:szCs w:val="24"/>
        </w:rPr>
      </w:pPr>
      <w:r w:rsidRPr="001A1D18">
        <w:rPr>
          <w:sz w:val="24"/>
          <w:szCs w:val="24"/>
        </w:rPr>
        <w:tab/>
        <w:t xml:space="preserve">Para finalizar y como objetivo principal del trabajo, centramos nuestros esfuerzos por un lado en identificar y analizar los mecanismos jurídicos a disposición del Estado de Derecho (aplicación del artículo 155 de la Cuestión Española, aplicación del Código Penal frente a las autoridades instigadoras de la secesión, establecimiento del estado de sitio…) frente al secesionismo, y por otro lado la pertinencia del empleo de dichos mecanismos en el caso catalán. </w:t>
      </w:r>
    </w:p>
    <w:p w:rsidR="0038777B" w:rsidRDefault="0038777B" w:rsidP="00E67EAC">
      <w:pPr>
        <w:spacing w:after="160" w:line="360" w:lineRule="auto"/>
        <w:jc w:val="both"/>
        <w:rPr>
          <w:sz w:val="24"/>
          <w:szCs w:val="24"/>
        </w:rPr>
      </w:pPr>
      <w:r w:rsidRPr="001A1D18">
        <w:rPr>
          <w:sz w:val="24"/>
          <w:szCs w:val="24"/>
        </w:rPr>
        <w:tab/>
        <w:t>En definitiva, trataremos de aportar una solución jurídica al conflicto entre el Estado español y la Comunidad Autónoma de Catalunya, atendiendo a las actuaciones de esta última y sin perder de vista ninguna de las posibilidades que aporta el ordenamiento jurídico en su conjunto.</w:t>
      </w:r>
    </w:p>
    <w:p w:rsidR="0038777B" w:rsidRDefault="0038777B" w:rsidP="00E67EAC">
      <w:pPr>
        <w:spacing w:after="160" w:line="360" w:lineRule="auto"/>
        <w:jc w:val="both"/>
        <w:rPr>
          <w:sz w:val="24"/>
          <w:szCs w:val="24"/>
        </w:rPr>
      </w:pPr>
    </w:p>
    <w:p w:rsidR="0038777B" w:rsidRDefault="0038777B" w:rsidP="00E67EAC">
      <w:pPr>
        <w:spacing w:after="160" w:line="360" w:lineRule="auto"/>
        <w:jc w:val="both"/>
        <w:rPr>
          <w:sz w:val="24"/>
          <w:szCs w:val="24"/>
        </w:rPr>
      </w:pPr>
    </w:p>
    <w:p w:rsidR="0038777B" w:rsidRDefault="0038777B" w:rsidP="00E67EAC">
      <w:pPr>
        <w:spacing w:after="160" w:line="360" w:lineRule="auto"/>
        <w:jc w:val="both"/>
        <w:rPr>
          <w:sz w:val="24"/>
          <w:szCs w:val="24"/>
        </w:rPr>
      </w:pPr>
    </w:p>
    <w:p w:rsidR="0038777B" w:rsidRDefault="0038777B" w:rsidP="00E67EAC">
      <w:pPr>
        <w:spacing w:after="160" w:line="360" w:lineRule="auto"/>
        <w:jc w:val="both"/>
        <w:rPr>
          <w:sz w:val="24"/>
          <w:szCs w:val="24"/>
        </w:rPr>
      </w:pPr>
    </w:p>
    <w:p w:rsidR="0038777B" w:rsidRDefault="0038777B" w:rsidP="00E67EAC">
      <w:pPr>
        <w:spacing w:after="160" w:line="360" w:lineRule="auto"/>
        <w:jc w:val="both"/>
        <w:rPr>
          <w:sz w:val="24"/>
          <w:szCs w:val="24"/>
        </w:rPr>
      </w:pPr>
    </w:p>
    <w:p w:rsidR="0038777B" w:rsidRDefault="0038777B" w:rsidP="00E67EAC">
      <w:pPr>
        <w:spacing w:after="160" w:line="360" w:lineRule="auto"/>
        <w:jc w:val="both"/>
        <w:rPr>
          <w:sz w:val="24"/>
          <w:szCs w:val="24"/>
        </w:rPr>
      </w:pPr>
    </w:p>
    <w:p w:rsidR="0038777B" w:rsidRDefault="0038777B" w:rsidP="00E67EAC">
      <w:pPr>
        <w:spacing w:after="160" w:line="360" w:lineRule="auto"/>
        <w:jc w:val="both"/>
        <w:rPr>
          <w:sz w:val="24"/>
          <w:szCs w:val="24"/>
        </w:rPr>
      </w:pPr>
    </w:p>
    <w:p w:rsidR="0038777B" w:rsidRDefault="0038777B" w:rsidP="00E67EAC">
      <w:pPr>
        <w:spacing w:after="160" w:line="360" w:lineRule="auto"/>
        <w:jc w:val="both"/>
        <w:rPr>
          <w:sz w:val="24"/>
          <w:szCs w:val="24"/>
        </w:rPr>
      </w:pPr>
    </w:p>
    <w:p w:rsidR="0038777B" w:rsidRDefault="0038777B" w:rsidP="00E67EAC">
      <w:pPr>
        <w:spacing w:after="160" w:line="360" w:lineRule="auto"/>
        <w:jc w:val="both"/>
        <w:rPr>
          <w:sz w:val="24"/>
          <w:szCs w:val="24"/>
        </w:rPr>
      </w:pPr>
    </w:p>
    <w:p w:rsidR="0038777B" w:rsidRDefault="0038777B" w:rsidP="00E67EAC">
      <w:pPr>
        <w:spacing w:after="160" w:line="360" w:lineRule="auto"/>
        <w:jc w:val="both"/>
        <w:rPr>
          <w:sz w:val="24"/>
          <w:szCs w:val="24"/>
        </w:rPr>
      </w:pPr>
    </w:p>
    <w:p w:rsidR="007465D1" w:rsidRDefault="007465D1" w:rsidP="007465D1">
      <w:pPr>
        <w:spacing w:after="160" w:line="360" w:lineRule="auto"/>
        <w:jc w:val="both"/>
        <w:outlineLvl w:val="0"/>
        <w:rPr>
          <w:sz w:val="24"/>
          <w:szCs w:val="24"/>
        </w:rPr>
      </w:pPr>
    </w:p>
    <w:p w:rsidR="0038777B" w:rsidRDefault="007465D1" w:rsidP="007465D1">
      <w:pPr>
        <w:spacing w:after="160" w:line="360" w:lineRule="auto"/>
        <w:jc w:val="both"/>
        <w:outlineLvl w:val="0"/>
        <w:rPr>
          <w:b/>
          <w:sz w:val="24"/>
          <w:szCs w:val="24"/>
          <w:lang w:eastAsia="en-US"/>
        </w:rPr>
      </w:pPr>
      <w:r w:rsidRPr="007465D1">
        <w:rPr>
          <w:b/>
          <w:sz w:val="24"/>
          <w:szCs w:val="24"/>
          <w:lang w:eastAsia="en-US"/>
        </w:rPr>
        <w:lastRenderedPageBreak/>
        <w:t>1.</w:t>
      </w:r>
      <w:r>
        <w:rPr>
          <w:b/>
          <w:sz w:val="24"/>
          <w:szCs w:val="24"/>
          <w:lang w:eastAsia="en-US"/>
        </w:rPr>
        <w:t xml:space="preserve"> </w:t>
      </w:r>
      <w:r w:rsidR="00F66735">
        <w:rPr>
          <w:b/>
          <w:sz w:val="24"/>
          <w:szCs w:val="24"/>
          <w:lang w:eastAsia="en-US"/>
        </w:rPr>
        <w:t>DEBATE; VOLUNTAD DEMOCRÁTICA Y LEGALIDAD</w:t>
      </w:r>
    </w:p>
    <w:p w:rsidR="001D3DD5" w:rsidRPr="005130D6" w:rsidRDefault="001D3DD5" w:rsidP="001D3DD5">
      <w:pPr>
        <w:spacing w:after="160" w:line="360" w:lineRule="auto"/>
        <w:jc w:val="both"/>
        <w:outlineLvl w:val="0"/>
        <w:rPr>
          <w:b/>
          <w:sz w:val="24"/>
          <w:szCs w:val="24"/>
          <w:lang w:eastAsia="en-US"/>
        </w:rPr>
      </w:pPr>
    </w:p>
    <w:p w:rsidR="0038777B" w:rsidRPr="005130D6" w:rsidRDefault="00EE002F" w:rsidP="007465D1">
      <w:pPr>
        <w:spacing w:after="160" w:line="360" w:lineRule="auto"/>
        <w:ind w:firstLine="708"/>
        <w:jc w:val="both"/>
        <w:outlineLvl w:val="0"/>
        <w:rPr>
          <w:b/>
          <w:sz w:val="24"/>
          <w:szCs w:val="24"/>
          <w:lang w:eastAsia="en-US"/>
        </w:rPr>
      </w:pPr>
      <w:r w:rsidRPr="00EE002F">
        <w:rPr>
          <w:b/>
          <w:sz w:val="24"/>
          <w:szCs w:val="24"/>
          <w:lang w:eastAsia="en-US"/>
        </w:rPr>
        <w:t>1.</w:t>
      </w:r>
      <w:r>
        <w:rPr>
          <w:b/>
          <w:sz w:val="24"/>
          <w:szCs w:val="24"/>
          <w:lang w:eastAsia="en-US"/>
        </w:rPr>
        <w:t xml:space="preserve">1. </w:t>
      </w:r>
      <w:r w:rsidR="0038777B" w:rsidRPr="005130D6">
        <w:rPr>
          <w:b/>
          <w:sz w:val="24"/>
          <w:szCs w:val="24"/>
          <w:lang w:eastAsia="en-US"/>
        </w:rPr>
        <w:t>El agotamiento del Estado autonómico como antecedente</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Nuestro modelo autonómico presenta “notables insuficiencias, evidentes defectos, peligrosas ambigüedades y grandes disfunciones”</w:t>
      </w:r>
      <w:r w:rsidRPr="005130D6">
        <w:rPr>
          <w:sz w:val="24"/>
          <w:szCs w:val="24"/>
          <w:vertAlign w:val="superscript"/>
          <w:lang w:eastAsia="en-US"/>
        </w:rPr>
        <w:footnoteReference w:id="1"/>
      </w:r>
      <w:r w:rsidRPr="005130D6">
        <w:rPr>
          <w:sz w:val="24"/>
          <w:szCs w:val="24"/>
          <w:lang w:eastAsia="en-US"/>
        </w:rPr>
        <w:t xml:space="preserve">. Así, no es de extrañar que el conflicto territorial surja de manera natural e inherente al propio sistema. Para algunos </w:t>
      </w:r>
      <w:r w:rsidRPr="00E97FB3">
        <w:rPr>
          <w:sz w:val="24"/>
          <w:szCs w:val="24"/>
          <w:lang w:eastAsia="en-US"/>
        </w:rPr>
        <w:t>autores</w:t>
      </w:r>
      <w:r w:rsidR="00146A22" w:rsidRPr="00E97FB3">
        <w:rPr>
          <w:sz w:val="24"/>
          <w:szCs w:val="24"/>
          <w:lang w:eastAsia="en-US"/>
        </w:rPr>
        <w:t xml:space="preserve"> (Muñoz Machado)</w:t>
      </w:r>
      <w:r w:rsidRPr="00E97FB3">
        <w:rPr>
          <w:sz w:val="24"/>
          <w:szCs w:val="24"/>
          <w:lang w:eastAsia="en-US"/>
        </w:rPr>
        <w:t>,</w:t>
      </w:r>
      <w:r w:rsidRPr="005130D6">
        <w:rPr>
          <w:sz w:val="24"/>
          <w:szCs w:val="24"/>
          <w:lang w:eastAsia="en-US"/>
        </w:rPr>
        <w:t xml:space="preserve"> esto se ha visto acentuado por la terrible crisis económica que atraviesa el país</w:t>
      </w:r>
      <w:r w:rsidRPr="005130D6">
        <w:rPr>
          <w:sz w:val="24"/>
          <w:szCs w:val="24"/>
          <w:vertAlign w:val="superscript"/>
          <w:lang w:eastAsia="en-US"/>
        </w:rPr>
        <w:footnoteReference w:id="2"/>
      </w:r>
      <w:r w:rsidRPr="005130D6">
        <w:rPr>
          <w:sz w:val="24"/>
          <w:szCs w:val="24"/>
          <w:lang w:eastAsia="en-US"/>
        </w:rPr>
        <w:t>.</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Para entender de manera más clara esta realidad es necesario atender a la evolución del modelo territorial que impuso la Constitución Española de 1978</w:t>
      </w:r>
      <w:r w:rsidRPr="005130D6">
        <w:rPr>
          <w:sz w:val="24"/>
          <w:szCs w:val="24"/>
          <w:vertAlign w:val="superscript"/>
          <w:lang w:eastAsia="en-US"/>
        </w:rPr>
        <w:footnoteReference w:id="3"/>
      </w:r>
      <w:r w:rsidR="00146A22">
        <w:rPr>
          <w:sz w:val="24"/>
          <w:szCs w:val="24"/>
          <w:lang w:eastAsia="en-US"/>
        </w:rPr>
        <w:t xml:space="preserve"> (en adelante, “CE” o “la Constitución”)</w:t>
      </w:r>
      <w:r w:rsidRPr="00BF746A">
        <w:rPr>
          <w:sz w:val="24"/>
          <w:szCs w:val="24"/>
          <w:lang w:eastAsia="en-US"/>
        </w:rPr>
        <w:t>.</w:t>
      </w:r>
      <w:r w:rsidRPr="005130D6">
        <w:rPr>
          <w:sz w:val="24"/>
          <w:szCs w:val="24"/>
          <w:lang w:eastAsia="en-US"/>
        </w:rPr>
        <w:t xml:space="preserve"> El constante ruido de sables que envolvía la Transición y los años que la sucedieron (llegando a materializarse incluso en el golpe de Estado de 23 de febrero de 1981)</w:t>
      </w:r>
      <w:r w:rsidRPr="005130D6">
        <w:rPr>
          <w:sz w:val="24"/>
          <w:szCs w:val="24"/>
          <w:vertAlign w:val="superscript"/>
          <w:lang w:eastAsia="en-US"/>
        </w:rPr>
        <w:footnoteReference w:id="4"/>
      </w:r>
      <w:r w:rsidRPr="005130D6">
        <w:rPr>
          <w:sz w:val="24"/>
          <w:szCs w:val="24"/>
          <w:lang w:eastAsia="en-US"/>
        </w:rPr>
        <w:t xml:space="preserve">  hicieron que la elaboración de la Constitución Española de 1978 no fuera lo pausada que debiera y que no se prestara la necesaria atención a las cuestiones de fondo como lo eran la forma de gobierno o la configuración territorial del Estado; sin duda la prioridad era el establecimiento de un Estado democrático de Derecho tras más de cuarenta años de dictadura. Podemos afirmar pues que en el momento de redacción y aprobación de la Constitución de 1978 existía una verdadera ausencia de voluntad constituyente respecto de la estructura del Estado.</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De lo anterior cabe afirmar que la Constitución de 1978 perfila únicamente los rasgos generales del modelo territorial, siendo notoria la ausencia de definición del Estado Autonómico</w:t>
      </w:r>
      <w:r w:rsidRPr="005130D6">
        <w:rPr>
          <w:sz w:val="24"/>
          <w:szCs w:val="24"/>
          <w:vertAlign w:val="superscript"/>
          <w:lang w:eastAsia="en-US"/>
        </w:rPr>
        <w:footnoteReference w:id="5"/>
      </w:r>
      <w:r w:rsidRPr="005130D6">
        <w:rPr>
          <w:sz w:val="24"/>
          <w:szCs w:val="24"/>
          <w:lang w:eastAsia="en-US"/>
        </w:rPr>
        <w:t xml:space="preserve">. </w:t>
      </w:r>
    </w:p>
    <w:p w:rsidR="0038777B" w:rsidRPr="005130D6" w:rsidRDefault="0038777B" w:rsidP="00E67EAC">
      <w:pPr>
        <w:spacing w:after="160" w:line="360" w:lineRule="auto"/>
        <w:jc w:val="both"/>
        <w:rPr>
          <w:sz w:val="24"/>
          <w:szCs w:val="24"/>
          <w:lang w:eastAsia="en-US"/>
        </w:rPr>
      </w:pPr>
      <w:r w:rsidRPr="005130D6">
        <w:rPr>
          <w:sz w:val="24"/>
          <w:szCs w:val="24"/>
          <w:lang w:eastAsia="en-US"/>
        </w:rPr>
        <w:lastRenderedPageBreak/>
        <w:tab/>
        <w:t>Así las cosas, con el paso del tiempo algunas autonomías (fundamentalmente Euskadi y Catalunya) se hallaron incómodas con el encaje constitucional que habían recibido.   En el caso de la primera, se llegó al cénit mediante la Propuesta de Reforma de Estatuto Político de la Comunidad de Euskadi</w:t>
      </w:r>
      <w:r w:rsidRPr="005130D6">
        <w:rPr>
          <w:sz w:val="24"/>
          <w:szCs w:val="24"/>
          <w:vertAlign w:val="superscript"/>
          <w:lang w:eastAsia="en-US"/>
        </w:rPr>
        <w:footnoteReference w:id="6"/>
      </w:r>
      <w:r w:rsidRPr="005130D6">
        <w:rPr>
          <w:sz w:val="24"/>
          <w:szCs w:val="24"/>
          <w:lang w:eastAsia="en-US"/>
        </w:rPr>
        <w:t xml:space="preserve">, que reconocía en su preámbulo </w:t>
      </w:r>
      <w:r w:rsidRPr="00A17C8F">
        <w:rPr>
          <w:i/>
          <w:sz w:val="24"/>
          <w:szCs w:val="24"/>
          <w:lang w:eastAsia="en-US"/>
        </w:rPr>
        <w:t>“el derecho del pueblo vasco a decidir su futuro […] de conformidad con el derecho de autodeterminación de los pueblos, reconocido internacionalmente, entre otros, en el Pacto Internacional de Derechos Civiles y Políticos y en el Pacto Internacional de Derechos Económicos, Sociales y Culturales</w:t>
      </w:r>
      <w:r w:rsidRPr="005130D6">
        <w:rPr>
          <w:sz w:val="24"/>
          <w:szCs w:val="24"/>
          <w:lang w:eastAsia="en-US"/>
        </w:rPr>
        <w:t>” y la Ley del Parlamento Vasco 9/2008, de 27 de junio, de convocatoria y regulación de una consulta popular al objeto de recabar la opinión ciudadana en la Comunidad Autónoma del País Vasco sobre la apertura de un proceso de negociación para alcanzar la paz y la normalización política</w:t>
      </w:r>
      <w:r w:rsidRPr="005130D6">
        <w:rPr>
          <w:sz w:val="24"/>
          <w:szCs w:val="24"/>
          <w:vertAlign w:val="superscript"/>
          <w:lang w:eastAsia="en-US"/>
        </w:rPr>
        <w:footnoteReference w:id="7"/>
      </w:r>
      <w:r w:rsidRPr="005130D6">
        <w:rPr>
          <w:sz w:val="24"/>
          <w:szCs w:val="24"/>
          <w:lang w:eastAsia="en-US"/>
        </w:rPr>
        <w:t xml:space="preserve">. Finalmente, el Tribunal Constitucional </w:t>
      </w:r>
      <w:r w:rsidR="0002135C">
        <w:rPr>
          <w:sz w:val="24"/>
          <w:szCs w:val="24"/>
          <w:lang w:eastAsia="en-US"/>
        </w:rPr>
        <w:t xml:space="preserve">(en adelante “TC”) </w:t>
      </w:r>
      <w:r w:rsidRPr="005130D6">
        <w:rPr>
          <w:sz w:val="24"/>
          <w:szCs w:val="24"/>
          <w:lang w:eastAsia="en-US"/>
        </w:rPr>
        <w:t xml:space="preserve">en Pleno mediante la Sentencia núm. 103/2008, de 11 de septiembre, declaró la inconstitucionalidad de la mencionada Ley y desde entonces podemos decir que el nacionalismo vasco se encuentra actualmente mermado. </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La cuestión catalana reviste una especial gravedad y complejidad. El conflicto catalán se remonta a los tiempos de Felipe V y los Decretos de Nueva Planta</w:t>
      </w:r>
      <w:r w:rsidRPr="005130D6">
        <w:rPr>
          <w:sz w:val="24"/>
          <w:szCs w:val="24"/>
          <w:vertAlign w:val="superscript"/>
          <w:lang w:eastAsia="en-US"/>
        </w:rPr>
        <w:footnoteReference w:id="8"/>
      </w:r>
      <w:r w:rsidRPr="005130D6">
        <w:rPr>
          <w:sz w:val="24"/>
          <w:szCs w:val="24"/>
          <w:lang w:eastAsia="en-US"/>
        </w:rPr>
        <w:t>, pero es en 2010 cuando comienza a recrudecerse de manera inexorable. Cobra una importancia vital la Sentencia del Tribunal Constitucional 31/2010</w:t>
      </w:r>
      <w:r w:rsidRPr="005130D6">
        <w:rPr>
          <w:sz w:val="24"/>
          <w:szCs w:val="24"/>
          <w:vertAlign w:val="superscript"/>
          <w:lang w:eastAsia="en-US"/>
        </w:rPr>
        <w:footnoteReference w:id="9"/>
      </w:r>
      <w:r w:rsidRPr="005130D6">
        <w:rPr>
          <w:sz w:val="24"/>
          <w:szCs w:val="24"/>
          <w:lang w:eastAsia="en-US"/>
        </w:rPr>
        <w:t xml:space="preserve">, que anuló varios puntos del Estatuto de Autonomía de Catalunya de 2006, </w:t>
      </w:r>
      <w:r w:rsidRPr="00A17C8F">
        <w:rPr>
          <w:i/>
          <w:sz w:val="24"/>
          <w:szCs w:val="24"/>
          <w:lang w:eastAsia="en-US"/>
        </w:rPr>
        <w:t>“traspasando una línea roja y rompiendo el equilibrio de poderes entre el Estado español y Catalunya, ampliamente aprobado por el Parlament, el Congreso, el Senado y el pueblo de Catalunya en referéndum”</w:t>
      </w:r>
      <w:r w:rsidRPr="005130D6">
        <w:rPr>
          <w:sz w:val="24"/>
          <w:szCs w:val="24"/>
          <w:vertAlign w:val="superscript"/>
          <w:lang w:eastAsia="en-US"/>
        </w:rPr>
        <w:footnoteReference w:id="10"/>
      </w:r>
      <w:r w:rsidRPr="005130D6">
        <w:rPr>
          <w:sz w:val="24"/>
          <w:szCs w:val="24"/>
          <w:lang w:eastAsia="en-US"/>
        </w:rPr>
        <w:t xml:space="preserve">. </w:t>
      </w:r>
      <w:r w:rsidRPr="00342F2D">
        <w:rPr>
          <w:sz w:val="24"/>
          <w:szCs w:val="24"/>
          <w:lang w:eastAsia="en-US"/>
        </w:rPr>
        <w:t xml:space="preserve">A </w:t>
      </w:r>
      <w:r w:rsidRPr="00342F2D">
        <w:rPr>
          <w:sz w:val="24"/>
          <w:szCs w:val="24"/>
          <w:lang w:eastAsia="en-US"/>
        </w:rPr>
        <w:lastRenderedPageBreak/>
        <w:t>ello añade</w:t>
      </w:r>
      <w:r w:rsidRPr="005130D6">
        <w:rPr>
          <w:sz w:val="24"/>
          <w:szCs w:val="24"/>
          <w:lang w:eastAsia="en-US"/>
        </w:rPr>
        <w:t xml:space="preserve"> Fernando Rey Martínez la solicitud de Catalunya de asimilar su régimen económico al de Navarra y País Vasco</w:t>
      </w:r>
      <w:r w:rsidRPr="005130D6">
        <w:rPr>
          <w:sz w:val="24"/>
          <w:szCs w:val="24"/>
          <w:vertAlign w:val="superscript"/>
          <w:lang w:eastAsia="en-US"/>
        </w:rPr>
        <w:footnoteReference w:id="11"/>
      </w:r>
      <w:r w:rsidRPr="005130D6">
        <w:rPr>
          <w:sz w:val="24"/>
          <w:szCs w:val="24"/>
          <w:lang w:eastAsia="en-US"/>
        </w:rPr>
        <w:t>.</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Esta desafección al Estado de las Autonomías se produce en una doble vertiente; institucional y social</w:t>
      </w:r>
      <w:r w:rsidRPr="005130D6">
        <w:rPr>
          <w:sz w:val="24"/>
          <w:szCs w:val="24"/>
          <w:vertAlign w:val="superscript"/>
          <w:lang w:eastAsia="en-US"/>
        </w:rPr>
        <w:footnoteReference w:id="12"/>
      </w:r>
      <w:r w:rsidRPr="005130D6">
        <w:rPr>
          <w:sz w:val="24"/>
          <w:szCs w:val="24"/>
          <w:lang w:eastAsia="en-US"/>
        </w:rPr>
        <w:t>.</w:t>
      </w:r>
    </w:p>
    <w:p w:rsidR="0038777B" w:rsidRPr="005130D6" w:rsidRDefault="0038777B" w:rsidP="00E67EAC">
      <w:pPr>
        <w:spacing w:after="160" w:line="360" w:lineRule="auto"/>
        <w:jc w:val="both"/>
        <w:rPr>
          <w:sz w:val="24"/>
          <w:szCs w:val="24"/>
          <w:lang w:eastAsia="en-US"/>
        </w:rPr>
      </w:pPr>
    </w:p>
    <w:p w:rsidR="0038777B" w:rsidRPr="005130D6" w:rsidRDefault="0038777B" w:rsidP="007465D1">
      <w:pPr>
        <w:spacing w:after="160" w:line="360" w:lineRule="auto"/>
        <w:ind w:firstLine="708"/>
        <w:jc w:val="both"/>
        <w:outlineLvl w:val="0"/>
        <w:rPr>
          <w:b/>
          <w:sz w:val="24"/>
          <w:szCs w:val="24"/>
          <w:lang w:eastAsia="en-US"/>
        </w:rPr>
      </w:pPr>
      <w:r w:rsidRPr="005130D6">
        <w:rPr>
          <w:b/>
          <w:sz w:val="24"/>
          <w:szCs w:val="24"/>
          <w:lang w:eastAsia="en-US"/>
        </w:rPr>
        <w:t>1.2. Voluntad democrática y legalidad: ¿Qué debe primar?</w:t>
      </w:r>
    </w:p>
    <w:p w:rsidR="0038777B" w:rsidRPr="005130D6" w:rsidRDefault="0038777B" w:rsidP="00E67EAC">
      <w:pPr>
        <w:spacing w:after="160" w:line="360" w:lineRule="auto"/>
        <w:jc w:val="both"/>
        <w:rPr>
          <w:sz w:val="24"/>
          <w:szCs w:val="24"/>
          <w:lang w:eastAsia="en-US"/>
        </w:rPr>
      </w:pPr>
      <w:r w:rsidRPr="005130D6">
        <w:rPr>
          <w:sz w:val="24"/>
          <w:szCs w:val="24"/>
          <w:lang w:eastAsia="en-US"/>
        </w:rPr>
        <w:t xml:space="preserve"> </w:t>
      </w:r>
      <w:r w:rsidRPr="005130D6">
        <w:rPr>
          <w:sz w:val="24"/>
          <w:szCs w:val="24"/>
          <w:lang w:eastAsia="en-US"/>
        </w:rPr>
        <w:tab/>
      </w:r>
      <w:r>
        <w:rPr>
          <w:sz w:val="24"/>
          <w:szCs w:val="24"/>
          <w:lang w:eastAsia="en-US"/>
        </w:rPr>
        <w:t>Considerando</w:t>
      </w:r>
      <w:r w:rsidRPr="005130D6">
        <w:rPr>
          <w:sz w:val="24"/>
          <w:szCs w:val="24"/>
          <w:lang w:eastAsia="en-US"/>
        </w:rPr>
        <w:t xml:space="preserve"> que </w:t>
      </w:r>
      <w:r w:rsidR="007A5F60">
        <w:rPr>
          <w:sz w:val="24"/>
          <w:szCs w:val="24"/>
          <w:lang w:eastAsia="en-US"/>
        </w:rPr>
        <w:t xml:space="preserve">pueda existir </w:t>
      </w:r>
      <w:r w:rsidRPr="005130D6">
        <w:rPr>
          <w:sz w:val="24"/>
          <w:szCs w:val="24"/>
          <w:lang w:eastAsia="en-US"/>
        </w:rPr>
        <w:t xml:space="preserve"> una inclinación mayoritaria del pue</w:t>
      </w:r>
      <w:r>
        <w:rPr>
          <w:sz w:val="24"/>
          <w:szCs w:val="24"/>
          <w:lang w:eastAsia="en-US"/>
        </w:rPr>
        <w:t>blo catalán a decidir su futuro</w:t>
      </w:r>
      <w:r w:rsidRPr="005130D6">
        <w:rPr>
          <w:sz w:val="24"/>
          <w:szCs w:val="24"/>
          <w:lang w:eastAsia="en-US"/>
        </w:rPr>
        <w:t xml:space="preserve"> persiste el conflicto con la legalidad vigente, que hace imposible incluso la realización de un referéndum sobre esta materia sin la previa delegación de competencias que establece el artículo 150.2 de la Constitución. Ante este evidente choque debemos dilucidar qué prima; la voluntad democrática del pueblo de una comunidad o la legalidad vigente que rige para el conjunto de la nación.</w:t>
      </w:r>
    </w:p>
    <w:p w:rsidR="0038777B" w:rsidRPr="005130D6" w:rsidRDefault="0038777B" w:rsidP="00E67EAC">
      <w:pPr>
        <w:spacing w:after="160" w:line="360" w:lineRule="auto"/>
        <w:jc w:val="both"/>
        <w:rPr>
          <w:sz w:val="24"/>
          <w:szCs w:val="24"/>
          <w:lang w:eastAsia="en-US"/>
        </w:rPr>
      </w:pPr>
    </w:p>
    <w:p w:rsidR="0038777B" w:rsidRPr="001D3DD5" w:rsidRDefault="0038777B" w:rsidP="00E67EAC">
      <w:pPr>
        <w:spacing w:after="160" w:line="360" w:lineRule="auto"/>
        <w:jc w:val="both"/>
        <w:rPr>
          <w:sz w:val="24"/>
          <w:szCs w:val="24"/>
          <w:u w:val="single"/>
          <w:lang w:eastAsia="en-US"/>
        </w:rPr>
      </w:pPr>
      <w:r w:rsidRPr="005130D6">
        <w:rPr>
          <w:sz w:val="24"/>
          <w:szCs w:val="24"/>
          <w:lang w:eastAsia="en-US"/>
        </w:rPr>
        <w:tab/>
      </w:r>
      <w:r w:rsidR="00ED3125" w:rsidRPr="001D3DD5">
        <w:rPr>
          <w:sz w:val="24"/>
          <w:szCs w:val="24"/>
          <w:u w:val="single"/>
          <w:lang w:eastAsia="en-US"/>
        </w:rPr>
        <w:t>1.2</w:t>
      </w:r>
      <w:r w:rsidRPr="001D3DD5">
        <w:rPr>
          <w:sz w:val="24"/>
          <w:szCs w:val="24"/>
          <w:u w:val="single"/>
          <w:lang w:eastAsia="en-US"/>
        </w:rPr>
        <w:t>.1. El principio democrático</w:t>
      </w:r>
    </w:p>
    <w:p w:rsidR="0038777B" w:rsidRPr="00E97FB3" w:rsidRDefault="0038777B" w:rsidP="00E67EAC">
      <w:pPr>
        <w:spacing w:after="160" w:line="360" w:lineRule="auto"/>
        <w:jc w:val="both"/>
        <w:rPr>
          <w:color w:val="FF0000"/>
          <w:sz w:val="24"/>
          <w:szCs w:val="24"/>
          <w:lang w:eastAsia="en-US"/>
        </w:rPr>
      </w:pPr>
      <w:r w:rsidRPr="005130D6">
        <w:rPr>
          <w:b/>
          <w:sz w:val="24"/>
          <w:szCs w:val="24"/>
          <w:lang w:eastAsia="en-US"/>
        </w:rPr>
        <w:tab/>
      </w:r>
      <w:r w:rsidRPr="005130D6">
        <w:rPr>
          <w:sz w:val="24"/>
          <w:szCs w:val="24"/>
          <w:lang w:eastAsia="en-US"/>
        </w:rPr>
        <w:t>La democracia en un Estado puede adoptar diversas formas. La Declaración Universal de Derechos Humanos reconoce en su artículo 23.1</w:t>
      </w:r>
      <w:r w:rsidRPr="005130D6">
        <w:rPr>
          <w:sz w:val="24"/>
          <w:szCs w:val="24"/>
          <w:vertAlign w:val="superscript"/>
          <w:lang w:eastAsia="en-US"/>
        </w:rPr>
        <w:footnoteReference w:id="13"/>
      </w:r>
      <w:r w:rsidRPr="005130D6">
        <w:rPr>
          <w:sz w:val="24"/>
          <w:szCs w:val="24"/>
          <w:lang w:eastAsia="en-US"/>
        </w:rPr>
        <w:t xml:space="preserve"> la voluntad del pueblo como base de la autoridad del poder público. Queda patente pues la vital importancia de esta voluntad, sin la que la democracia carece de legitimidad, y por tanto de contenido, </w:t>
      </w:r>
      <w:r w:rsidRPr="00E97FB3">
        <w:rPr>
          <w:sz w:val="24"/>
          <w:szCs w:val="24"/>
          <w:lang w:eastAsia="en-US"/>
        </w:rPr>
        <w:t xml:space="preserve">desvirtuándose así su razón de ser. </w:t>
      </w:r>
    </w:p>
    <w:p w:rsidR="00146A22" w:rsidRPr="00E97FB3" w:rsidRDefault="00146A22" w:rsidP="00146A22">
      <w:pPr>
        <w:spacing w:after="160" w:line="360" w:lineRule="auto"/>
        <w:ind w:firstLine="708"/>
        <w:jc w:val="both"/>
        <w:rPr>
          <w:sz w:val="24"/>
          <w:szCs w:val="24"/>
          <w:lang w:eastAsia="en-US"/>
        </w:rPr>
      </w:pPr>
      <w:r w:rsidRPr="00E97FB3">
        <w:rPr>
          <w:sz w:val="24"/>
          <w:szCs w:val="24"/>
          <w:lang w:eastAsia="en-US"/>
        </w:rPr>
        <w:t>Centrándonos en España, cabe aludir al art. 1.2 CE que declara al pueblo español en su conjunto como sujeto de la soberanía nacional. Así, no es posible conciliar la voluntad unilateral de secesión de una Comunidad Autónoma con el texto constitucional, pues este excluye de legitimidad la voluntad democrática de una parte de la nación con el fin de garantizar la primacía absoluta de la soberanía nacional, entendida como la soberanía del conjunto de los españoles.</w:t>
      </w:r>
    </w:p>
    <w:p w:rsidR="00146A22" w:rsidRPr="00146A22" w:rsidRDefault="00146A22" w:rsidP="00146A22">
      <w:pPr>
        <w:spacing w:after="160" w:line="360" w:lineRule="auto"/>
        <w:jc w:val="both"/>
        <w:rPr>
          <w:sz w:val="24"/>
          <w:szCs w:val="24"/>
          <w:lang w:eastAsia="en-US"/>
        </w:rPr>
      </w:pPr>
      <w:r w:rsidRPr="00E97FB3">
        <w:rPr>
          <w:sz w:val="24"/>
          <w:szCs w:val="24"/>
          <w:lang w:eastAsia="en-US"/>
        </w:rPr>
        <w:lastRenderedPageBreak/>
        <w:tab/>
        <w:t>Partiendo de esta base y del art. 2 CE que declara “la indisoluble unidad de la nación española”, es posible afirmar que la única forma de respetar el principio democrático es aceptando la legitimidad de la Constitución y, consecuentemente, respetando los procedimientos de modificación que la misma contiene.</w:t>
      </w:r>
      <w:r w:rsidRPr="00146A22">
        <w:rPr>
          <w:sz w:val="24"/>
          <w:szCs w:val="24"/>
          <w:lang w:eastAsia="en-US"/>
        </w:rPr>
        <w:t xml:space="preserve">  </w:t>
      </w:r>
    </w:p>
    <w:p w:rsidR="00146A22" w:rsidRPr="005130D6" w:rsidRDefault="00146A22" w:rsidP="00E67EAC">
      <w:pPr>
        <w:spacing w:after="160" w:line="360" w:lineRule="auto"/>
        <w:jc w:val="both"/>
        <w:rPr>
          <w:sz w:val="24"/>
          <w:szCs w:val="24"/>
          <w:lang w:eastAsia="en-US"/>
        </w:rPr>
      </w:pPr>
    </w:p>
    <w:p w:rsidR="0038777B" w:rsidRPr="001D3DD5" w:rsidRDefault="0038777B" w:rsidP="00E67EAC">
      <w:pPr>
        <w:spacing w:after="160" w:line="360" w:lineRule="auto"/>
        <w:jc w:val="both"/>
        <w:rPr>
          <w:sz w:val="24"/>
          <w:szCs w:val="24"/>
          <w:u w:val="single"/>
          <w:lang w:eastAsia="en-US"/>
        </w:rPr>
      </w:pPr>
      <w:r w:rsidRPr="005130D6">
        <w:rPr>
          <w:b/>
          <w:sz w:val="24"/>
          <w:szCs w:val="24"/>
          <w:lang w:eastAsia="en-US"/>
        </w:rPr>
        <w:tab/>
      </w:r>
      <w:r w:rsidR="00EE002F" w:rsidRPr="001D3DD5">
        <w:rPr>
          <w:sz w:val="24"/>
          <w:szCs w:val="24"/>
          <w:u w:val="single"/>
          <w:lang w:eastAsia="en-US"/>
        </w:rPr>
        <w:t>1</w:t>
      </w:r>
      <w:r w:rsidR="00ED3125" w:rsidRPr="001D3DD5">
        <w:rPr>
          <w:sz w:val="24"/>
          <w:szCs w:val="24"/>
          <w:u w:val="single"/>
          <w:lang w:eastAsia="en-US"/>
        </w:rPr>
        <w:t>.2</w:t>
      </w:r>
      <w:r w:rsidRPr="001D3DD5">
        <w:rPr>
          <w:sz w:val="24"/>
          <w:szCs w:val="24"/>
          <w:u w:val="single"/>
          <w:lang w:eastAsia="en-US"/>
        </w:rPr>
        <w:t>.2. La autodeterminación como derecho</w:t>
      </w:r>
    </w:p>
    <w:p w:rsidR="00146A22" w:rsidRDefault="0038777B" w:rsidP="00E67EAC">
      <w:pPr>
        <w:spacing w:after="160" w:line="360" w:lineRule="auto"/>
        <w:jc w:val="both"/>
        <w:rPr>
          <w:sz w:val="24"/>
          <w:szCs w:val="24"/>
          <w:lang w:eastAsia="en-US"/>
        </w:rPr>
      </w:pPr>
      <w:r w:rsidRPr="005130D6">
        <w:rPr>
          <w:sz w:val="24"/>
          <w:szCs w:val="24"/>
          <w:lang w:eastAsia="en-US"/>
        </w:rPr>
        <w:tab/>
        <w:t xml:space="preserve">Analizar si existe o no un derecho global de autodeterminación es una tarea que excede completamente las pretensiones y objetivos de este trabajo, por lo que </w:t>
      </w:r>
      <w:r w:rsidR="007A5F60">
        <w:rPr>
          <w:sz w:val="24"/>
          <w:szCs w:val="24"/>
          <w:lang w:eastAsia="en-US"/>
        </w:rPr>
        <w:t>a modo resumido</w:t>
      </w:r>
      <w:r w:rsidRPr="005130D6">
        <w:rPr>
          <w:sz w:val="24"/>
          <w:szCs w:val="24"/>
          <w:lang w:eastAsia="en-US"/>
        </w:rPr>
        <w:t xml:space="preserve"> podemos mencionar que el Tribunal de la Haya exige para un proceso de autodeterminación tres requisitos</w:t>
      </w:r>
      <w:r w:rsidRPr="005130D6">
        <w:rPr>
          <w:sz w:val="24"/>
          <w:szCs w:val="24"/>
          <w:vertAlign w:val="superscript"/>
          <w:lang w:eastAsia="en-US"/>
        </w:rPr>
        <w:footnoteReference w:id="14"/>
      </w:r>
      <w:r w:rsidRPr="005130D6">
        <w:rPr>
          <w:sz w:val="24"/>
          <w:szCs w:val="24"/>
          <w:lang w:eastAsia="en-US"/>
        </w:rPr>
        <w:t xml:space="preserve">; ausencia de violencia, que se trate de un proceso </w:t>
      </w:r>
      <w:r w:rsidRPr="00E97FB3">
        <w:rPr>
          <w:sz w:val="24"/>
          <w:szCs w:val="24"/>
          <w:lang w:eastAsia="en-US"/>
        </w:rPr>
        <w:t>democrático y que la región en cuestión intente llegar a acuerdos con el Estado matriz.</w:t>
      </w:r>
      <w:r w:rsidR="00146A22" w:rsidRPr="00E97FB3">
        <w:rPr>
          <w:sz w:val="24"/>
          <w:szCs w:val="24"/>
          <w:lang w:eastAsia="en-US"/>
        </w:rPr>
        <w:t xml:space="preserve"> No obstante, recuerda Arbòs Marín que esta concepción no es aplicable a Catalunya, puesto que su pueblo no está colonizado, ni sus individuos perseguidos por el hecho de pertenecer a ella</w:t>
      </w:r>
      <w:r w:rsidR="00146A22" w:rsidRPr="00E97FB3">
        <w:rPr>
          <w:rStyle w:val="Refdenotaalpie"/>
          <w:sz w:val="24"/>
          <w:szCs w:val="24"/>
          <w:lang w:eastAsia="en-US"/>
        </w:rPr>
        <w:footnoteReference w:id="15"/>
      </w:r>
      <w:r w:rsidR="00146A22" w:rsidRPr="00E97FB3">
        <w:rPr>
          <w:sz w:val="24"/>
          <w:szCs w:val="24"/>
          <w:lang w:eastAsia="en-US"/>
        </w:rPr>
        <w:t>.</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r>
      <w:r w:rsidR="00146A22">
        <w:rPr>
          <w:sz w:val="24"/>
          <w:szCs w:val="24"/>
          <w:lang w:eastAsia="en-US"/>
        </w:rPr>
        <w:t>En España</w:t>
      </w:r>
      <w:r w:rsidRPr="005130D6">
        <w:rPr>
          <w:sz w:val="24"/>
          <w:szCs w:val="24"/>
          <w:lang w:eastAsia="en-US"/>
        </w:rPr>
        <w:t>, la Constitución de 1978 permite la modificación de todos sus preceptos (ya sea mediante el procedimiento ordinario del artículo 167, o mediante el procedimiento agravado del 168). Para modificar el Título Preliminar sería necesario acudir al procedimiento agravado (mayoría de dos tercios de Congreso y Senado, disolución de las Cortes, ratificación de la decisión, aprobación del nuevo texto constitucional por mayoría de dos tercios y sometimiento a referéndum), lo que para algunos autores imposibilita en la práctica el triunfo de una voluntad secesionista</w:t>
      </w:r>
      <w:r w:rsidRPr="005130D6">
        <w:rPr>
          <w:sz w:val="24"/>
          <w:szCs w:val="24"/>
          <w:vertAlign w:val="superscript"/>
          <w:lang w:eastAsia="en-US"/>
        </w:rPr>
        <w:footnoteReference w:id="16"/>
      </w:r>
      <w:r w:rsidRPr="005130D6">
        <w:rPr>
          <w:sz w:val="24"/>
          <w:szCs w:val="24"/>
          <w:lang w:eastAsia="en-US"/>
        </w:rPr>
        <w:t>.</w:t>
      </w:r>
    </w:p>
    <w:p w:rsidR="0038777B" w:rsidRPr="005130D6" w:rsidRDefault="004B3A07" w:rsidP="00E67EAC">
      <w:pPr>
        <w:spacing w:after="160" w:line="360" w:lineRule="auto"/>
        <w:jc w:val="both"/>
        <w:rPr>
          <w:sz w:val="24"/>
          <w:szCs w:val="24"/>
          <w:lang w:eastAsia="en-US"/>
        </w:rPr>
      </w:pPr>
      <w:r>
        <w:rPr>
          <w:sz w:val="24"/>
          <w:szCs w:val="24"/>
          <w:lang w:eastAsia="en-US"/>
        </w:rPr>
        <w:tab/>
      </w:r>
      <w:r w:rsidR="0038777B" w:rsidRPr="005130D6">
        <w:rPr>
          <w:sz w:val="24"/>
          <w:szCs w:val="24"/>
          <w:lang w:eastAsia="en-US"/>
        </w:rPr>
        <w:t>Hab</w:t>
      </w:r>
      <w:r w:rsidR="00146A22">
        <w:rPr>
          <w:sz w:val="24"/>
          <w:szCs w:val="24"/>
          <w:lang w:eastAsia="en-US"/>
        </w:rPr>
        <w:t>ida cuenta de que este derecho a</w:t>
      </w:r>
      <w:r w:rsidR="0038777B" w:rsidRPr="005130D6">
        <w:rPr>
          <w:sz w:val="24"/>
          <w:szCs w:val="24"/>
          <w:lang w:eastAsia="en-US"/>
        </w:rPr>
        <w:t xml:space="preserve"> día de hoy no se reconoce por el constituyente español, se produce el choque entre la voluntad de autodeterminación del pueblo catalán y la alegalidad en la que se mueve este derecho en el ordenamiento jurídico español.</w:t>
      </w:r>
    </w:p>
    <w:p w:rsidR="0038777B" w:rsidRPr="005130D6" w:rsidRDefault="0038777B" w:rsidP="00E67EAC">
      <w:pPr>
        <w:spacing w:after="160" w:line="360" w:lineRule="auto"/>
        <w:jc w:val="both"/>
        <w:rPr>
          <w:sz w:val="24"/>
          <w:szCs w:val="24"/>
          <w:lang w:eastAsia="en-US"/>
        </w:rPr>
      </w:pPr>
    </w:p>
    <w:p w:rsidR="0038777B" w:rsidRPr="001D3DD5" w:rsidRDefault="00EE002F" w:rsidP="00E67EAC">
      <w:pPr>
        <w:spacing w:after="160" w:line="360" w:lineRule="auto"/>
        <w:jc w:val="both"/>
        <w:rPr>
          <w:sz w:val="24"/>
          <w:szCs w:val="24"/>
          <w:u w:val="single"/>
          <w:lang w:eastAsia="en-US"/>
        </w:rPr>
      </w:pPr>
      <w:r w:rsidRPr="001D3DD5">
        <w:rPr>
          <w:sz w:val="24"/>
          <w:szCs w:val="24"/>
          <w:lang w:eastAsia="en-US"/>
        </w:rPr>
        <w:tab/>
      </w:r>
      <w:r w:rsidRPr="001D3DD5">
        <w:rPr>
          <w:sz w:val="24"/>
          <w:szCs w:val="24"/>
          <w:u w:val="single"/>
          <w:lang w:eastAsia="en-US"/>
        </w:rPr>
        <w:t>1</w:t>
      </w:r>
      <w:r w:rsidR="00681AC9">
        <w:rPr>
          <w:sz w:val="24"/>
          <w:szCs w:val="24"/>
          <w:u w:val="single"/>
          <w:lang w:eastAsia="en-US"/>
        </w:rPr>
        <w:t>.2</w:t>
      </w:r>
      <w:r w:rsidR="0038777B" w:rsidRPr="001D3DD5">
        <w:rPr>
          <w:sz w:val="24"/>
          <w:szCs w:val="24"/>
          <w:u w:val="single"/>
          <w:lang w:eastAsia="en-US"/>
        </w:rPr>
        <w:t>.3. El c</w:t>
      </w:r>
      <w:r w:rsidR="00ED3125" w:rsidRPr="001D3DD5">
        <w:rPr>
          <w:sz w:val="24"/>
          <w:szCs w:val="24"/>
          <w:u w:val="single"/>
          <w:lang w:eastAsia="en-US"/>
        </w:rPr>
        <w:t>onflicto y su (posible) solución</w:t>
      </w:r>
    </w:p>
    <w:p w:rsidR="0038777B" w:rsidRPr="004B3A07" w:rsidRDefault="0038777B" w:rsidP="00E67EAC">
      <w:pPr>
        <w:spacing w:after="160" w:line="360" w:lineRule="auto"/>
        <w:jc w:val="both"/>
        <w:rPr>
          <w:sz w:val="24"/>
          <w:szCs w:val="24"/>
          <w:lang w:eastAsia="en-US"/>
        </w:rPr>
      </w:pPr>
      <w:r w:rsidRPr="004B3A07">
        <w:rPr>
          <w:sz w:val="24"/>
          <w:szCs w:val="24"/>
          <w:lang w:eastAsia="en-US"/>
        </w:rPr>
        <w:tab/>
        <w:t xml:space="preserve">En un Estado democrático de Derecho la primacía de la Ley no se pone en duda. Esta Ley la produce el pueblo soberano a través de sus representantes, que deben respetar los límites competenciales impuestos por la Constitución de 1978 en sus </w:t>
      </w:r>
      <w:r w:rsidR="00BD493D" w:rsidRPr="004B3A07">
        <w:rPr>
          <w:sz w:val="24"/>
          <w:szCs w:val="24"/>
          <w:lang w:eastAsia="en-US"/>
        </w:rPr>
        <w:t>arts.</w:t>
      </w:r>
      <w:r w:rsidRPr="004B3A07">
        <w:rPr>
          <w:sz w:val="24"/>
          <w:szCs w:val="24"/>
          <w:lang w:eastAsia="en-US"/>
        </w:rPr>
        <w:t xml:space="preserve"> 148 y 149. Está claro pues que el proceso catalán debe respetar estos cauces no solo para dotarse de legalidad, sino para dotarse de legitimidad.</w:t>
      </w:r>
      <w:r w:rsidR="0002135C" w:rsidRPr="004B3A07">
        <w:rPr>
          <w:sz w:val="24"/>
          <w:szCs w:val="24"/>
          <w:lang w:eastAsia="en-US"/>
        </w:rPr>
        <w:t xml:space="preserve"> No es por tanto posible un panorama hipotético en el que la independencia se declare de forma unilateral en base a la realización de un referéndum vinculante, puesto que como expondremos a continuación este no es posible. </w:t>
      </w:r>
      <w:r w:rsidRPr="004B3A07">
        <w:rPr>
          <w:sz w:val="24"/>
          <w:szCs w:val="24"/>
          <w:lang w:eastAsia="en-US"/>
        </w:rPr>
        <w:t>La doctrina es unánime al respecto: en ningún caso es aconsejable la declaración unilateral de independencia</w:t>
      </w:r>
      <w:r w:rsidRPr="004B3A07">
        <w:rPr>
          <w:sz w:val="24"/>
          <w:szCs w:val="24"/>
          <w:vertAlign w:val="superscript"/>
          <w:lang w:eastAsia="en-US"/>
        </w:rPr>
        <w:footnoteReference w:id="17"/>
      </w:r>
      <w:r w:rsidRPr="004B3A07">
        <w:rPr>
          <w:sz w:val="24"/>
          <w:szCs w:val="24"/>
          <w:lang w:eastAsia="en-US"/>
        </w:rPr>
        <w:t>. Pero es igualmente desaconsejable el inmovilismo del constituyente, que únicamente agrava la situación. Es por tanto necesario el entendimiento para que se aporte una solución válida a este conflicto largamente dilatado en el tiempo.</w:t>
      </w:r>
    </w:p>
    <w:p w:rsidR="008746F6" w:rsidRPr="00E97FB3" w:rsidRDefault="0038777B" w:rsidP="008746F6">
      <w:pPr>
        <w:spacing w:after="160" w:line="360" w:lineRule="auto"/>
        <w:jc w:val="both"/>
        <w:rPr>
          <w:b/>
          <w:sz w:val="24"/>
          <w:szCs w:val="24"/>
          <w:lang w:eastAsia="en-US"/>
        </w:rPr>
      </w:pPr>
      <w:r w:rsidRPr="00E97FB3">
        <w:rPr>
          <w:sz w:val="24"/>
          <w:szCs w:val="24"/>
          <w:lang w:eastAsia="en-US"/>
        </w:rPr>
        <w:tab/>
      </w:r>
      <w:r w:rsidR="00E95B7F" w:rsidRPr="00E97FB3">
        <w:rPr>
          <w:sz w:val="24"/>
          <w:szCs w:val="24"/>
          <w:lang w:eastAsia="en-US"/>
        </w:rPr>
        <w:t>La delegación de competencias para la realización por parte del gobierno autonómico de Catalunya de un referéndum sobre la materia es una posibilidad y como tal puede plantearse, derivando si así se decide  democráticamente en una reforma de la Constitución que afecte al Título Preliminar y más concretamente a la composición del Estado, solo así podrán aunarse los intereses del pueblo de Catalunya y el ordenamiento jurídico español</w:t>
      </w:r>
      <w:r w:rsidRPr="00E97FB3">
        <w:rPr>
          <w:sz w:val="24"/>
          <w:szCs w:val="24"/>
          <w:lang w:eastAsia="en-US"/>
        </w:rPr>
        <w:t>.</w:t>
      </w:r>
      <w:r w:rsidR="00E95B7F" w:rsidRPr="00E97FB3">
        <w:rPr>
          <w:color w:val="FF0000"/>
          <w:sz w:val="24"/>
          <w:szCs w:val="24"/>
          <w:lang w:eastAsia="en-US"/>
        </w:rPr>
        <w:t xml:space="preserve"> </w:t>
      </w:r>
      <w:r w:rsidR="00E95B7F" w:rsidRPr="00E97FB3">
        <w:rPr>
          <w:sz w:val="24"/>
          <w:szCs w:val="24"/>
          <w:lang w:eastAsia="en-US"/>
        </w:rPr>
        <w:t>No obstante, a esta idea es contraria la doctrina mayoritaria (Tornos Mas, Arbòs Marín, etc), al entender que la Constitución permite un referéndum consultivo sobre la independencia de Catalunya, pero en ningún caso vinculante</w:t>
      </w:r>
      <w:r w:rsidR="00E95B7F" w:rsidRPr="00E97FB3">
        <w:rPr>
          <w:rStyle w:val="Refdenotaalpie"/>
          <w:sz w:val="24"/>
          <w:szCs w:val="24"/>
          <w:lang w:eastAsia="en-US"/>
        </w:rPr>
        <w:footnoteReference w:id="18"/>
      </w:r>
      <w:r w:rsidR="00E95B7F" w:rsidRPr="00E97FB3">
        <w:rPr>
          <w:sz w:val="24"/>
          <w:szCs w:val="24"/>
          <w:lang w:eastAsia="en-US"/>
        </w:rPr>
        <w:t>. Partiendo de esta idea, podemos concluir que si bien es cierto que no es posible de acuerdo al ordenamiento constitucional española actual establecer un referéndum vinculante sobre la independencia de Catalunya, un resultado favorable a esta opción en un referéndum consultivo podría iniciar el mencionado proceso de reforma constitucional.</w:t>
      </w:r>
    </w:p>
    <w:p w:rsidR="0038777B" w:rsidRDefault="0038777B" w:rsidP="008746F6">
      <w:pPr>
        <w:spacing w:after="160" w:line="360" w:lineRule="auto"/>
        <w:jc w:val="both"/>
        <w:rPr>
          <w:b/>
          <w:sz w:val="24"/>
          <w:szCs w:val="24"/>
          <w:lang w:eastAsia="en-US"/>
        </w:rPr>
      </w:pPr>
      <w:r w:rsidRPr="00E97FB3">
        <w:rPr>
          <w:b/>
          <w:sz w:val="24"/>
          <w:szCs w:val="24"/>
          <w:lang w:eastAsia="en-US"/>
        </w:rPr>
        <w:lastRenderedPageBreak/>
        <w:t>2. QUIEBRA A LA TEORÍA DEL PODER CONSTITUYENTE</w:t>
      </w:r>
    </w:p>
    <w:p w:rsidR="001D3DD5" w:rsidRPr="00E97FB3" w:rsidRDefault="001D3DD5" w:rsidP="008746F6">
      <w:pPr>
        <w:spacing w:after="160" w:line="360" w:lineRule="auto"/>
        <w:jc w:val="both"/>
        <w:rPr>
          <w:b/>
          <w:sz w:val="24"/>
          <w:szCs w:val="24"/>
          <w:lang w:eastAsia="en-US"/>
        </w:rPr>
      </w:pPr>
    </w:p>
    <w:p w:rsidR="0038777B" w:rsidRPr="00E97FB3" w:rsidRDefault="0038777B" w:rsidP="007465D1">
      <w:pPr>
        <w:spacing w:after="160" w:line="360" w:lineRule="auto"/>
        <w:ind w:firstLine="708"/>
        <w:jc w:val="both"/>
        <w:outlineLvl w:val="0"/>
        <w:rPr>
          <w:b/>
          <w:sz w:val="24"/>
          <w:szCs w:val="24"/>
          <w:lang w:eastAsia="en-US"/>
        </w:rPr>
      </w:pPr>
      <w:r w:rsidRPr="00E97FB3">
        <w:rPr>
          <w:b/>
          <w:sz w:val="24"/>
          <w:szCs w:val="24"/>
          <w:lang w:eastAsia="en-US"/>
        </w:rPr>
        <w:t>2.1. El poder constituyente</w:t>
      </w:r>
    </w:p>
    <w:p w:rsidR="0038777B" w:rsidRPr="00E97FB3" w:rsidRDefault="0038777B" w:rsidP="00E67EAC">
      <w:pPr>
        <w:spacing w:after="160" w:line="360" w:lineRule="auto"/>
        <w:jc w:val="both"/>
        <w:rPr>
          <w:sz w:val="24"/>
          <w:szCs w:val="24"/>
          <w:lang w:eastAsia="en-US"/>
        </w:rPr>
      </w:pPr>
      <w:r w:rsidRPr="00E97FB3">
        <w:rPr>
          <w:sz w:val="24"/>
          <w:szCs w:val="24"/>
          <w:lang w:eastAsia="en-US"/>
        </w:rPr>
        <w:tab/>
        <w:t>Para estudiar de forma correcta la legitimidad (o falta de ella) del proceso catalán de secesión, debemos de forma inevitable analizar la doctrina del poder constituyente, como aquel capacitado para implantar una Constitución sin verse limitado por parte de ningún poder o norma positiva</w:t>
      </w:r>
      <w:r w:rsidRPr="00E97FB3">
        <w:rPr>
          <w:sz w:val="24"/>
          <w:szCs w:val="24"/>
          <w:vertAlign w:val="superscript"/>
          <w:lang w:eastAsia="en-US"/>
        </w:rPr>
        <w:footnoteReference w:id="19"/>
      </w:r>
      <w:r w:rsidRPr="00E97FB3">
        <w:rPr>
          <w:sz w:val="24"/>
          <w:szCs w:val="24"/>
          <w:lang w:eastAsia="en-US"/>
        </w:rPr>
        <w:t>, pues el constituyente es un poder absoluto y total. En palabras de Sieyès: “El poder constituyente todo lo puede, no se encuentra de antemano sometido a ninguna Constitución […] Por ello, para ejercer su función ha de verse libre de toda forma y todo control, salvo los que a él mismo le pluguiera adoptar”</w:t>
      </w:r>
      <w:r w:rsidRPr="00E97FB3">
        <w:rPr>
          <w:sz w:val="24"/>
          <w:szCs w:val="24"/>
          <w:vertAlign w:val="superscript"/>
          <w:lang w:eastAsia="en-US"/>
        </w:rPr>
        <w:footnoteReference w:id="20"/>
      </w:r>
      <w:r w:rsidRPr="00E97FB3">
        <w:rPr>
          <w:sz w:val="24"/>
          <w:szCs w:val="24"/>
          <w:lang w:eastAsia="en-US"/>
        </w:rPr>
        <w:t>.</w:t>
      </w:r>
    </w:p>
    <w:p w:rsidR="0038777B" w:rsidRPr="00E97FB3" w:rsidRDefault="0038777B" w:rsidP="00E67EAC">
      <w:pPr>
        <w:spacing w:after="160" w:line="360" w:lineRule="auto"/>
        <w:jc w:val="both"/>
        <w:rPr>
          <w:sz w:val="24"/>
          <w:szCs w:val="24"/>
          <w:lang w:eastAsia="en-US"/>
        </w:rPr>
      </w:pPr>
    </w:p>
    <w:p w:rsidR="0038777B" w:rsidRPr="00E97FB3" w:rsidRDefault="0038777B" w:rsidP="00E67EAC">
      <w:pPr>
        <w:spacing w:after="160" w:line="360" w:lineRule="auto"/>
        <w:jc w:val="both"/>
        <w:rPr>
          <w:sz w:val="24"/>
          <w:szCs w:val="24"/>
          <w:u w:val="single"/>
          <w:lang w:eastAsia="en-US"/>
        </w:rPr>
      </w:pPr>
      <w:r w:rsidRPr="00E97FB3">
        <w:rPr>
          <w:sz w:val="24"/>
          <w:szCs w:val="24"/>
          <w:lang w:eastAsia="en-US"/>
        </w:rPr>
        <w:tab/>
      </w:r>
      <w:r w:rsidRPr="00E97FB3">
        <w:rPr>
          <w:sz w:val="24"/>
          <w:szCs w:val="24"/>
          <w:u w:val="single"/>
          <w:lang w:eastAsia="en-US"/>
        </w:rPr>
        <w:t>2.1.1. La doctrina del poder constituyente</w:t>
      </w:r>
    </w:p>
    <w:p w:rsidR="0038777B" w:rsidRPr="00E97FB3" w:rsidRDefault="001D3DD5" w:rsidP="00E67EAC">
      <w:pPr>
        <w:spacing w:after="160" w:line="360" w:lineRule="auto"/>
        <w:jc w:val="both"/>
        <w:rPr>
          <w:sz w:val="24"/>
          <w:szCs w:val="24"/>
          <w:lang w:eastAsia="en-US"/>
        </w:rPr>
      </w:pPr>
      <w:r>
        <w:rPr>
          <w:sz w:val="24"/>
          <w:szCs w:val="24"/>
          <w:lang w:eastAsia="en-US"/>
        </w:rPr>
        <w:tab/>
      </w:r>
      <w:r w:rsidR="0038777B" w:rsidRPr="00E97FB3">
        <w:rPr>
          <w:sz w:val="24"/>
          <w:szCs w:val="24"/>
          <w:lang w:eastAsia="en-US"/>
        </w:rPr>
        <w:t xml:space="preserve">El poder constituyente hace referencia a la singular posición jurídica y política que ocupa el órgano o el sujeto que posee la capacidad (el poder) de implantar una Constitución o, llegado el caso, de modificarla. </w:t>
      </w:r>
    </w:p>
    <w:p w:rsidR="0038777B" w:rsidRPr="005130D6" w:rsidRDefault="0038777B" w:rsidP="00E67EAC">
      <w:pPr>
        <w:spacing w:after="160" w:line="360" w:lineRule="auto"/>
        <w:jc w:val="both"/>
        <w:rPr>
          <w:sz w:val="24"/>
          <w:szCs w:val="24"/>
          <w:lang w:eastAsia="en-US"/>
        </w:rPr>
      </w:pPr>
      <w:r w:rsidRPr="00E97FB3">
        <w:rPr>
          <w:sz w:val="24"/>
          <w:szCs w:val="24"/>
          <w:lang w:eastAsia="en-US"/>
        </w:rPr>
        <w:tab/>
        <w:t>Se establece una clara</w:t>
      </w:r>
      <w:r w:rsidRPr="005130D6">
        <w:rPr>
          <w:sz w:val="24"/>
          <w:szCs w:val="24"/>
          <w:lang w:eastAsia="en-US"/>
        </w:rPr>
        <w:t xml:space="preserve"> división entre este y el resto de poderes (legislativo, ejecutivo y judicial</w:t>
      </w:r>
      <w:r w:rsidRPr="005130D6">
        <w:rPr>
          <w:sz w:val="24"/>
          <w:szCs w:val="24"/>
          <w:vertAlign w:val="superscript"/>
          <w:lang w:eastAsia="en-US"/>
        </w:rPr>
        <w:footnoteReference w:id="21"/>
      </w:r>
      <w:r w:rsidRPr="005130D6">
        <w:rPr>
          <w:sz w:val="24"/>
          <w:szCs w:val="24"/>
          <w:lang w:eastAsia="en-US"/>
        </w:rPr>
        <w:t>), que por ser creados y limitados por la Constitución se consideran poderes constituidos. Esta diferenciación es vital, de forma que la limitación de poderes solo afectaría a los constituidos, pero en ningún caso al constituyente (con alguna excepción como veremos posteriormente). De este modo un territorio, al darse a sí mismo una Constitución por medio de unos representantes extraordinarios (una asamblea constituyente), no se encuentra vinculada a ninguna norma anterior</w:t>
      </w:r>
      <w:r w:rsidRPr="005130D6">
        <w:rPr>
          <w:sz w:val="24"/>
          <w:szCs w:val="24"/>
          <w:vertAlign w:val="superscript"/>
          <w:lang w:eastAsia="en-US"/>
        </w:rPr>
        <w:footnoteReference w:id="22"/>
      </w:r>
      <w:r w:rsidRPr="005130D6">
        <w:rPr>
          <w:sz w:val="24"/>
          <w:szCs w:val="24"/>
          <w:lang w:eastAsia="en-US"/>
        </w:rPr>
        <w:t>.</w:t>
      </w:r>
      <w:r w:rsidRPr="005130D6">
        <w:rPr>
          <w:sz w:val="24"/>
          <w:szCs w:val="24"/>
          <w:lang w:eastAsia="en-US"/>
        </w:rPr>
        <w:tab/>
      </w:r>
    </w:p>
    <w:p w:rsidR="0038777B" w:rsidRPr="005130D6" w:rsidRDefault="0038777B" w:rsidP="00E67EAC">
      <w:pPr>
        <w:spacing w:after="160" w:line="360" w:lineRule="auto"/>
        <w:jc w:val="both"/>
        <w:rPr>
          <w:sz w:val="24"/>
          <w:szCs w:val="24"/>
          <w:lang w:eastAsia="en-US"/>
        </w:rPr>
      </w:pPr>
      <w:r w:rsidRPr="005130D6">
        <w:rPr>
          <w:sz w:val="24"/>
          <w:szCs w:val="24"/>
          <w:lang w:eastAsia="en-US"/>
        </w:rPr>
        <w:tab/>
        <w:t xml:space="preserve">Cabe matizar que, en el contexto actual, incluso el propio poder constituyente tiene límites impuestos por el derecho internacional. Estos límites resultan de la era de la globalización en la que nos vemos inmersos, y afectan de forma primordial a los </w:t>
      </w:r>
      <w:r w:rsidRPr="005130D6">
        <w:rPr>
          <w:sz w:val="24"/>
          <w:szCs w:val="24"/>
          <w:lang w:eastAsia="en-US"/>
        </w:rPr>
        <w:lastRenderedPageBreak/>
        <w:t xml:space="preserve">derechos fundamentales, protegidos por el </w:t>
      </w:r>
      <w:r w:rsidRPr="005130D6">
        <w:rPr>
          <w:i/>
          <w:sz w:val="24"/>
          <w:szCs w:val="24"/>
          <w:lang w:eastAsia="en-US"/>
        </w:rPr>
        <w:t>ius cogens</w:t>
      </w:r>
      <w:r w:rsidRPr="005130D6">
        <w:rPr>
          <w:sz w:val="24"/>
          <w:szCs w:val="24"/>
          <w:lang w:eastAsia="en-US"/>
        </w:rPr>
        <w:t xml:space="preserve"> (explícitamente recogido en el art. 53 de la Convención de Viena sobre Derecho de los Tratados</w:t>
      </w:r>
      <w:r w:rsidRPr="005130D6">
        <w:rPr>
          <w:sz w:val="24"/>
          <w:szCs w:val="24"/>
          <w:vertAlign w:val="superscript"/>
          <w:lang w:eastAsia="en-US"/>
        </w:rPr>
        <w:footnoteReference w:id="23"/>
      </w:r>
      <w:r w:rsidRPr="005130D6">
        <w:rPr>
          <w:sz w:val="24"/>
          <w:szCs w:val="24"/>
          <w:lang w:eastAsia="en-US"/>
        </w:rPr>
        <w:t>, pero no de forma exclusiva ya que afectan igualmente a otras materias como la resolución de asuntos concretos, la armonización en una materia dada o incluso aspectos institucionales y orgánicos</w:t>
      </w:r>
      <w:r w:rsidRPr="005130D6">
        <w:rPr>
          <w:sz w:val="24"/>
          <w:szCs w:val="24"/>
          <w:vertAlign w:val="superscript"/>
          <w:lang w:eastAsia="en-US"/>
        </w:rPr>
        <w:footnoteReference w:id="24"/>
      </w:r>
      <w:r w:rsidRPr="005130D6">
        <w:rPr>
          <w:sz w:val="24"/>
          <w:szCs w:val="24"/>
          <w:lang w:eastAsia="en-US"/>
        </w:rPr>
        <w:t>.</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La titularidad del poder constituyente en un Estado democrático corresponde al pueblo, que decide mediante sufragio universal quiénes van a ser sus representantes y por ende quién va a ostentar la titularidad material del poder constituyente. Así, podemos distinguir entre poder constituyente originario y derivado.</w:t>
      </w:r>
    </w:p>
    <w:p w:rsidR="0038777B" w:rsidRPr="005130D6" w:rsidRDefault="0038777B" w:rsidP="00E67EAC">
      <w:pPr>
        <w:spacing w:after="160" w:line="360" w:lineRule="auto"/>
        <w:jc w:val="both"/>
        <w:rPr>
          <w:sz w:val="24"/>
          <w:szCs w:val="24"/>
          <w:lang w:eastAsia="en-US"/>
        </w:rPr>
      </w:pPr>
    </w:p>
    <w:p w:rsidR="0038777B" w:rsidRPr="005130D6" w:rsidRDefault="0038777B" w:rsidP="00E67EAC">
      <w:pPr>
        <w:spacing w:after="160" w:line="360" w:lineRule="auto"/>
        <w:jc w:val="both"/>
        <w:rPr>
          <w:sz w:val="24"/>
          <w:szCs w:val="24"/>
          <w:u w:val="single"/>
          <w:lang w:eastAsia="en-US"/>
        </w:rPr>
      </w:pPr>
      <w:r w:rsidRPr="005130D6">
        <w:rPr>
          <w:sz w:val="24"/>
          <w:szCs w:val="24"/>
          <w:lang w:eastAsia="en-US"/>
        </w:rPr>
        <w:tab/>
      </w:r>
      <w:r w:rsidRPr="005130D6">
        <w:rPr>
          <w:sz w:val="24"/>
          <w:szCs w:val="24"/>
          <w:u w:val="single"/>
          <w:lang w:eastAsia="en-US"/>
        </w:rPr>
        <w:t>2.1.2. Poder constituyente originario y derivado</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Podemos articular las principales diferencias entre poder constituyente originario y derivado en torno a tres ejes; la titularidad, el origen y las limitaciones</w:t>
      </w:r>
      <w:r w:rsidRPr="005130D6">
        <w:rPr>
          <w:sz w:val="24"/>
          <w:szCs w:val="24"/>
          <w:vertAlign w:val="superscript"/>
          <w:lang w:eastAsia="en-US"/>
        </w:rPr>
        <w:footnoteReference w:id="25"/>
      </w:r>
      <w:r w:rsidRPr="005130D6">
        <w:rPr>
          <w:sz w:val="24"/>
          <w:szCs w:val="24"/>
          <w:lang w:eastAsia="en-US"/>
        </w:rPr>
        <w:t>.</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 xml:space="preserve">Haciendo referencia a la titularidad, la distinción es, hasta cierto punto, obvia. La titularidad del poder constituyente originario la ostenta el pueblo, sobre el que recae la soberanía, mientras que la titularidad del poder derivado la ostentan los órganos competentes (de acuerdo a las normas constitucionales) para introducir modificaciones no sustanciales en la Constitución. </w:t>
      </w:r>
      <w:r w:rsidR="00A17C8F">
        <w:rPr>
          <w:sz w:val="24"/>
          <w:szCs w:val="24"/>
          <w:lang w:eastAsia="en-US"/>
        </w:rPr>
        <w:t>La base</w:t>
      </w:r>
      <w:r w:rsidRPr="005130D6">
        <w:rPr>
          <w:sz w:val="24"/>
          <w:szCs w:val="24"/>
          <w:lang w:eastAsia="en-US"/>
        </w:rPr>
        <w:t xml:space="preserve"> del poder originario reside principalmente en los principios democráticos y de soberanía, bases del principio de autodeterminación de los pueblos, mientras que el origen del poder derivado toma su base en las expresas previsiones al respecto del texto constitucional. En lo relativo a las limitaciones de ambos poderes, debemos recalcar el carácter ilimitado del poder constituyente originario como poder previo y superior al régimen jurídico establecido, mientras que el poder constituyente derivado está limitado y regulado de forme acorde con la Constitución. </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 xml:space="preserve">En resumen, mientras el primero consiste en la capacidad de un pueblo de darse a sí misma una Constitución </w:t>
      </w:r>
      <w:r w:rsidRPr="005130D6">
        <w:rPr>
          <w:i/>
          <w:sz w:val="24"/>
          <w:szCs w:val="24"/>
          <w:lang w:eastAsia="en-US"/>
        </w:rPr>
        <w:t>ex novo</w:t>
      </w:r>
      <w:r w:rsidRPr="005130D6">
        <w:rPr>
          <w:sz w:val="24"/>
          <w:szCs w:val="24"/>
          <w:lang w:eastAsia="en-US"/>
        </w:rPr>
        <w:t xml:space="preserve">, el segundo consiste en el poder de reformar un </w:t>
      </w:r>
      <w:r w:rsidRPr="005130D6">
        <w:rPr>
          <w:sz w:val="24"/>
          <w:szCs w:val="24"/>
          <w:lang w:eastAsia="en-US"/>
        </w:rPr>
        <w:lastRenderedPageBreak/>
        <w:t>texto constitucional ya vigente siguiendo los procedimientos y los límites marcados por dicha Constitución. El primero es el poder constituyente propiamente dicho, el que responde al carácter de poder ilimitado, mientras que el poder constituyente derivado o de reforma constitucional estaría sometido, como todos los poderes constituidos, a lo prescrito en la propia Constitución al regular los procedimientos para su modificación.</w:t>
      </w:r>
    </w:p>
    <w:p w:rsidR="0038777B" w:rsidRPr="005130D6" w:rsidRDefault="0038777B" w:rsidP="00E67EAC">
      <w:pPr>
        <w:spacing w:after="160" w:line="360" w:lineRule="auto"/>
        <w:jc w:val="both"/>
        <w:rPr>
          <w:sz w:val="24"/>
          <w:szCs w:val="24"/>
          <w:lang w:eastAsia="en-US"/>
        </w:rPr>
      </w:pPr>
    </w:p>
    <w:p w:rsidR="0038777B" w:rsidRPr="005130D6" w:rsidRDefault="0038777B" w:rsidP="00E67EAC">
      <w:pPr>
        <w:spacing w:after="160" w:line="360" w:lineRule="auto"/>
        <w:jc w:val="both"/>
        <w:rPr>
          <w:sz w:val="24"/>
          <w:szCs w:val="24"/>
          <w:lang w:eastAsia="en-US"/>
        </w:rPr>
      </w:pPr>
      <w:r w:rsidRPr="005130D6">
        <w:rPr>
          <w:sz w:val="24"/>
          <w:szCs w:val="24"/>
          <w:lang w:eastAsia="en-US"/>
        </w:rPr>
        <w:tab/>
      </w:r>
      <w:r w:rsidRPr="005130D6">
        <w:rPr>
          <w:sz w:val="24"/>
          <w:szCs w:val="24"/>
          <w:u w:val="single"/>
          <w:lang w:eastAsia="en-US"/>
        </w:rPr>
        <w:t>2.1.3. El proceso constituyente</w:t>
      </w:r>
      <w:r w:rsidRPr="005130D6">
        <w:rPr>
          <w:sz w:val="24"/>
          <w:szCs w:val="24"/>
          <w:lang w:eastAsia="en-US"/>
        </w:rPr>
        <w:tab/>
      </w:r>
    </w:p>
    <w:p w:rsidR="0038777B" w:rsidRPr="005130D6" w:rsidRDefault="0038777B" w:rsidP="00E67EAC">
      <w:pPr>
        <w:spacing w:after="160" w:line="360" w:lineRule="auto"/>
        <w:jc w:val="both"/>
        <w:rPr>
          <w:sz w:val="24"/>
          <w:szCs w:val="24"/>
          <w:lang w:eastAsia="en-US"/>
        </w:rPr>
      </w:pPr>
      <w:r w:rsidRPr="005130D6">
        <w:rPr>
          <w:sz w:val="24"/>
          <w:szCs w:val="24"/>
          <w:lang w:eastAsia="en-US"/>
        </w:rPr>
        <w:tab/>
        <w:t>El poder constituyente originario surge de un momento histórico concreto en que, alegando consideraciones de justicia o conveniencia, las fuerzas sociales con poder suficiente para provocar la caída de un orden jurídico-político establecido han conseguido una victoria sobre el anterior régimen y han impuesto una nueva legalidad. Estamos haciendo referencia aquí a una revolución, por lo que no estamos ante una situación jurídica sino de hecho</w:t>
      </w:r>
      <w:r w:rsidRPr="005130D6">
        <w:rPr>
          <w:sz w:val="24"/>
          <w:szCs w:val="24"/>
          <w:vertAlign w:val="superscript"/>
          <w:lang w:eastAsia="en-US"/>
        </w:rPr>
        <w:footnoteReference w:id="26"/>
      </w:r>
      <w:r w:rsidRPr="005130D6">
        <w:rPr>
          <w:sz w:val="24"/>
          <w:szCs w:val="24"/>
          <w:lang w:eastAsia="en-US"/>
        </w:rPr>
        <w:t>.</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Surge la duda de quién ostenta el poder constituyente, que puede ser ejercido por sujetos diferentes y de hecho debe estar lo más disperso posible  entre los “detentadores de poder” (gobierno, parlamento, y electorado</w:t>
      </w:r>
      <w:r w:rsidRPr="005130D6">
        <w:rPr>
          <w:sz w:val="24"/>
          <w:szCs w:val="24"/>
          <w:vertAlign w:val="superscript"/>
          <w:lang w:eastAsia="en-US"/>
        </w:rPr>
        <w:footnoteReference w:id="27"/>
      </w:r>
      <w:r w:rsidRPr="005130D6">
        <w:rPr>
          <w:sz w:val="24"/>
          <w:szCs w:val="24"/>
          <w:lang w:eastAsia="en-US"/>
        </w:rPr>
        <w:t>).</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En sentido estricto se considera el proceso constituyente como el proceso de aprobación de una Constitución, así como los diversos trámites necesarios hasta dicha aprobación. Es necesario ampliar el término para acaparar las circunstancias que rodean e influyen (en mayor o menor medida) la aprobación del texto constitucional. Así, cabe diferenciar brevemente entre la implantación de las constituciones consuetudinarias y las escritas</w:t>
      </w:r>
      <w:r w:rsidRPr="005130D6">
        <w:rPr>
          <w:sz w:val="24"/>
          <w:szCs w:val="24"/>
          <w:vertAlign w:val="superscript"/>
          <w:lang w:eastAsia="en-US"/>
        </w:rPr>
        <w:footnoteReference w:id="28"/>
      </w:r>
      <w:r w:rsidRPr="005130D6">
        <w:rPr>
          <w:sz w:val="24"/>
          <w:szCs w:val="24"/>
          <w:lang w:eastAsia="en-US"/>
        </w:rPr>
        <w:t xml:space="preserve">; las constituciones consuetudinarias o históricas se forman y perfeccionan a lo largo de un largo periodo de tiempo, en parte mediante leyes o sentencias que modifican o perfilan la Constitución material (el ejemplo más claro es sin duda el de la Constitución británica), mientras que las constituciones escritas suponen por definición una ruptura del orden preexistente (poseen este tipo de Constitución países como Estados Unidos, Alemania o España). Así pues, podemos encontrarnos ante dos situaciones: o no existía en ese momento una Constitución escrita, o ésta ha sido conscientemente vulnerada. En el supuesto de que se pretenda sustituir una Constitución </w:t>
      </w:r>
      <w:r w:rsidRPr="005130D6">
        <w:rPr>
          <w:sz w:val="24"/>
          <w:szCs w:val="24"/>
          <w:lang w:eastAsia="en-US"/>
        </w:rPr>
        <w:lastRenderedPageBreak/>
        <w:t>por otra nueva respetando la legalidad constitucional (sin ruptura revolucionaria) nos encontramos ante un proceso de reforma total de la Constitución, y por tanto de una modificación de la anterior Constitución.</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El proceso de formación de una Constitución escrita es especialmente complejo y sigue los siguientes pasos: la iniciativa, que puede provenir del pueblo o de los gobernantes, la elaboración, donde se plantea si el texto constitucional debe ser redactado por órganos políticos o por juristas, ya que en él se van a plasmar las decisiones fundamentales del nuevo orden político, y por ello la influencia de los órganos políticos es notable, pero como la Constitución es también una norma jurídica y por tanto objeto de estudio y aplicación por los juristas, deben estos igualmente participar de forma activa en la creación de la norma constitucional. El último paso es la aprobación o ratificación, que en la mayoría de los casos se produce mediante una consulta al pueblo mediante un referéndum.</w:t>
      </w:r>
    </w:p>
    <w:p w:rsidR="0038777B" w:rsidRPr="005130D6" w:rsidRDefault="0038777B" w:rsidP="00E67EAC">
      <w:pPr>
        <w:spacing w:after="160" w:line="360" w:lineRule="auto"/>
        <w:jc w:val="both"/>
        <w:rPr>
          <w:sz w:val="24"/>
          <w:szCs w:val="24"/>
          <w:lang w:eastAsia="en-US"/>
        </w:rPr>
      </w:pPr>
    </w:p>
    <w:p w:rsidR="0038777B" w:rsidRPr="005130D6" w:rsidRDefault="0038777B" w:rsidP="007465D1">
      <w:pPr>
        <w:spacing w:after="160" w:line="360" w:lineRule="auto"/>
        <w:ind w:firstLine="708"/>
        <w:jc w:val="both"/>
        <w:outlineLvl w:val="0"/>
        <w:rPr>
          <w:b/>
          <w:sz w:val="24"/>
          <w:szCs w:val="24"/>
          <w:lang w:eastAsia="en-US"/>
        </w:rPr>
      </w:pPr>
      <w:r w:rsidRPr="005130D6">
        <w:rPr>
          <w:b/>
          <w:sz w:val="24"/>
          <w:szCs w:val="24"/>
          <w:lang w:eastAsia="en-US"/>
        </w:rPr>
        <w:t>2.2. El Tribunal Constitucional como comisionado del poder constituyente</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Es necesario destacar el papel del Tribunal Constitucional como poder neutral encargado de sostener al sistema constitucional, pero que ni lo configura ni impide a este cambiar, sino que más bien se asegura de que los cambios que se produzcan en este sistema se produzcan por los cauces adecuados, contenidos en la propia Constitución. Así, podemos definir a este poder neutro como “un verdadero comisionado del poder constituyente para el sostenimiento de su obra, la Constitución, y para que mantenga a todos los poderes constitucionales en su calidad estricta de poderes constituidos” (García de Enterría) configurándose de este modo, por un lado como defensor de la Constitución y por otro como su intérprete supremo</w:t>
      </w:r>
      <w:r w:rsidRPr="005130D6">
        <w:rPr>
          <w:sz w:val="24"/>
          <w:szCs w:val="24"/>
          <w:vertAlign w:val="superscript"/>
          <w:lang w:eastAsia="en-US"/>
        </w:rPr>
        <w:footnoteReference w:id="29"/>
      </w:r>
      <w:r w:rsidRPr="005130D6">
        <w:rPr>
          <w:sz w:val="24"/>
          <w:szCs w:val="24"/>
          <w:lang w:eastAsia="en-US"/>
        </w:rPr>
        <w:t xml:space="preserve">. </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De este modo, si el pueblo como titular del poder constituyente entendiese que el Tribunal está realizando una labor inaceptable podrá poner en marcha el mecanismo de revisión constitucional, dando así un nuevo sentido al texto en la dirección que el constituyente decida, según su libertad incondicionada</w:t>
      </w:r>
      <w:r w:rsidRPr="005130D6">
        <w:rPr>
          <w:sz w:val="24"/>
          <w:szCs w:val="24"/>
          <w:vertAlign w:val="superscript"/>
          <w:lang w:eastAsia="en-US"/>
        </w:rPr>
        <w:footnoteReference w:id="30"/>
      </w:r>
      <w:r w:rsidRPr="005130D6">
        <w:rPr>
          <w:sz w:val="24"/>
          <w:szCs w:val="24"/>
          <w:lang w:eastAsia="en-US"/>
        </w:rPr>
        <w:t>.</w:t>
      </w:r>
    </w:p>
    <w:p w:rsidR="0038777B" w:rsidRPr="005130D6" w:rsidRDefault="0038777B" w:rsidP="00E67EAC">
      <w:pPr>
        <w:spacing w:after="160" w:line="360" w:lineRule="auto"/>
        <w:jc w:val="both"/>
        <w:rPr>
          <w:sz w:val="24"/>
          <w:szCs w:val="24"/>
          <w:lang w:eastAsia="en-US"/>
        </w:rPr>
      </w:pPr>
    </w:p>
    <w:p w:rsidR="0038777B" w:rsidRPr="005130D6" w:rsidRDefault="0038777B" w:rsidP="007465D1">
      <w:pPr>
        <w:spacing w:after="160" w:line="360" w:lineRule="auto"/>
        <w:ind w:left="708"/>
        <w:jc w:val="both"/>
        <w:outlineLvl w:val="0"/>
        <w:rPr>
          <w:b/>
          <w:sz w:val="24"/>
          <w:szCs w:val="24"/>
          <w:lang w:eastAsia="en-US"/>
        </w:rPr>
      </w:pPr>
      <w:r w:rsidRPr="005130D6">
        <w:rPr>
          <w:b/>
          <w:sz w:val="24"/>
          <w:szCs w:val="24"/>
          <w:lang w:eastAsia="en-US"/>
        </w:rPr>
        <w:t>2.3. La quiebra del poder constituyente; el poder constituyente revolucionario</w:t>
      </w:r>
    </w:p>
    <w:p w:rsidR="0038777B" w:rsidRPr="005130D6" w:rsidRDefault="0038777B" w:rsidP="00E67EAC">
      <w:pPr>
        <w:spacing w:after="160" w:line="360" w:lineRule="auto"/>
        <w:jc w:val="both"/>
        <w:rPr>
          <w:sz w:val="24"/>
          <w:szCs w:val="24"/>
          <w:lang w:eastAsia="en-US"/>
        </w:rPr>
      </w:pPr>
    </w:p>
    <w:p w:rsidR="0038777B" w:rsidRPr="005130D6" w:rsidRDefault="0038777B" w:rsidP="00E67EAC">
      <w:pPr>
        <w:spacing w:after="160" w:line="360" w:lineRule="auto"/>
        <w:jc w:val="both"/>
        <w:rPr>
          <w:sz w:val="24"/>
          <w:szCs w:val="24"/>
          <w:u w:val="single"/>
          <w:lang w:eastAsia="en-US"/>
        </w:rPr>
      </w:pPr>
      <w:r w:rsidRPr="005130D6">
        <w:rPr>
          <w:sz w:val="24"/>
          <w:szCs w:val="24"/>
          <w:lang w:eastAsia="en-US"/>
        </w:rPr>
        <w:tab/>
      </w:r>
      <w:r w:rsidRPr="005130D6">
        <w:rPr>
          <w:sz w:val="24"/>
          <w:szCs w:val="24"/>
          <w:u w:val="single"/>
          <w:lang w:eastAsia="en-US"/>
        </w:rPr>
        <w:t>2.3.1. El poder constituyente en España</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 xml:space="preserve">En España el poder constituyente lo forma el pueblo español, y esto se infiere de forma directa del </w:t>
      </w:r>
      <w:r w:rsidR="0002135C">
        <w:rPr>
          <w:sz w:val="24"/>
          <w:szCs w:val="24"/>
          <w:lang w:eastAsia="en-US"/>
        </w:rPr>
        <w:t>art.</w:t>
      </w:r>
      <w:r w:rsidRPr="005130D6">
        <w:rPr>
          <w:sz w:val="24"/>
          <w:szCs w:val="24"/>
          <w:lang w:eastAsia="en-US"/>
        </w:rPr>
        <w:t xml:space="preserve"> 1.1 de la Constitución de 1978. Para algunos autores “España, como realidad nacional y social, es el poder constituyente, del que emanan todos los poderes constituidos, que en su vértice superior son el Estado Social y Democrático de Derecho y los valores superiores que como Ética Pública van a identificar el ordenamiento jurídico” (Gregorio Peces-Barba). Todas las cuestiones reguladas en la Constitución (ordenación de los poderes, formas políticas del Estado, derechos fundamentales y autonomía de las nacionalidades y regiones…) son posteriores y “dependen” de España</w:t>
      </w:r>
      <w:r w:rsidRPr="005130D6">
        <w:rPr>
          <w:sz w:val="24"/>
          <w:szCs w:val="24"/>
          <w:vertAlign w:val="superscript"/>
          <w:lang w:eastAsia="en-US"/>
        </w:rPr>
        <w:footnoteReference w:id="31"/>
      </w:r>
      <w:r w:rsidRPr="005130D6">
        <w:rPr>
          <w:sz w:val="24"/>
          <w:szCs w:val="24"/>
          <w:lang w:eastAsia="en-US"/>
        </w:rPr>
        <w:t xml:space="preserve">. </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Así, cuando se plantea una secesión pactada (no unilateral, pues esto supondría un inmediato quebranto del orden jurídico) en el Estado español debe tenerse claro el mecanismo a seguir, el cual no es ni más menos que el de la reforma agravada de la Constitución española (ya explicada en este capítulo), reforma que debe refrendar el conjunto del pueblo español. Lo contrario conduce de forma inequívoca a una ruptura del poder constituyente tal y como está configurado actualmente, al manifestarse de forma exclusiva y excluyente una parte del pueblo español, lo que según la perspectiva puede deslegitimar el proceso de secesión. Entramos aquí en el farragoso terreno del poder constituyente originario entendido como poder revolucionario.</w:t>
      </w:r>
    </w:p>
    <w:p w:rsidR="0038777B" w:rsidRPr="005130D6" w:rsidRDefault="0038777B" w:rsidP="00E67EAC">
      <w:pPr>
        <w:spacing w:after="160" w:line="360" w:lineRule="auto"/>
        <w:jc w:val="both"/>
        <w:rPr>
          <w:sz w:val="24"/>
          <w:szCs w:val="24"/>
          <w:lang w:eastAsia="en-US"/>
        </w:rPr>
      </w:pPr>
    </w:p>
    <w:p w:rsidR="0038777B" w:rsidRPr="005130D6" w:rsidRDefault="0038777B" w:rsidP="00E67EAC">
      <w:pPr>
        <w:spacing w:after="160" w:line="360" w:lineRule="auto"/>
        <w:jc w:val="both"/>
        <w:rPr>
          <w:sz w:val="24"/>
          <w:szCs w:val="24"/>
          <w:u w:val="single"/>
          <w:lang w:eastAsia="en-US"/>
        </w:rPr>
      </w:pPr>
      <w:r w:rsidRPr="005130D6">
        <w:rPr>
          <w:sz w:val="24"/>
          <w:szCs w:val="24"/>
          <w:lang w:eastAsia="en-US"/>
        </w:rPr>
        <w:tab/>
      </w:r>
      <w:r w:rsidRPr="005130D6">
        <w:rPr>
          <w:sz w:val="24"/>
          <w:szCs w:val="24"/>
          <w:u w:val="single"/>
          <w:lang w:eastAsia="en-US"/>
        </w:rPr>
        <w:t>2.</w:t>
      </w:r>
      <w:r w:rsidR="001D3DD5">
        <w:rPr>
          <w:sz w:val="24"/>
          <w:szCs w:val="24"/>
          <w:u w:val="single"/>
          <w:lang w:eastAsia="en-US"/>
        </w:rPr>
        <w:t>3.2</w:t>
      </w:r>
      <w:r w:rsidRPr="005130D6">
        <w:rPr>
          <w:sz w:val="24"/>
          <w:szCs w:val="24"/>
          <w:u w:val="single"/>
          <w:lang w:eastAsia="en-US"/>
        </w:rPr>
        <w:t>. El poder constituyente revolucionario y su aplicación al proceso catalán</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 xml:space="preserve">Tradicionalmente se ha entendido el poder constituyente originario como poder revolucionario por estar unido a procesos de revolución formados por razones de </w:t>
      </w:r>
      <w:r w:rsidRPr="005130D6">
        <w:rPr>
          <w:sz w:val="24"/>
          <w:szCs w:val="24"/>
          <w:lang w:eastAsia="en-US"/>
        </w:rPr>
        <w:lastRenderedPageBreak/>
        <w:t>oportunidad histórica, política, económica… así, la creación de un texto constitucional se producía como consecuencia directa de una ruptura con el anterior orden jurídico</w:t>
      </w:r>
      <w:r w:rsidRPr="005130D6">
        <w:rPr>
          <w:sz w:val="24"/>
          <w:szCs w:val="24"/>
          <w:vertAlign w:val="superscript"/>
          <w:lang w:eastAsia="en-US"/>
        </w:rPr>
        <w:footnoteReference w:id="32"/>
      </w:r>
      <w:r w:rsidRPr="005130D6">
        <w:rPr>
          <w:sz w:val="24"/>
          <w:szCs w:val="24"/>
          <w:lang w:eastAsia="en-US"/>
        </w:rPr>
        <w:t xml:space="preserve">. </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Así, cabe resaltar la especialidad del proceso de creación y establecimiento de un texto constitucional cuando ya existe una Constitución previa, y dicha Constitución se ha establecido con arreglo a un proceso constituyente democrático como sucede con la Constitución Española de 1978. En estas circunstancias solo diversos sucesos especiales pueden sustentar la legitimidad de un cambio constitucional, como pueden ser el establecimiento de un régimen autoritario o un cambio radical en la voluntad del pueblo soberano</w:t>
      </w:r>
      <w:r w:rsidRPr="005130D6">
        <w:rPr>
          <w:sz w:val="24"/>
          <w:szCs w:val="24"/>
          <w:vertAlign w:val="superscript"/>
          <w:lang w:eastAsia="en-US"/>
        </w:rPr>
        <w:footnoteReference w:id="33"/>
      </w:r>
      <w:r w:rsidRPr="005130D6">
        <w:rPr>
          <w:sz w:val="24"/>
          <w:szCs w:val="24"/>
          <w:lang w:eastAsia="en-US"/>
        </w:rPr>
        <w:t>. Otros autores (Vilajosana) consideran por el contrario que el pueblo, o una parte de él, puede imponer su soberanía al orden constitucional establecido si se produce un aumento exponencial de la voluntad popular en una determinada dirección, con arreglo al principio democrático</w:t>
      </w:r>
      <w:r w:rsidRPr="005130D6">
        <w:rPr>
          <w:sz w:val="24"/>
          <w:szCs w:val="24"/>
          <w:vertAlign w:val="superscript"/>
          <w:lang w:eastAsia="en-US"/>
        </w:rPr>
        <w:footnoteReference w:id="34"/>
      </w:r>
      <w:r w:rsidRPr="005130D6">
        <w:rPr>
          <w:sz w:val="24"/>
          <w:szCs w:val="24"/>
          <w:lang w:eastAsia="en-US"/>
        </w:rPr>
        <w:t>.</w:t>
      </w:r>
    </w:p>
    <w:p w:rsidR="0038777B" w:rsidRDefault="0038777B" w:rsidP="00E67EAC">
      <w:pPr>
        <w:spacing w:after="160" w:line="360" w:lineRule="auto"/>
        <w:jc w:val="both"/>
        <w:rPr>
          <w:sz w:val="24"/>
          <w:szCs w:val="24"/>
          <w:lang w:eastAsia="en-US"/>
        </w:rPr>
      </w:pPr>
      <w:r w:rsidRPr="005130D6">
        <w:rPr>
          <w:sz w:val="24"/>
          <w:szCs w:val="24"/>
          <w:lang w:eastAsia="en-US"/>
        </w:rPr>
        <w:tab/>
        <w:t>¿Puede este modelo trasponerse a la situación actual de Catalunya? Parece difícil considerarlo así, y es que el sistema actual no es comparable a los sistemas que derivan estas rupturas (el ejemplo más claro y el que dio origen a la teoría del poder constituyente es el de la Revolución Francesa de 1789</w:t>
      </w:r>
      <w:r w:rsidRPr="005130D6">
        <w:rPr>
          <w:sz w:val="24"/>
          <w:szCs w:val="24"/>
          <w:vertAlign w:val="superscript"/>
          <w:lang w:eastAsia="en-US"/>
        </w:rPr>
        <w:footnoteReference w:id="35"/>
      </w:r>
      <w:r>
        <w:rPr>
          <w:sz w:val="24"/>
          <w:szCs w:val="24"/>
          <w:lang w:eastAsia="en-US"/>
        </w:rPr>
        <w:t>)</w:t>
      </w:r>
      <w:r w:rsidRPr="005130D6">
        <w:rPr>
          <w:sz w:val="24"/>
          <w:szCs w:val="24"/>
          <w:lang w:eastAsia="en-US"/>
        </w:rPr>
        <w:t>. El contexto en el que se desenvuelve el panorama actual podría definirse como bloqueo por par</w:t>
      </w:r>
      <w:r w:rsidR="00681AC9">
        <w:rPr>
          <w:sz w:val="24"/>
          <w:szCs w:val="24"/>
          <w:lang w:eastAsia="en-US"/>
        </w:rPr>
        <w:t>te de las instituciones española</w:t>
      </w:r>
      <w:r w:rsidRPr="005130D6">
        <w:rPr>
          <w:sz w:val="24"/>
          <w:szCs w:val="24"/>
          <w:lang w:eastAsia="en-US"/>
        </w:rPr>
        <w:t xml:space="preserve">s ante la voluntad mayoritaria del pueblo catalán (derecho a decidir), lo cual no justifica una quiebra del poder constituyente. Nos encontraríamos ante una situación distinta en el caso de estar ante un Estado autoritario, carente de un sistema democrático, lo cual no es el caso español. </w:t>
      </w:r>
    </w:p>
    <w:p w:rsidR="00681AC9" w:rsidRPr="005130D6" w:rsidRDefault="00681AC9" w:rsidP="00E67EAC">
      <w:pPr>
        <w:spacing w:after="160" w:line="360" w:lineRule="auto"/>
        <w:jc w:val="both"/>
        <w:rPr>
          <w:sz w:val="24"/>
          <w:szCs w:val="24"/>
          <w:lang w:eastAsia="en-US"/>
        </w:rPr>
      </w:pPr>
      <w:r>
        <w:rPr>
          <w:sz w:val="24"/>
          <w:szCs w:val="24"/>
          <w:lang w:eastAsia="en-US"/>
        </w:rPr>
        <w:lastRenderedPageBreak/>
        <w:tab/>
        <w:t>En la misma dirección se pronuncia la Comisión de Venecia</w:t>
      </w:r>
      <w:r>
        <w:rPr>
          <w:rStyle w:val="Refdenotaalpie"/>
          <w:sz w:val="24"/>
          <w:szCs w:val="24"/>
          <w:lang w:eastAsia="en-US"/>
        </w:rPr>
        <w:footnoteReference w:id="36"/>
      </w:r>
      <w:r>
        <w:rPr>
          <w:sz w:val="24"/>
          <w:szCs w:val="24"/>
          <w:lang w:eastAsia="en-US"/>
        </w:rPr>
        <w:t xml:space="preserve">, que abordó de forma directa los referendos de autodeterminación y aboga por la democracia constitucional, y no por la revolucionaria.   </w:t>
      </w:r>
    </w:p>
    <w:p w:rsidR="001D3DD5" w:rsidRDefault="0038777B" w:rsidP="001D3DD5">
      <w:pPr>
        <w:spacing w:after="160" w:line="360" w:lineRule="auto"/>
        <w:jc w:val="both"/>
        <w:rPr>
          <w:sz w:val="24"/>
          <w:szCs w:val="24"/>
          <w:lang w:eastAsia="en-US"/>
        </w:rPr>
      </w:pPr>
      <w:r w:rsidRPr="005130D6">
        <w:rPr>
          <w:sz w:val="24"/>
          <w:szCs w:val="24"/>
          <w:lang w:eastAsia="en-US"/>
        </w:rPr>
        <w:tab/>
        <w:t xml:space="preserve">En esencia, no podemos considerar aceptable una ruptura del poder constituyente en un Estado democrático de Derecho aludiendo simplemente a un bloqueo institucional que (aun siendo real), puede salvarse con diplomacia. </w:t>
      </w:r>
    </w:p>
    <w:p w:rsidR="00681AC9" w:rsidRDefault="00681AC9" w:rsidP="001D3DD5">
      <w:pPr>
        <w:spacing w:after="160" w:line="360" w:lineRule="auto"/>
        <w:jc w:val="both"/>
        <w:rPr>
          <w:sz w:val="24"/>
          <w:szCs w:val="24"/>
          <w:lang w:eastAsia="en-US"/>
        </w:rPr>
      </w:pPr>
    </w:p>
    <w:p w:rsidR="00681AC9" w:rsidRDefault="00681AC9" w:rsidP="001D3DD5">
      <w:pPr>
        <w:spacing w:after="160" w:line="360" w:lineRule="auto"/>
        <w:jc w:val="both"/>
        <w:rPr>
          <w:sz w:val="24"/>
          <w:szCs w:val="24"/>
          <w:lang w:eastAsia="en-US"/>
        </w:rPr>
      </w:pPr>
    </w:p>
    <w:p w:rsidR="00681AC9" w:rsidRDefault="00681AC9" w:rsidP="001D3DD5">
      <w:pPr>
        <w:spacing w:after="160" w:line="360" w:lineRule="auto"/>
        <w:jc w:val="both"/>
        <w:rPr>
          <w:sz w:val="24"/>
          <w:szCs w:val="24"/>
          <w:lang w:eastAsia="en-US"/>
        </w:rPr>
      </w:pPr>
    </w:p>
    <w:p w:rsidR="00681AC9" w:rsidRDefault="00681AC9" w:rsidP="001D3DD5">
      <w:pPr>
        <w:spacing w:after="160" w:line="360" w:lineRule="auto"/>
        <w:jc w:val="both"/>
        <w:rPr>
          <w:sz w:val="24"/>
          <w:szCs w:val="24"/>
          <w:lang w:eastAsia="en-US"/>
        </w:rPr>
      </w:pPr>
    </w:p>
    <w:p w:rsidR="00681AC9" w:rsidRDefault="00681AC9" w:rsidP="001D3DD5">
      <w:pPr>
        <w:spacing w:after="160" w:line="360" w:lineRule="auto"/>
        <w:jc w:val="both"/>
        <w:rPr>
          <w:sz w:val="24"/>
          <w:szCs w:val="24"/>
          <w:lang w:eastAsia="en-US"/>
        </w:rPr>
      </w:pPr>
    </w:p>
    <w:p w:rsidR="00681AC9" w:rsidRDefault="00681AC9" w:rsidP="001D3DD5">
      <w:pPr>
        <w:spacing w:after="160" w:line="360" w:lineRule="auto"/>
        <w:jc w:val="both"/>
        <w:rPr>
          <w:sz w:val="24"/>
          <w:szCs w:val="24"/>
          <w:lang w:eastAsia="en-US"/>
        </w:rPr>
      </w:pPr>
    </w:p>
    <w:p w:rsidR="00681AC9" w:rsidRDefault="00681AC9" w:rsidP="001D3DD5">
      <w:pPr>
        <w:spacing w:after="160" w:line="360" w:lineRule="auto"/>
        <w:jc w:val="both"/>
        <w:rPr>
          <w:sz w:val="24"/>
          <w:szCs w:val="24"/>
          <w:lang w:eastAsia="en-US"/>
        </w:rPr>
      </w:pPr>
    </w:p>
    <w:p w:rsidR="00681AC9" w:rsidRDefault="00681AC9" w:rsidP="001D3DD5">
      <w:pPr>
        <w:spacing w:after="160" w:line="360" w:lineRule="auto"/>
        <w:jc w:val="both"/>
        <w:rPr>
          <w:sz w:val="24"/>
          <w:szCs w:val="24"/>
          <w:lang w:eastAsia="en-US"/>
        </w:rPr>
      </w:pPr>
    </w:p>
    <w:p w:rsidR="00681AC9" w:rsidRDefault="00681AC9" w:rsidP="001D3DD5">
      <w:pPr>
        <w:spacing w:after="160" w:line="360" w:lineRule="auto"/>
        <w:jc w:val="both"/>
        <w:rPr>
          <w:sz w:val="24"/>
          <w:szCs w:val="24"/>
          <w:lang w:eastAsia="en-US"/>
        </w:rPr>
      </w:pPr>
    </w:p>
    <w:p w:rsidR="00681AC9" w:rsidRDefault="00681AC9" w:rsidP="001D3DD5">
      <w:pPr>
        <w:spacing w:after="160" w:line="360" w:lineRule="auto"/>
        <w:jc w:val="both"/>
        <w:rPr>
          <w:sz w:val="24"/>
          <w:szCs w:val="24"/>
          <w:lang w:eastAsia="en-US"/>
        </w:rPr>
      </w:pPr>
    </w:p>
    <w:p w:rsidR="00681AC9" w:rsidRDefault="00681AC9" w:rsidP="001D3DD5">
      <w:pPr>
        <w:spacing w:after="160" w:line="360" w:lineRule="auto"/>
        <w:jc w:val="both"/>
        <w:rPr>
          <w:sz w:val="24"/>
          <w:szCs w:val="24"/>
          <w:lang w:eastAsia="en-US"/>
        </w:rPr>
      </w:pPr>
    </w:p>
    <w:p w:rsidR="00681AC9" w:rsidRDefault="00681AC9" w:rsidP="001D3DD5">
      <w:pPr>
        <w:spacing w:after="160" w:line="360" w:lineRule="auto"/>
        <w:jc w:val="both"/>
        <w:rPr>
          <w:sz w:val="24"/>
          <w:szCs w:val="24"/>
          <w:lang w:eastAsia="en-US"/>
        </w:rPr>
      </w:pPr>
    </w:p>
    <w:p w:rsidR="00681AC9" w:rsidRDefault="00681AC9" w:rsidP="001D3DD5">
      <w:pPr>
        <w:spacing w:after="160" w:line="360" w:lineRule="auto"/>
        <w:jc w:val="both"/>
        <w:rPr>
          <w:sz w:val="24"/>
          <w:szCs w:val="24"/>
          <w:lang w:eastAsia="en-US"/>
        </w:rPr>
      </w:pPr>
    </w:p>
    <w:p w:rsidR="00681AC9" w:rsidRDefault="00681AC9" w:rsidP="001D3DD5">
      <w:pPr>
        <w:spacing w:after="160" w:line="360" w:lineRule="auto"/>
        <w:jc w:val="both"/>
        <w:rPr>
          <w:sz w:val="24"/>
          <w:szCs w:val="24"/>
          <w:lang w:eastAsia="en-US"/>
        </w:rPr>
      </w:pPr>
    </w:p>
    <w:p w:rsidR="00681AC9" w:rsidRDefault="00681AC9" w:rsidP="001D3DD5">
      <w:pPr>
        <w:spacing w:after="160" w:line="360" w:lineRule="auto"/>
        <w:jc w:val="both"/>
        <w:rPr>
          <w:sz w:val="24"/>
          <w:szCs w:val="24"/>
          <w:lang w:eastAsia="en-US"/>
        </w:rPr>
      </w:pPr>
    </w:p>
    <w:p w:rsidR="00681AC9" w:rsidRDefault="00681AC9" w:rsidP="001D3DD5">
      <w:pPr>
        <w:spacing w:after="160" w:line="360" w:lineRule="auto"/>
        <w:jc w:val="both"/>
        <w:rPr>
          <w:sz w:val="24"/>
          <w:szCs w:val="24"/>
          <w:lang w:eastAsia="en-US"/>
        </w:rPr>
      </w:pPr>
    </w:p>
    <w:p w:rsidR="00681AC9" w:rsidRDefault="00681AC9" w:rsidP="001D3DD5">
      <w:pPr>
        <w:spacing w:after="160" w:line="360" w:lineRule="auto"/>
        <w:jc w:val="both"/>
        <w:rPr>
          <w:sz w:val="24"/>
          <w:szCs w:val="24"/>
          <w:lang w:eastAsia="en-US"/>
        </w:rPr>
      </w:pPr>
    </w:p>
    <w:p w:rsidR="0038777B" w:rsidRPr="001D3DD5" w:rsidRDefault="0038777B" w:rsidP="001D3DD5">
      <w:pPr>
        <w:spacing w:after="160" w:line="360" w:lineRule="auto"/>
        <w:jc w:val="both"/>
        <w:rPr>
          <w:sz w:val="24"/>
          <w:szCs w:val="24"/>
          <w:lang w:eastAsia="en-US"/>
        </w:rPr>
      </w:pPr>
      <w:r w:rsidRPr="005130D6">
        <w:rPr>
          <w:b/>
          <w:sz w:val="24"/>
          <w:szCs w:val="24"/>
          <w:lang w:eastAsia="en-US"/>
        </w:rPr>
        <w:lastRenderedPageBreak/>
        <w:t>3. ACTOS Y RESOLUCIONES DE LOS ÓRGANOS DE CATALUNYA PARA ACTIVAR UN PROCESO DE SECESIÓN</w:t>
      </w:r>
    </w:p>
    <w:p w:rsidR="0038777B" w:rsidRPr="005130D6" w:rsidRDefault="0038777B" w:rsidP="00E67EAC">
      <w:pPr>
        <w:spacing w:after="160" w:line="360" w:lineRule="auto"/>
        <w:ind w:firstLine="708"/>
        <w:jc w:val="both"/>
        <w:rPr>
          <w:sz w:val="24"/>
          <w:szCs w:val="24"/>
          <w:lang w:eastAsia="en-US"/>
        </w:rPr>
      </w:pPr>
      <w:r w:rsidRPr="005130D6">
        <w:rPr>
          <w:sz w:val="24"/>
          <w:szCs w:val="24"/>
          <w:lang w:eastAsia="en-US"/>
        </w:rPr>
        <w:t>El desafío secesionista catalán no es una cuestión que nace en los últimos años; ya en los años 80 y 90 el Parlament dejaba constancia del “derecho de autodeterminación” en abstracto que pertenecía al pueblo catalán. No obstante, es evidente que en los últimos años se produce un recrudecimiento de las relaciones entre el Estado español y la Comunidad Autónoma de Catalunya, cuya máxima expresión se manifiesta en el referéndum de 2014, y que continúa en la actualidad con las resoluciones (y leyes incluso) que trataremos a continuación.</w:t>
      </w:r>
    </w:p>
    <w:p w:rsidR="0038777B" w:rsidRPr="005130D6" w:rsidRDefault="0038777B" w:rsidP="00E67EAC">
      <w:pPr>
        <w:spacing w:after="160" w:line="360" w:lineRule="auto"/>
        <w:jc w:val="both"/>
        <w:rPr>
          <w:sz w:val="24"/>
          <w:szCs w:val="24"/>
          <w:lang w:eastAsia="en-US"/>
        </w:rPr>
      </w:pPr>
    </w:p>
    <w:p w:rsidR="0038777B" w:rsidRPr="005130D6" w:rsidRDefault="0038777B" w:rsidP="007465D1">
      <w:pPr>
        <w:spacing w:after="160" w:line="360" w:lineRule="auto"/>
        <w:ind w:firstLine="708"/>
        <w:jc w:val="both"/>
        <w:outlineLvl w:val="0"/>
        <w:rPr>
          <w:b/>
          <w:sz w:val="24"/>
          <w:szCs w:val="24"/>
          <w:lang w:eastAsia="en-US"/>
        </w:rPr>
      </w:pPr>
      <w:r w:rsidRPr="005130D6">
        <w:rPr>
          <w:b/>
          <w:sz w:val="24"/>
          <w:szCs w:val="24"/>
          <w:lang w:eastAsia="en-US"/>
        </w:rPr>
        <w:t>3.1. Resoluciones del Parlament de Catalunya relativas al derecho a decidir</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Como hemos mencionado, antes del referéndum de 2014 el Parlament había reivindicado el derecho de autodeterminación mediante múltiples resoluciones, que podemos distinguir en tres etapas</w:t>
      </w:r>
      <w:r w:rsidRPr="005130D6">
        <w:rPr>
          <w:sz w:val="24"/>
          <w:szCs w:val="24"/>
          <w:vertAlign w:val="superscript"/>
          <w:lang w:eastAsia="en-US"/>
        </w:rPr>
        <w:footnoteReference w:id="37"/>
      </w:r>
      <w:r w:rsidRPr="005130D6">
        <w:rPr>
          <w:sz w:val="24"/>
          <w:szCs w:val="24"/>
          <w:lang w:eastAsia="en-US"/>
        </w:rPr>
        <w:t>: declaración testimonial del derecho a decidir, instrumentos mediante los que este derecho puede llevarse a cabo y reivindicación de la ejecución derecho en el plano material</w:t>
      </w:r>
      <w:r w:rsidRPr="005130D6">
        <w:rPr>
          <w:sz w:val="24"/>
          <w:szCs w:val="24"/>
          <w:vertAlign w:val="superscript"/>
          <w:lang w:eastAsia="en-US"/>
        </w:rPr>
        <w:footnoteReference w:id="38"/>
      </w:r>
      <w:r w:rsidRPr="005130D6">
        <w:rPr>
          <w:sz w:val="24"/>
          <w:szCs w:val="24"/>
          <w:lang w:eastAsia="en-US"/>
        </w:rPr>
        <w:t>.</w:t>
      </w:r>
    </w:p>
    <w:p w:rsidR="0038777B" w:rsidRPr="005130D6" w:rsidRDefault="0038777B" w:rsidP="00E67EAC">
      <w:pPr>
        <w:spacing w:after="160" w:line="360" w:lineRule="auto"/>
        <w:jc w:val="both"/>
        <w:rPr>
          <w:sz w:val="24"/>
          <w:szCs w:val="24"/>
          <w:lang w:eastAsia="en-US"/>
        </w:rPr>
      </w:pPr>
    </w:p>
    <w:p w:rsidR="0038777B" w:rsidRPr="005130D6" w:rsidRDefault="0038777B" w:rsidP="00E67EAC">
      <w:pPr>
        <w:spacing w:after="160" w:line="360" w:lineRule="auto"/>
        <w:jc w:val="both"/>
        <w:outlineLvl w:val="0"/>
        <w:rPr>
          <w:sz w:val="24"/>
          <w:szCs w:val="24"/>
          <w:u w:val="single"/>
          <w:lang w:eastAsia="en-US"/>
        </w:rPr>
      </w:pPr>
      <w:r w:rsidRPr="005130D6">
        <w:rPr>
          <w:sz w:val="24"/>
          <w:szCs w:val="24"/>
          <w:lang w:eastAsia="en-US"/>
        </w:rPr>
        <w:tab/>
      </w:r>
      <w:r w:rsidRPr="005130D6">
        <w:rPr>
          <w:sz w:val="24"/>
          <w:szCs w:val="24"/>
          <w:u w:val="single"/>
          <w:lang w:eastAsia="en-US"/>
        </w:rPr>
        <w:t>3.1.1. Primera etapa; declaración del derecho de autodeterminación</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 xml:space="preserve">Este momento está compuesto por las resoluciones (en adelante R.) R. 98/III de 1989, R. 229/III de 1991 y R. 679/V de 1999. De forma genérica podemos afirmar que declaran de forma abstracta el derecho a decidir, aprovechando las ocasiones históricas que daban pie a estas declaraciones (por ejemplo la disolución de la Unión de Repúblicas Socialistas Soviéticas, con la independencia de múltiples Estados que de ella se derivó). </w:t>
      </w:r>
    </w:p>
    <w:p w:rsidR="0038777B" w:rsidRPr="005130D6" w:rsidRDefault="0038777B" w:rsidP="00E67EAC">
      <w:pPr>
        <w:spacing w:after="160" w:line="360" w:lineRule="auto"/>
        <w:jc w:val="both"/>
        <w:rPr>
          <w:sz w:val="24"/>
          <w:szCs w:val="24"/>
          <w:lang w:eastAsia="en-US"/>
        </w:rPr>
      </w:pPr>
      <w:r w:rsidRPr="005130D6">
        <w:rPr>
          <w:sz w:val="24"/>
          <w:szCs w:val="24"/>
          <w:lang w:eastAsia="en-US"/>
        </w:rPr>
        <w:lastRenderedPageBreak/>
        <w:tab/>
        <w:t>Pasando a analizar detenidamente cada una de las resoluciones, la R. 98/III</w:t>
      </w:r>
      <w:r w:rsidRPr="005130D6">
        <w:rPr>
          <w:sz w:val="24"/>
          <w:szCs w:val="24"/>
          <w:vertAlign w:val="superscript"/>
          <w:lang w:eastAsia="en-US"/>
        </w:rPr>
        <w:footnoteReference w:id="39"/>
      </w:r>
      <w:r w:rsidRPr="005130D6">
        <w:rPr>
          <w:sz w:val="24"/>
          <w:szCs w:val="24"/>
          <w:lang w:eastAsia="en-US"/>
        </w:rPr>
        <w:t xml:space="preserve"> fue adoptada por la Comissió d’Organització i Administració de la Generalitat i Govern Local (Comisión de Organización y Administración de la Generalidad y el Gobierno Local) y enuncia que “</w:t>
      </w:r>
      <w:r w:rsidRPr="00A17C8F">
        <w:rPr>
          <w:i/>
          <w:sz w:val="24"/>
          <w:szCs w:val="24"/>
          <w:lang w:eastAsia="en-US"/>
        </w:rPr>
        <w:t>Catalunya forma parte de una realidad nacional diferenciada del conjunto del Estado</w:t>
      </w:r>
      <w:r w:rsidRPr="005130D6">
        <w:rPr>
          <w:sz w:val="24"/>
          <w:szCs w:val="24"/>
          <w:lang w:eastAsia="en-US"/>
        </w:rPr>
        <w:t xml:space="preserve">” y que el respeto al marco constitucional no significa una renuncia del pueblo catalán a su derecho de autodeterminación, que en el momento oportuno ejercerá mediante los mecanismos contenidos en el propio ordenamiento constitucional. </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Por su parte la R. 229/III</w:t>
      </w:r>
      <w:r w:rsidRPr="005130D6">
        <w:rPr>
          <w:sz w:val="24"/>
          <w:szCs w:val="24"/>
          <w:vertAlign w:val="superscript"/>
          <w:lang w:eastAsia="en-US"/>
        </w:rPr>
        <w:footnoteReference w:id="40"/>
      </w:r>
      <w:r w:rsidRPr="005130D6">
        <w:rPr>
          <w:sz w:val="24"/>
          <w:szCs w:val="24"/>
          <w:lang w:eastAsia="en-US"/>
        </w:rPr>
        <w:t xml:space="preserve"> declara en su punto primero el derecho de autodeterminación de Catalunya de una forma vaga e indirecta, siendo esta la resolución menos clara con respecto a la existencia efectiva de este derecho. </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Para finalizar esta primera batería de resoluciones, la R. 679/V</w:t>
      </w:r>
      <w:r w:rsidRPr="005130D6">
        <w:rPr>
          <w:sz w:val="24"/>
          <w:szCs w:val="24"/>
          <w:vertAlign w:val="superscript"/>
          <w:lang w:eastAsia="en-US"/>
        </w:rPr>
        <w:footnoteReference w:id="41"/>
      </w:r>
      <w:r w:rsidRPr="005130D6">
        <w:rPr>
          <w:sz w:val="24"/>
          <w:szCs w:val="24"/>
          <w:lang w:eastAsia="en-US"/>
        </w:rPr>
        <w:t xml:space="preserve">, la más extensa, recoge la orientación política del Consejo Ejecutivo (no será esta la última referencia a la autodeterminación en la orientación política del Govern) y señala una vez más el derecho a decidir del pueblo catalán en base al cincuenta aniversario de la Declaración Universal de los Derechos Humanos. Se hace referencia por primera vez al </w:t>
      </w:r>
      <w:r w:rsidR="0002135C">
        <w:rPr>
          <w:sz w:val="24"/>
          <w:szCs w:val="24"/>
          <w:lang w:eastAsia="en-US"/>
        </w:rPr>
        <w:t>art.</w:t>
      </w:r>
      <w:r w:rsidRPr="005130D6">
        <w:rPr>
          <w:sz w:val="24"/>
          <w:szCs w:val="24"/>
          <w:lang w:eastAsia="en-US"/>
        </w:rPr>
        <w:t xml:space="preserve"> 150.2 de la Constitución Española de 1978 para demandar una amplia delegación de competencias que repercuta en la autonomía de la región. Del mismo modo, el Parlament insta al Govern a participar en las actividades de la Unión Europea “</w:t>
      </w:r>
      <w:r w:rsidRPr="00A17C8F">
        <w:rPr>
          <w:i/>
          <w:sz w:val="24"/>
          <w:szCs w:val="24"/>
          <w:lang w:eastAsia="en-US"/>
        </w:rPr>
        <w:t>de manera no inferior a la establecida para los Estados europeos de base federal”</w:t>
      </w:r>
      <w:r w:rsidR="009E5A24">
        <w:rPr>
          <w:sz w:val="24"/>
          <w:szCs w:val="24"/>
          <w:lang w:eastAsia="en-US"/>
        </w:rPr>
        <w:t>.</w:t>
      </w:r>
      <w:r w:rsidRPr="005130D6">
        <w:rPr>
          <w:sz w:val="24"/>
          <w:szCs w:val="24"/>
          <w:lang w:eastAsia="en-US"/>
        </w:rPr>
        <w:t xml:space="preserve"> </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 xml:space="preserve">En esencia esta fase supone el inicio de las reivindicaciones soberanistas de Catalunya desde la aprobación de la Constitución en 1978. No se produce aquí una vulneración del ordenamiento jurídico imperante, ni tan siquiera se amaga con la posibilidad. Sin embargo sí podemos comprobar cómo se deja claro que, por un lado a juicio del Parlament de Catalunya existe un derecho de autodeterminación remarcado </w:t>
      </w:r>
      <w:r w:rsidRPr="005130D6">
        <w:rPr>
          <w:sz w:val="24"/>
          <w:szCs w:val="24"/>
          <w:lang w:eastAsia="en-US"/>
        </w:rPr>
        <w:lastRenderedPageBreak/>
        <w:t>por el contexto internacional y disposiciones como la Declaración Universal de los Derechos Humanos y por otro lado que la Comunidad Autónoma de Catalunya solicita una autonomía mayor, tanto en el plano nacional con la delegación de competencias de titularidad estatal, como en el plano internacional con la participación de la región en la actividad de las instituciones europeas.</w:t>
      </w:r>
    </w:p>
    <w:p w:rsidR="0038777B" w:rsidRPr="005130D6" w:rsidRDefault="0038777B" w:rsidP="00E67EAC">
      <w:pPr>
        <w:spacing w:after="160" w:line="360" w:lineRule="auto"/>
        <w:jc w:val="both"/>
        <w:rPr>
          <w:sz w:val="24"/>
          <w:szCs w:val="24"/>
          <w:lang w:eastAsia="en-US"/>
        </w:rPr>
      </w:pPr>
    </w:p>
    <w:p w:rsidR="0038777B" w:rsidRPr="005130D6" w:rsidRDefault="0038777B" w:rsidP="00E67EAC">
      <w:pPr>
        <w:spacing w:after="160" w:line="360" w:lineRule="auto"/>
        <w:jc w:val="both"/>
        <w:rPr>
          <w:sz w:val="24"/>
          <w:szCs w:val="24"/>
          <w:u w:val="single"/>
          <w:lang w:eastAsia="en-US"/>
        </w:rPr>
      </w:pPr>
      <w:r w:rsidRPr="005130D6">
        <w:rPr>
          <w:sz w:val="24"/>
          <w:szCs w:val="24"/>
          <w:lang w:eastAsia="en-US"/>
        </w:rPr>
        <w:tab/>
      </w:r>
      <w:r w:rsidRPr="005130D6">
        <w:rPr>
          <w:sz w:val="24"/>
          <w:szCs w:val="24"/>
          <w:u w:val="single"/>
          <w:lang w:eastAsia="en-US"/>
        </w:rPr>
        <w:t xml:space="preserve">3.1.2. Segunda etapa; instrumentos para ejercer el derecho a la </w:t>
      </w:r>
      <w:r w:rsidRPr="005130D6">
        <w:rPr>
          <w:sz w:val="24"/>
          <w:szCs w:val="24"/>
          <w:lang w:eastAsia="en-US"/>
        </w:rPr>
        <w:tab/>
      </w:r>
      <w:r w:rsidRPr="005130D6">
        <w:rPr>
          <w:sz w:val="24"/>
          <w:szCs w:val="24"/>
          <w:u w:val="single"/>
          <w:lang w:eastAsia="en-US"/>
        </w:rPr>
        <w:t>autodeterminación</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Encuadramos aquí las resoluciones R. 944/V de 1999 y la R. 1978/VI de 2003. El foco de atención pasa aquí de la existencia de un derecho a decidir a los instrumentos mediante los cuales puede este derecho ejercerse, de modo que se produce un importante salto cualitativo en la voluntad secesionista.</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La R. 944/V</w:t>
      </w:r>
      <w:r w:rsidRPr="005130D6">
        <w:rPr>
          <w:sz w:val="24"/>
          <w:szCs w:val="24"/>
          <w:vertAlign w:val="superscript"/>
          <w:lang w:eastAsia="en-US"/>
        </w:rPr>
        <w:footnoteReference w:id="42"/>
      </w:r>
      <w:r w:rsidRPr="005130D6">
        <w:rPr>
          <w:sz w:val="24"/>
          <w:szCs w:val="24"/>
          <w:lang w:eastAsia="en-US"/>
        </w:rPr>
        <w:t xml:space="preserve"> es breve y directa; manifiesta de forma clara que el pueblo catalán es soberano y que en consecuencia su voluntad mayoritaria es legitimación suficiente para conseguir la independencia por los cauces establecidos en el texto constitucional. Pero esta resolución va un paso más allá, estableciendo en su punto segundo que si es necesario Catalunya regulará “mecanismos específicos” para hacer efectiva esa voluntad democrática mayoritaria del pueblo catalán.</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La R. 1978/VI</w:t>
      </w:r>
      <w:r w:rsidRPr="005130D6">
        <w:rPr>
          <w:sz w:val="24"/>
          <w:szCs w:val="24"/>
          <w:vertAlign w:val="superscript"/>
          <w:lang w:eastAsia="en-US"/>
        </w:rPr>
        <w:footnoteReference w:id="43"/>
      </w:r>
      <w:r w:rsidRPr="005130D6">
        <w:rPr>
          <w:sz w:val="24"/>
          <w:szCs w:val="24"/>
          <w:lang w:eastAsia="en-US"/>
        </w:rPr>
        <w:t xml:space="preserve"> es un claro ejemplo de ese salto cualitativo en la voluntad secesionista al que hacíamos referencia, pues mediante esta resolución el Pleno del Parlament de Catalunya se acuerda presentar una Proposición de Ley Orgánica mediante la que se delegue a la Comunidad Autónoma de Catalunya la potestad de convocar un referéndum de independencia, en colaboración con la Administración del Estado.</w:t>
      </w:r>
    </w:p>
    <w:p w:rsidR="0038777B" w:rsidRPr="005130D6" w:rsidRDefault="0038777B" w:rsidP="00E67EAC">
      <w:pPr>
        <w:spacing w:after="160" w:line="360" w:lineRule="auto"/>
        <w:jc w:val="both"/>
        <w:rPr>
          <w:sz w:val="24"/>
          <w:szCs w:val="24"/>
          <w:lang w:eastAsia="en-US"/>
        </w:rPr>
      </w:pPr>
      <w:r w:rsidRPr="005130D6">
        <w:rPr>
          <w:sz w:val="24"/>
          <w:szCs w:val="24"/>
          <w:lang w:eastAsia="en-US"/>
        </w:rPr>
        <w:lastRenderedPageBreak/>
        <w:tab/>
        <w:t xml:space="preserve"> Encontramos en estas resoluciones una demanda directa por parte del Parlament de Catalunya de celebración de un referéndum pactado con el Estado mediante el cauce legal de la delegación de competencias recogida en el </w:t>
      </w:r>
      <w:r w:rsidR="0002135C">
        <w:rPr>
          <w:sz w:val="24"/>
          <w:szCs w:val="24"/>
          <w:lang w:eastAsia="en-US"/>
        </w:rPr>
        <w:t>art.</w:t>
      </w:r>
      <w:r w:rsidRPr="005130D6">
        <w:rPr>
          <w:sz w:val="24"/>
          <w:szCs w:val="24"/>
          <w:lang w:eastAsia="en-US"/>
        </w:rPr>
        <w:t xml:space="preserve"> 150.2 de la Constitución de 1978, lo cual en principio no supone una ruptura del orden constitucional. No obstante, sí se produce una pequeña grieta en el ordenamiento jurídico cuando en el punto segundo de la R. 944/V se establece que, en caso de ser necesario, el Parlament instrumentará “mecanismos específicos” para la traslación de la voluntad del pueblo catalán al plano material. Abre así por tanto el Parlament la posibilidad de una secesión unilateral, apartada de los procedimientos constitucionales y de la legalidad, una secesión “de facto”.</w:t>
      </w:r>
    </w:p>
    <w:p w:rsidR="0038777B" w:rsidRPr="005130D6" w:rsidRDefault="0038777B" w:rsidP="00E67EAC">
      <w:pPr>
        <w:spacing w:after="160" w:line="360" w:lineRule="auto"/>
        <w:jc w:val="both"/>
        <w:rPr>
          <w:sz w:val="24"/>
          <w:szCs w:val="24"/>
          <w:lang w:eastAsia="en-US"/>
        </w:rPr>
      </w:pPr>
    </w:p>
    <w:p w:rsidR="0038777B" w:rsidRPr="005130D6" w:rsidRDefault="0038777B" w:rsidP="00E67EAC">
      <w:pPr>
        <w:spacing w:after="160" w:line="360" w:lineRule="auto"/>
        <w:jc w:val="both"/>
        <w:rPr>
          <w:sz w:val="24"/>
          <w:szCs w:val="24"/>
          <w:u w:val="single"/>
          <w:lang w:eastAsia="en-US"/>
        </w:rPr>
      </w:pPr>
      <w:r w:rsidRPr="005130D6">
        <w:rPr>
          <w:sz w:val="24"/>
          <w:szCs w:val="24"/>
          <w:lang w:eastAsia="en-US"/>
        </w:rPr>
        <w:tab/>
      </w:r>
      <w:r w:rsidRPr="005130D6">
        <w:rPr>
          <w:sz w:val="24"/>
          <w:szCs w:val="24"/>
          <w:u w:val="single"/>
          <w:lang w:eastAsia="en-US"/>
        </w:rPr>
        <w:t>3.1.3. Tercera etapa; reivindicación de la ejecución del derecho a decidir</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Esta última etapa previa al referéndum de independencia realizado en 2014 está formada por la R. 631/VIII de 2010, la R. 6/IX de 2011, y las R. 742/IX de 2012, 5/X de 2013, y 17/X de 2013. Aquí desaparece toda abstracción y se exige el ejercicio práctico del derecho a decidir en una corta extensión temporal.</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Mediante la R. 631/VIII</w:t>
      </w:r>
      <w:r w:rsidRPr="005130D6">
        <w:rPr>
          <w:sz w:val="24"/>
          <w:szCs w:val="24"/>
          <w:vertAlign w:val="superscript"/>
          <w:lang w:eastAsia="en-US"/>
        </w:rPr>
        <w:footnoteReference w:id="44"/>
      </w:r>
      <w:r w:rsidRPr="005130D6">
        <w:rPr>
          <w:sz w:val="24"/>
          <w:szCs w:val="24"/>
          <w:lang w:eastAsia="en-US"/>
        </w:rPr>
        <w:t>, adoptada por la Comissió d’Afers Institucionals (Comisión de Asuntos Institucionales), se produce una ratificación de la vigencia de otras resoluciones ya analizadas (98/III y 679/V) en relación al derecho de autodeterminación, y se otorga cierto reconocimiento a las consultas independentistas realizadas en algunos municipios entre diciembre de 2009 y febrero de 2010. El Parlament reafirma mediante esta resolución su voluntad de emplear todos los mecanismos jurídicos (y políticos) necesarios para que el pueblo de Catalunya pueda expresar su derecho a decidir.</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La R. 6/IX</w:t>
      </w:r>
      <w:r w:rsidRPr="005130D6">
        <w:rPr>
          <w:sz w:val="24"/>
          <w:szCs w:val="24"/>
          <w:vertAlign w:val="superscript"/>
          <w:lang w:eastAsia="en-US"/>
        </w:rPr>
        <w:footnoteReference w:id="45"/>
      </w:r>
      <w:r w:rsidRPr="005130D6">
        <w:rPr>
          <w:sz w:val="24"/>
          <w:szCs w:val="24"/>
          <w:lang w:eastAsia="en-US"/>
        </w:rPr>
        <w:t xml:space="preserve"> no alude de forma directa a la autodeterminación, sino que solicita la participación de Catalunya en la actividad europea (concretamente en la aplicación </w:t>
      </w:r>
      <w:r w:rsidRPr="005130D6">
        <w:rPr>
          <w:sz w:val="24"/>
          <w:szCs w:val="24"/>
          <w:lang w:eastAsia="en-US"/>
        </w:rPr>
        <w:lastRenderedPageBreak/>
        <w:t>del principio de subsidiariedad) por considerarse afectada por sus decisiones. Se trata de una petición ya formulada en 1998 mediante la R. 679/V.</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En la R. 742/IX</w:t>
      </w:r>
      <w:r w:rsidRPr="005130D6">
        <w:rPr>
          <w:sz w:val="24"/>
          <w:szCs w:val="24"/>
          <w:vertAlign w:val="superscript"/>
          <w:lang w:eastAsia="en-US"/>
        </w:rPr>
        <w:footnoteReference w:id="46"/>
      </w:r>
      <w:r w:rsidRPr="005130D6">
        <w:rPr>
          <w:sz w:val="24"/>
          <w:szCs w:val="24"/>
          <w:lang w:eastAsia="en-US"/>
        </w:rPr>
        <w:t xml:space="preserve"> se evidencia la importancia del proceso soberanista para las instituciones catalanas, y es que el primer punto de esta resolución sobre la orientación política del Govern va referido al derecho de autodeterminación (se prioriza de este modo ante cuestiones como la economía, la educación o la cultura). Precisando aún más, el conjunto del texto está plagado de referencias a la autodeterminación, desde referencias al “expolio fiscal” que según el Parlament lleva a cabo la Administración estatal sobre la catalana hasta la necesidad de trabajar internacionalmente para establecer lazos entre Catalunya (a la que define como “nou Estat d’Europa”, nuevo Estado de Europa) y la comunidad internacional.</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La R. 5/X</w:t>
      </w:r>
      <w:r w:rsidRPr="005130D6">
        <w:rPr>
          <w:sz w:val="24"/>
          <w:szCs w:val="24"/>
          <w:vertAlign w:val="superscript"/>
          <w:lang w:eastAsia="en-US"/>
        </w:rPr>
        <w:footnoteReference w:id="47"/>
      </w:r>
      <w:r w:rsidRPr="005130D6">
        <w:rPr>
          <w:sz w:val="24"/>
          <w:szCs w:val="24"/>
          <w:lang w:eastAsia="en-US"/>
        </w:rPr>
        <w:t xml:space="preserve"> realiza un desarrollo histórico muy pormenorizado de la “voluntad democrática de autodeterminación del pueblo catalán” (hace referencia a la creación de la Generalitat en el siglo XIV, la creación de la Mancomunidad de Catalunya en 1914 y el Estatut d’Autonomia de 1979) para finalizar instando a los ciudadanos de Catalunya para que sean “protagonistas del proceso democrático y del ejercicio del derecho a decidir”.</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La R. 17/X</w:t>
      </w:r>
      <w:r w:rsidRPr="005130D6">
        <w:rPr>
          <w:sz w:val="24"/>
          <w:szCs w:val="24"/>
          <w:vertAlign w:val="superscript"/>
          <w:lang w:eastAsia="en-US"/>
        </w:rPr>
        <w:footnoteReference w:id="48"/>
      </w:r>
      <w:r w:rsidRPr="005130D6">
        <w:rPr>
          <w:sz w:val="24"/>
          <w:szCs w:val="24"/>
          <w:lang w:eastAsia="en-US"/>
        </w:rPr>
        <w:t xml:space="preserve"> insta al diálogo entre Govern y Estado para que se pueda celebrar una consulta en la que el pueblo de Catalunya decida su futuro. Intención que reitera con fuerza en la R. 479/X</w:t>
      </w:r>
      <w:r w:rsidRPr="005130D6">
        <w:rPr>
          <w:sz w:val="24"/>
          <w:szCs w:val="24"/>
          <w:vertAlign w:val="superscript"/>
          <w:lang w:eastAsia="en-US"/>
        </w:rPr>
        <w:footnoteReference w:id="49"/>
      </w:r>
      <w:r w:rsidRPr="005130D6">
        <w:rPr>
          <w:sz w:val="24"/>
          <w:szCs w:val="24"/>
          <w:lang w:eastAsia="en-US"/>
        </w:rPr>
        <w:t xml:space="preserve">, que persigue la delegación de competencias para la </w:t>
      </w:r>
      <w:r w:rsidRPr="005130D6">
        <w:rPr>
          <w:sz w:val="24"/>
          <w:szCs w:val="24"/>
          <w:lang w:eastAsia="en-US"/>
        </w:rPr>
        <w:lastRenderedPageBreak/>
        <w:t>realización de un referéndum en el que el pueblo de Catalunya decida su futuro, realizado y gestionado por el Govern antes de la finalización del año 2014.</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Con estas resoluciones se evidencia la tensión de las relaciones entre Catalunya y el Estado español, ya que el Parlament afirma que hará uso de todos los mecanismos jurídicos y también políticos para ejercer el derecho a la autodeterminación, lo que supone una referencia mucho más clara a una secesión unilateral que la realizada anteriormente. Se evidencia igualmente la importancia del derecho a decidir para el Parlament de Catalunya, que en sus indicaciones anuales da prioridad a este aspecto ante cuestiones trascendentales para la sociedad catalana como puede ser la económica. Si bien es cierto que se vuelve a apelar al diálogo entre las instituciones catalanas y las del Estado para hacer posible un referéndum pactado, a más no tardar de un año.</w:t>
      </w:r>
    </w:p>
    <w:p w:rsidR="0038777B" w:rsidRPr="005130D6" w:rsidRDefault="0038777B" w:rsidP="00E67EAC">
      <w:pPr>
        <w:spacing w:after="160" w:line="360" w:lineRule="auto"/>
        <w:jc w:val="both"/>
        <w:rPr>
          <w:sz w:val="24"/>
          <w:szCs w:val="24"/>
          <w:lang w:eastAsia="en-US"/>
        </w:rPr>
      </w:pPr>
    </w:p>
    <w:p w:rsidR="0038777B" w:rsidRPr="005130D6" w:rsidRDefault="0038777B" w:rsidP="007465D1">
      <w:pPr>
        <w:spacing w:after="160" w:line="360" w:lineRule="auto"/>
        <w:ind w:firstLine="708"/>
        <w:jc w:val="both"/>
        <w:outlineLvl w:val="0"/>
        <w:rPr>
          <w:b/>
          <w:sz w:val="24"/>
          <w:szCs w:val="24"/>
          <w:lang w:eastAsia="en-US"/>
        </w:rPr>
      </w:pPr>
      <w:r w:rsidRPr="005130D6">
        <w:rPr>
          <w:b/>
          <w:sz w:val="24"/>
          <w:szCs w:val="24"/>
          <w:lang w:eastAsia="en-US"/>
        </w:rPr>
        <w:t>3.2. El referéndum de 2014</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La intención de la Generalitat de Catalunya de convocar una consulta por la independencia queda patente en las resoluciones analizadas con anterioridad. De este modo, el 9 de noviembre de 2014 se realizó un pseudoreferéndum (“consulta popular no referendaria sobre el futuro político de Catalunya”, según la Generalitat) con las siguientes preguntas: “¿Quiere que Catalunya sea un Estado?” y “En caso afirmativo, ¿quiere que este Estado sea independiente?”. Así las cosas, conviene analizar los antecedentes de esta consulta y el marco legal en la que se desarrolló.</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 xml:space="preserve">Ya en 2012 los partidos políticos proclives a la independencia (a saber, Convergència i Unió, Esquerra Republicana de Catalunya y Candidatura d’ Unitat Popular) acordaron tras las elecciones autonómicas realizar un referéndum para decidir el futuro de Catalunya antes de que finalizara la legislatura. Con este fin se aprueba en el Parlament la Ley 10/2014, de 26 de septiembre, de consultas populares no referendarias y otras formas de participación ciudadana (parcialmente derogada por el Tribunal Constitucional, cuestión que será analizada en profundidad en el Capítulo X de esta obra) y, posteriormente, el Decreto 129/2014, de 27 de septiembre, de convocatoria </w:t>
      </w:r>
      <w:r w:rsidRPr="005130D6">
        <w:rPr>
          <w:sz w:val="24"/>
          <w:szCs w:val="24"/>
          <w:lang w:eastAsia="en-US"/>
        </w:rPr>
        <w:lastRenderedPageBreak/>
        <w:t>de la consulta popular no referendaria sobre el futuro político de Cataluña (igualmente derogado).</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La Ley 10/2014 de consultas catalana</w:t>
      </w:r>
      <w:r w:rsidRPr="005130D6">
        <w:rPr>
          <w:sz w:val="24"/>
          <w:szCs w:val="24"/>
          <w:vertAlign w:val="superscript"/>
          <w:lang w:eastAsia="en-US"/>
        </w:rPr>
        <w:footnoteReference w:id="50"/>
      </w:r>
      <w:r w:rsidRPr="005130D6">
        <w:rPr>
          <w:sz w:val="24"/>
          <w:szCs w:val="24"/>
          <w:lang w:eastAsia="en-US"/>
        </w:rPr>
        <w:t xml:space="preserve"> tiene como objeto el procedimiento, la realización y la convocatoria de los mecanismos de las consultas populares no referendarias y otras formas y mecanismos de participación ciudadana en el ámbito de la Generalitat, en base a los principios de información, deliberación, valoración de propuestas, evaluación y rendición de cuentas. El </w:t>
      </w:r>
      <w:r w:rsidR="0002135C">
        <w:rPr>
          <w:sz w:val="24"/>
          <w:szCs w:val="24"/>
          <w:lang w:eastAsia="en-US"/>
        </w:rPr>
        <w:t>art.</w:t>
      </w:r>
      <w:r w:rsidRPr="005130D6">
        <w:rPr>
          <w:sz w:val="24"/>
          <w:szCs w:val="24"/>
          <w:lang w:eastAsia="en-US"/>
        </w:rPr>
        <w:t xml:space="preserve"> 3 de esta Ley define la consulta popular no referendaria como “convocatoria efectuada por las autoridades competentes […] a las personas legitimadas en cada caso para que manifiesten su opinión sobre una determinada actuación, decisión o política pública, mediante votación”, por lo que en principio esta norma regula auténticos referéndums sin fuerza vinculante.  La Ley es bastante minuciosa y deja poco margen a la interpretación.</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Tanto de la exposición de motivos como del articulado de la Ley 10/2014 de consultas catalana se deduce que el procedimiento a seguir para la convocatoria de una de estas consultas finaliza con un decreto. Así, la Presidencia de la Generalitat convoca el referéndum para el 9 de noviembre de 2014 mediante el Decreto 129/2014 de convocatoria de la consulta popular no referendaria sobre el futuro político de Cataluña</w:t>
      </w:r>
      <w:r w:rsidRPr="005130D6">
        <w:rPr>
          <w:sz w:val="24"/>
          <w:szCs w:val="24"/>
          <w:vertAlign w:val="superscript"/>
          <w:lang w:eastAsia="en-US"/>
        </w:rPr>
        <w:footnoteReference w:id="51"/>
      </w:r>
      <w:r w:rsidRPr="005130D6">
        <w:rPr>
          <w:sz w:val="24"/>
          <w:szCs w:val="24"/>
          <w:lang w:eastAsia="en-US"/>
        </w:rPr>
        <w:t>. Este Decreto toma como bases la Ley 10/2014 de consultas catalana y la R. 5/X, de 23 de enero de 2013, del Parlament de Catalunya, que enunciaba la intención del Parlament de iniciar un proceso en el cual los ciudadanos de Catalunya pudieran decidir libremente su futuro, para la realización de la ya citada consulta. Más allá de la convocatoria de la consulta, el Decreto contiene las preguntas, así como las personas llamadas a participar en ella (“quienes ostenten la condición política de catalanes”).</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 xml:space="preserve">El Parlament (mediante la Ley) y el Govern (mediante el Decreto) avanzan un paso más en la ruptura con el Estado español al instruir una consulta en la que se pregunta a los ciudadanos si desean que Catalunya se convierta en un Estado, y de ser </w:t>
      </w:r>
      <w:r w:rsidRPr="005130D6">
        <w:rPr>
          <w:sz w:val="24"/>
          <w:szCs w:val="24"/>
          <w:lang w:eastAsia="en-US"/>
        </w:rPr>
        <w:lastRenderedPageBreak/>
        <w:t xml:space="preserve">así si este Estado debería ser independiente. El mayor argumento empleado por las instituciones catalanas para dotar este referéndum catalán de legalidad es el contenido del </w:t>
      </w:r>
      <w:r w:rsidR="0002135C">
        <w:rPr>
          <w:sz w:val="24"/>
          <w:szCs w:val="24"/>
          <w:lang w:eastAsia="en-US"/>
        </w:rPr>
        <w:t>art.</w:t>
      </w:r>
      <w:r w:rsidRPr="005130D6">
        <w:rPr>
          <w:sz w:val="24"/>
          <w:szCs w:val="24"/>
          <w:lang w:eastAsia="en-US"/>
        </w:rPr>
        <w:t xml:space="preserve"> 122 del Estatuto de Autonomía de Catalunya de 2006</w:t>
      </w:r>
      <w:r w:rsidRPr="005130D6">
        <w:rPr>
          <w:sz w:val="24"/>
          <w:szCs w:val="24"/>
          <w:vertAlign w:val="superscript"/>
          <w:lang w:eastAsia="en-US"/>
        </w:rPr>
        <w:footnoteReference w:id="52"/>
      </w:r>
      <w:r w:rsidRPr="005130D6">
        <w:rPr>
          <w:sz w:val="24"/>
          <w:szCs w:val="24"/>
          <w:lang w:eastAsia="en-US"/>
        </w:rPr>
        <w:t xml:space="preserve">, que declara como competencia exclusiva de la Comunidad Autónoma el establecimiento y convocatoria de consultas populares a excepción de los referéndums. </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 xml:space="preserve">Realmente la Ley 10/2014, aunque completa, refleja muchas carencias, y es que un rápido análisis tanto de su articulado como del momento de su aprobación (al mismo tiempo que el Decreto de convocatoria de consulta del referéndum del 9 de noviembre) evidencia que se trata de una ley “ad hoc”, creada únicamente para poder realizar con una cierta base legal la consulta independentista. No es labor de este trabajo entrar a valorar los efectos que tuvo la consulta, no obstante sí podemos afirmar, de acuerdo al </w:t>
      </w:r>
      <w:r w:rsidR="0002135C">
        <w:rPr>
          <w:sz w:val="24"/>
          <w:szCs w:val="24"/>
          <w:lang w:eastAsia="en-US"/>
        </w:rPr>
        <w:t>art.</w:t>
      </w:r>
      <w:r w:rsidRPr="005130D6">
        <w:rPr>
          <w:sz w:val="24"/>
          <w:szCs w:val="24"/>
          <w:lang w:eastAsia="en-US"/>
        </w:rPr>
        <w:t xml:space="preserve"> 92.1 de la Constitución Española, que una consulta de este tipo tiene meramente efectos consultivos.</w:t>
      </w:r>
    </w:p>
    <w:p w:rsidR="0038777B" w:rsidRPr="005130D6" w:rsidRDefault="0038777B" w:rsidP="00E67EAC">
      <w:pPr>
        <w:spacing w:after="160" w:line="360" w:lineRule="auto"/>
        <w:jc w:val="both"/>
        <w:rPr>
          <w:sz w:val="24"/>
          <w:szCs w:val="24"/>
          <w:lang w:eastAsia="en-US"/>
        </w:rPr>
      </w:pPr>
    </w:p>
    <w:p w:rsidR="0038777B" w:rsidRPr="005130D6" w:rsidRDefault="0038777B" w:rsidP="007465D1">
      <w:pPr>
        <w:spacing w:after="160" w:line="360" w:lineRule="auto"/>
        <w:ind w:firstLine="708"/>
        <w:jc w:val="both"/>
        <w:outlineLvl w:val="0"/>
        <w:rPr>
          <w:b/>
          <w:sz w:val="24"/>
          <w:szCs w:val="24"/>
          <w:lang w:eastAsia="en-US"/>
        </w:rPr>
      </w:pPr>
      <w:r w:rsidRPr="005130D6">
        <w:rPr>
          <w:b/>
          <w:sz w:val="24"/>
          <w:szCs w:val="24"/>
          <w:lang w:eastAsia="en-US"/>
        </w:rPr>
        <w:t>3.3. El secesionismo en la actividad reciente de las instituciones catalanas</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La labor de las instituciones catalanas en la persecución de la independencia se ha intensificado durante los últimos años, especialmente durante el inicio de la XI Legislatura (2015). Así lo evidencian algunas resoluciones. No obstante, la labor de las instituciones catalanas no se ha visto reducida a la mera emisión de resoluciones sino que, como ya sucediera con el referéndum de 2014, han legislado en  dirección a la independencia, asignando incluso partidas presupuestarias al efecto.</w:t>
      </w:r>
    </w:p>
    <w:p w:rsidR="0038777B" w:rsidRPr="005130D6" w:rsidRDefault="0038777B" w:rsidP="00E67EAC">
      <w:pPr>
        <w:tabs>
          <w:tab w:val="left" w:pos="708"/>
          <w:tab w:val="left" w:pos="1416"/>
          <w:tab w:val="left" w:pos="2124"/>
          <w:tab w:val="left" w:pos="2832"/>
          <w:tab w:val="left" w:pos="3540"/>
          <w:tab w:val="left" w:pos="4248"/>
          <w:tab w:val="left" w:pos="4956"/>
          <w:tab w:val="left" w:pos="5664"/>
          <w:tab w:val="left" w:pos="7035"/>
        </w:tabs>
        <w:spacing w:after="160" w:line="360" w:lineRule="auto"/>
        <w:jc w:val="both"/>
        <w:rPr>
          <w:sz w:val="24"/>
          <w:szCs w:val="24"/>
          <w:lang w:eastAsia="en-US"/>
        </w:rPr>
      </w:pPr>
      <w:r w:rsidRPr="005130D6">
        <w:rPr>
          <w:sz w:val="24"/>
          <w:szCs w:val="24"/>
          <w:lang w:eastAsia="en-US"/>
        </w:rPr>
        <w:tab/>
      </w:r>
      <w:r w:rsidRPr="005130D6">
        <w:rPr>
          <w:sz w:val="24"/>
          <w:szCs w:val="24"/>
          <w:u w:val="single"/>
          <w:lang w:eastAsia="en-US"/>
        </w:rPr>
        <w:t>3.3.1. Resoluciones recientes del Parlament de Catalunya</w:t>
      </w:r>
    </w:p>
    <w:p w:rsidR="0038777B" w:rsidRPr="005130D6" w:rsidRDefault="0038777B" w:rsidP="00E67EAC">
      <w:pPr>
        <w:tabs>
          <w:tab w:val="left" w:pos="708"/>
          <w:tab w:val="left" w:pos="1416"/>
          <w:tab w:val="left" w:pos="2124"/>
          <w:tab w:val="left" w:pos="2832"/>
          <w:tab w:val="left" w:pos="3540"/>
          <w:tab w:val="left" w:pos="4248"/>
          <w:tab w:val="left" w:pos="4956"/>
          <w:tab w:val="left" w:pos="5664"/>
          <w:tab w:val="left" w:pos="7035"/>
        </w:tabs>
        <w:spacing w:after="160" w:line="360" w:lineRule="auto"/>
        <w:jc w:val="both"/>
        <w:rPr>
          <w:sz w:val="24"/>
          <w:szCs w:val="24"/>
          <w:lang w:eastAsia="en-US"/>
        </w:rPr>
      </w:pPr>
      <w:r w:rsidRPr="005130D6">
        <w:rPr>
          <w:sz w:val="24"/>
          <w:szCs w:val="24"/>
          <w:lang w:eastAsia="en-US"/>
        </w:rPr>
        <w:tab/>
        <w:t>Durante las legislaturas X y XI se han producido varias resoluciones parlamentarias con contenido secesionista, una de ellas de especial importancia. Así, encontramos la R. 1129/X de 2015, la R. I/XI de 2015 y la R. 306/XI de 2016.</w:t>
      </w:r>
    </w:p>
    <w:p w:rsidR="0038777B" w:rsidRPr="005130D6" w:rsidRDefault="0038777B" w:rsidP="00E67EAC">
      <w:pPr>
        <w:tabs>
          <w:tab w:val="left" w:pos="708"/>
          <w:tab w:val="left" w:pos="1416"/>
          <w:tab w:val="left" w:pos="2124"/>
          <w:tab w:val="left" w:pos="2832"/>
          <w:tab w:val="left" w:pos="3540"/>
          <w:tab w:val="left" w:pos="4248"/>
          <w:tab w:val="left" w:pos="4956"/>
          <w:tab w:val="left" w:pos="5664"/>
          <w:tab w:val="left" w:pos="7035"/>
        </w:tabs>
        <w:spacing w:after="160" w:line="360" w:lineRule="auto"/>
        <w:jc w:val="both"/>
        <w:rPr>
          <w:sz w:val="24"/>
          <w:szCs w:val="24"/>
          <w:lang w:eastAsia="en-US"/>
        </w:rPr>
      </w:pPr>
      <w:r w:rsidRPr="005130D6">
        <w:rPr>
          <w:sz w:val="24"/>
          <w:szCs w:val="24"/>
          <w:lang w:eastAsia="en-US"/>
        </w:rPr>
        <w:lastRenderedPageBreak/>
        <w:tab/>
        <w:t>La R. 1129/X</w:t>
      </w:r>
      <w:r w:rsidRPr="005130D6">
        <w:rPr>
          <w:sz w:val="24"/>
          <w:szCs w:val="24"/>
          <w:vertAlign w:val="superscript"/>
          <w:lang w:eastAsia="en-US"/>
        </w:rPr>
        <w:footnoteReference w:id="53"/>
      </w:r>
      <w:r w:rsidRPr="005130D6">
        <w:rPr>
          <w:sz w:val="24"/>
          <w:szCs w:val="24"/>
          <w:lang w:eastAsia="en-US"/>
        </w:rPr>
        <w:t xml:space="preserve"> constituye un cortés agradecimiento al Parlamento de Dinamarca por su acuerdo en el que destaca el interés de la nación danesa en el respeto a los derechos de los catalanes y el en proceso de independencia de Catalunya. El Parlament aprovecha esta resolución para resaltar el carácter internacional del proceso de secesión, e insta una vez más al diálogo entre el Estado y la Comunidad Autónoma para dar una salida democrática al conflicto.</w:t>
      </w:r>
    </w:p>
    <w:p w:rsidR="0038777B" w:rsidRPr="005130D6" w:rsidRDefault="0038777B" w:rsidP="00E67EAC">
      <w:pPr>
        <w:tabs>
          <w:tab w:val="left" w:pos="708"/>
          <w:tab w:val="left" w:pos="1416"/>
          <w:tab w:val="left" w:pos="2124"/>
          <w:tab w:val="left" w:pos="2832"/>
          <w:tab w:val="left" w:pos="3540"/>
          <w:tab w:val="left" w:pos="4248"/>
          <w:tab w:val="left" w:pos="4956"/>
          <w:tab w:val="left" w:pos="5664"/>
          <w:tab w:val="left" w:pos="7035"/>
        </w:tabs>
        <w:spacing w:after="160" w:line="360" w:lineRule="auto"/>
        <w:jc w:val="both"/>
        <w:rPr>
          <w:sz w:val="24"/>
          <w:szCs w:val="24"/>
          <w:lang w:eastAsia="en-US"/>
        </w:rPr>
      </w:pPr>
      <w:r w:rsidRPr="005130D6">
        <w:rPr>
          <w:sz w:val="24"/>
          <w:szCs w:val="24"/>
          <w:lang w:eastAsia="en-US"/>
        </w:rPr>
        <w:tab/>
        <w:t>Mucho más interesante se antoja la R. I/XI</w:t>
      </w:r>
      <w:r w:rsidRPr="005130D6">
        <w:rPr>
          <w:sz w:val="24"/>
          <w:szCs w:val="24"/>
          <w:vertAlign w:val="superscript"/>
          <w:lang w:eastAsia="en-US"/>
        </w:rPr>
        <w:footnoteReference w:id="54"/>
      </w:r>
      <w:r w:rsidRPr="005130D6">
        <w:rPr>
          <w:sz w:val="24"/>
          <w:szCs w:val="24"/>
          <w:lang w:eastAsia="en-US"/>
        </w:rPr>
        <w:t>, tanto por su contenido como por su simbolismo, y es que esta es la primera resolución de la XI Legislatura desde el restablecimiento de la democracia, por lo que el Parlament catalán realiza toda una declaración de intenciones sobre el curso que tomará esa legislatura (para muchos, “la legislatura de la independencia”). Pasando a analizar su contenido, encontramos una resolución amplia, que analiza los resultados de las elecciones autonómicas del 27 de septiembre de 2015 y en base a ellos declara de forma solemne “el inicio de creación de un Estado catalán independiente en forma de república”. El texto rezuma especial dureza en su punto sexto, donde anuncia que este proceso no se supeditará a ninguna institución del Estado español (“especialmente el Tribunal Constitucional”).</w:t>
      </w:r>
    </w:p>
    <w:p w:rsidR="0038777B" w:rsidRPr="005130D6" w:rsidRDefault="0038777B" w:rsidP="00E67EAC">
      <w:pPr>
        <w:tabs>
          <w:tab w:val="left" w:pos="708"/>
          <w:tab w:val="left" w:pos="1416"/>
          <w:tab w:val="left" w:pos="2124"/>
          <w:tab w:val="left" w:pos="2832"/>
          <w:tab w:val="left" w:pos="3540"/>
          <w:tab w:val="left" w:pos="4248"/>
          <w:tab w:val="left" w:pos="4956"/>
          <w:tab w:val="left" w:pos="5664"/>
          <w:tab w:val="left" w:pos="7035"/>
        </w:tabs>
        <w:spacing w:after="160" w:line="360" w:lineRule="auto"/>
        <w:jc w:val="both"/>
        <w:rPr>
          <w:sz w:val="24"/>
          <w:szCs w:val="24"/>
          <w:lang w:eastAsia="en-US"/>
        </w:rPr>
      </w:pPr>
      <w:r w:rsidRPr="005130D6">
        <w:rPr>
          <w:sz w:val="24"/>
          <w:szCs w:val="24"/>
          <w:lang w:eastAsia="en-US"/>
        </w:rPr>
        <w:tab/>
        <w:t>Otra muestra del ánimo secesionista del Parlament la apreciamos en las indicaciones que anualmente da el Parlament al Govern de la Generalitat (una referencia clásica al secesionismo), particularmente mediante la R. 306/XI</w:t>
      </w:r>
      <w:r w:rsidRPr="005130D6">
        <w:rPr>
          <w:sz w:val="24"/>
          <w:szCs w:val="24"/>
          <w:vertAlign w:val="superscript"/>
          <w:lang w:eastAsia="en-US"/>
        </w:rPr>
        <w:footnoteReference w:id="55"/>
      </w:r>
      <w:r w:rsidRPr="005130D6">
        <w:rPr>
          <w:sz w:val="24"/>
          <w:szCs w:val="24"/>
          <w:lang w:eastAsia="en-US"/>
        </w:rPr>
        <w:t>. Esta resolución está copada en gran medida por las exigencias de un referéndum y la creación de unos pilares en los que se basará el futuro Estado catalán. Especial hincapié merece la expansión internacional que el Parlament busca de Catalunya, expansión que se está llevando a cabo mediante la apertura de delegaciones y oficinas comerciales en importantes ciudades europeas y mundiales (esta cuestión será tratada posteriormente).</w:t>
      </w:r>
    </w:p>
    <w:p w:rsidR="0038777B" w:rsidRPr="005130D6" w:rsidRDefault="0038777B" w:rsidP="00E67EAC">
      <w:pPr>
        <w:tabs>
          <w:tab w:val="left" w:pos="708"/>
          <w:tab w:val="left" w:pos="1416"/>
          <w:tab w:val="left" w:pos="2124"/>
          <w:tab w:val="left" w:pos="2832"/>
          <w:tab w:val="left" w:pos="3540"/>
          <w:tab w:val="left" w:pos="4248"/>
          <w:tab w:val="left" w:pos="4956"/>
          <w:tab w:val="left" w:pos="5664"/>
          <w:tab w:val="left" w:pos="7035"/>
        </w:tabs>
        <w:spacing w:after="160" w:line="360" w:lineRule="auto"/>
        <w:jc w:val="both"/>
        <w:rPr>
          <w:sz w:val="24"/>
          <w:szCs w:val="24"/>
          <w:lang w:eastAsia="en-US"/>
        </w:rPr>
      </w:pPr>
      <w:r w:rsidRPr="005130D6">
        <w:rPr>
          <w:sz w:val="24"/>
          <w:szCs w:val="24"/>
          <w:lang w:eastAsia="en-US"/>
        </w:rPr>
        <w:lastRenderedPageBreak/>
        <w:tab/>
        <w:t>Estas últimas resoluciones resaltan el punto de no retorno en el que se sitúan las instituciones catalanas y españolas. La situación avanza más allá de la solicitud de un referéndum, pues se enuncia la voluntad de las instituciones catalanas de continuar con el proceso independentista haciendo caso omiso a los dictámenes del Estado español, con un importante matiz: “especialmente del Tribunal Constitucional”. Esto tiene un claro significado; el Parlament catalán es claramente consciente tanto de las potestades del Tribunal Constitucional como de sus actuaciones previas, y no está dispuesto a que interfiera en el proceso que se está desarrollando en la Comunidad catalana, aunque esto suponga incurrir en desobediencia.</w:t>
      </w:r>
    </w:p>
    <w:p w:rsidR="0038777B" w:rsidRPr="005130D6" w:rsidRDefault="0038777B" w:rsidP="00E67EAC">
      <w:pPr>
        <w:tabs>
          <w:tab w:val="left" w:pos="708"/>
          <w:tab w:val="left" w:pos="1416"/>
          <w:tab w:val="left" w:pos="2124"/>
          <w:tab w:val="left" w:pos="2832"/>
          <w:tab w:val="left" w:pos="3540"/>
          <w:tab w:val="left" w:pos="4248"/>
          <w:tab w:val="left" w:pos="4956"/>
          <w:tab w:val="left" w:pos="5664"/>
          <w:tab w:val="left" w:pos="7035"/>
        </w:tabs>
        <w:spacing w:after="160" w:line="360" w:lineRule="auto"/>
        <w:jc w:val="both"/>
        <w:rPr>
          <w:sz w:val="24"/>
          <w:szCs w:val="24"/>
          <w:lang w:eastAsia="en-US"/>
        </w:rPr>
      </w:pPr>
      <w:r w:rsidRPr="005130D6">
        <w:rPr>
          <w:sz w:val="24"/>
          <w:szCs w:val="24"/>
          <w:lang w:eastAsia="en-US"/>
        </w:rPr>
        <w:tab/>
        <w:t xml:space="preserve">Observamos también el abandono del Parlament de las referencias secesionistas en sus resoluciones, lo cual no es sino una muestra de que su actuación se ha trasladado al plano legislativo. </w:t>
      </w:r>
    </w:p>
    <w:p w:rsidR="0038777B" w:rsidRPr="005130D6" w:rsidRDefault="0038777B" w:rsidP="00E67EAC">
      <w:pPr>
        <w:tabs>
          <w:tab w:val="left" w:pos="708"/>
          <w:tab w:val="left" w:pos="1416"/>
          <w:tab w:val="left" w:pos="2124"/>
          <w:tab w:val="left" w:pos="2832"/>
          <w:tab w:val="left" w:pos="3540"/>
          <w:tab w:val="left" w:pos="4248"/>
          <w:tab w:val="left" w:pos="4956"/>
          <w:tab w:val="left" w:pos="5664"/>
          <w:tab w:val="left" w:pos="7035"/>
        </w:tabs>
        <w:spacing w:after="160" w:line="360" w:lineRule="auto"/>
        <w:jc w:val="both"/>
        <w:rPr>
          <w:sz w:val="24"/>
          <w:szCs w:val="24"/>
          <w:lang w:eastAsia="en-US"/>
        </w:rPr>
      </w:pPr>
    </w:p>
    <w:p w:rsidR="0038777B" w:rsidRPr="005130D6" w:rsidRDefault="0038777B" w:rsidP="00E67EAC">
      <w:pPr>
        <w:spacing w:after="160" w:line="360" w:lineRule="auto"/>
        <w:jc w:val="both"/>
        <w:rPr>
          <w:sz w:val="24"/>
          <w:szCs w:val="24"/>
          <w:u w:val="single"/>
          <w:lang w:eastAsia="en-US"/>
        </w:rPr>
      </w:pPr>
      <w:r w:rsidRPr="005130D6">
        <w:rPr>
          <w:sz w:val="24"/>
          <w:szCs w:val="24"/>
          <w:lang w:eastAsia="en-US"/>
        </w:rPr>
        <w:tab/>
      </w:r>
      <w:r w:rsidRPr="005130D6">
        <w:rPr>
          <w:sz w:val="24"/>
          <w:szCs w:val="24"/>
          <w:u w:val="single"/>
          <w:lang w:eastAsia="en-US"/>
        </w:rPr>
        <w:t>3.3.2. Legislación autodeterminista</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Como hemos mencionado, la actividad secesionista se ha trasladado al plano legislativo, mediante el aumento de presencia en el exterior, la asignación presupuestaria al referéndum de independencia, y la tramitación de las “leyes de desconexión” (Hacienda, Seguridad Social y Transitoriedad Jurídica).</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Especial alusión merecen los convulsos presupuestos para el ejercicio actual, 2017. Estos presupuestos, aprobados mediante la Llei 4/2017</w:t>
      </w:r>
      <w:r w:rsidRPr="005130D6">
        <w:rPr>
          <w:sz w:val="24"/>
          <w:szCs w:val="24"/>
          <w:vertAlign w:val="superscript"/>
          <w:lang w:eastAsia="en-US"/>
        </w:rPr>
        <w:footnoteReference w:id="56"/>
      </w:r>
      <w:r w:rsidRPr="005130D6">
        <w:rPr>
          <w:sz w:val="24"/>
          <w:szCs w:val="24"/>
          <w:lang w:eastAsia="en-US"/>
        </w:rPr>
        <w:t>, contiene una partida destinada al referéndum de independencia que el Govern planea realizar durante este año. Dicha partida está nutrida de 5,8 millones de euros y se encuentra camuflada en el concepto de “procesos electorales y participativos”. No obstante, el Tribunal Constitucional ya ha actuado ante esta partida, cuestión que será analizada en profundidad en un capítulo posterior de esta obra.</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 xml:space="preserve">Adicionalmente, el actual Govern de la Generalitat tiene en su hoja de ruta la aprobación de tres leyes “de desconexión” con el Estado español. Estas leyes son relativas a la Hacienda Pública, la Seguridad Social y la transitoriedad jurídica entre la </w:t>
      </w:r>
      <w:r w:rsidRPr="005130D6">
        <w:rPr>
          <w:sz w:val="24"/>
          <w:szCs w:val="24"/>
          <w:lang w:eastAsia="en-US"/>
        </w:rPr>
        <w:lastRenderedPageBreak/>
        <w:t xml:space="preserve">legalidad española vigente y la de la República catalana independiente, sobre las que no podemos pronunciarnos ya que aún no están redactadas, ni mucho menos aprobadas. </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También cabe mencionar la internacionalización del proceso catalán. Así, Catalunya ha aumentado de manera sensible su presencia en el exterior, y esto ha venido acompañado de una importante asignación económica, con cargo a los presupuestos de la Comunidad Autónoma, destinada a la realización de un referéndum independentista en 2017.</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Así, las instituciones catalanas han realizado un especial esfuerzo por aumentar la presencia internacional de la región. De este modo, está prevista durante el desarrollo de 2017 la apertura de siete oficinas comerciales en todos los continentes, concretamente en Zagreb (Croacia), Nairobi (Kenia) y Teherán (Irán) durante el primer trimestre del año, y La Habana (Cuba), Los Ángeles (EEUU) y Ámsterdam (Holanda) antes de fin de año, haciendo un total de cuarenta y dos. A estas oficinas deben sumarse las Delegaciós de Govern (Delegaciones de Gobierno catalanas), que vendrían a ser el equivalente a las embajadas estatales. En los últimos años se han creado las de Italia</w:t>
      </w:r>
      <w:r w:rsidRPr="005130D6">
        <w:rPr>
          <w:sz w:val="24"/>
          <w:szCs w:val="24"/>
          <w:vertAlign w:val="superscript"/>
          <w:lang w:eastAsia="en-US"/>
        </w:rPr>
        <w:footnoteReference w:id="57"/>
      </w:r>
      <w:r w:rsidRPr="005130D6">
        <w:rPr>
          <w:sz w:val="24"/>
          <w:szCs w:val="24"/>
          <w:lang w:eastAsia="en-US"/>
        </w:rPr>
        <w:t xml:space="preserve"> y Austria</w:t>
      </w:r>
      <w:r w:rsidRPr="005130D6">
        <w:rPr>
          <w:sz w:val="24"/>
          <w:szCs w:val="24"/>
          <w:vertAlign w:val="superscript"/>
          <w:lang w:eastAsia="en-US"/>
        </w:rPr>
        <w:footnoteReference w:id="58"/>
      </w:r>
      <w:r w:rsidRPr="005130D6">
        <w:rPr>
          <w:sz w:val="24"/>
          <w:szCs w:val="24"/>
          <w:lang w:eastAsia="en-US"/>
        </w:rPr>
        <w:t xml:space="preserve"> en 2014, y las de Portugal</w:t>
      </w:r>
      <w:r w:rsidRPr="005130D6">
        <w:rPr>
          <w:sz w:val="24"/>
          <w:szCs w:val="24"/>
          <w:vertAlign w:val="superscript"/>
          <w:lang w:eastAsia="en-US"/>
        </w:rPr>
        <w:footnoteReference w:id="59"/>
      </w:r>
      <w:r w:rsidRPr="005130D6">
        <w:rPr>
          <w:sz w:val="24"/>
          <w:szCs w:val="24"/>
          <w:lang w:eastAsia="en-US"/>
        </w:rPr>
        <w:t>, Ciudad del Vaticano</w:t>
      </w:r>
      <w:r w:rsidRPr="005130D6">
        <w:rPr>
          <w:sz w:val="24"/>
          <w:szCs w:val="24"/>
          <w:vertAlign w:val="superscript"/>
          <w:lang w:eastAsia="en-US"/>
        </w:rPr>
        <w:footnoteReference w:id="60"/>
      </w:r>
      <w:r w:rsidRPr="005130D6">
        <w:rPr>
          <w:sz w:val="24"/>
          <w:szCs w:val="24"/>
          <w:lang w:eastAsia="en-US"/>
        </w:rPr>
        <w:t xml:space="preserve"> y Marruecos</w:t>
      </w:r>
      <w:r w:rsidRPr="005130D6">
        <w:rPr>
          <w:sz w:val="24"/>
          <w:szCs w:val="24"/>
          <w:vertAlign w:val="superscript"/>
          <w:lang w:eastAsia="en-US"/>
        </w:rPr>
        <w:footnoteReference w:id="61"/>
      </w:r>
      <w:r w:rsidRPr="005130D6">
        <w:rPr>
          <w:sz w:val="24"/>
          <w:szCs w:val="24"/>
          <w:lang w:eastAsia="en-US"/>
        </w:rPr>
        <w:t xml:space="preserve"> en 2015. </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Del mismo modo,  la Ley 16/2014</w:t>
      </w:r>
      <w:r w:rsidRPr="005130D6">
        <w:rPr>
          <w:sz w:val="24"/>
          <w:szCs w:val="24"/>
          <w:vertAlign w:val="superscript"/>
          <w:lang w:eastAsia="en-US"/>
        </w:rPr>
        <w:footnoteReference w:id="62"/>
      </w:r>
      <w:r w:rsidRPr="005130D6">
        <w:rPr>
          <w:sz w:val="24"/>
          <w:szCs w:val="24"/>
          <w:lang w:eastAsia="en-US"/>
        </w:rPr>
        <w:t xml:space="preserve">  persigue aumentar la presencia catalana en la Unión Europea. Esta Ley califica a Catalunya como “</w:t>
      </w:r>
      <w:r w:rsidRPr="00A17C8F">
        <w:rPr>
          <w:i/>
          <w:sz w:val="24"/>
          <w:szCs w:val="24"/>
          <w:lang w:eastAsia="en-US"/>
        </w:rPr>
        <w:t xml:space="preserve">un país de prestigio, motor de </w:t>
      </w:r>
      <w:r w:rsidRPr="00A17C8F">
        <w:rPr>
          <w:i/>
          <w:sz w:val="24"/>
          <w:szCs w:val="24"/>
          <w:lang w:eastAsia="en-US"/>
        </w:rPr>
        <w:lastRenderedPageBreak/>
        <w:t>Europa</w:t>
      </w:r>
      <w:r w:rsidRPr="005130D6">
        <w:rPr>
          <w:sz w:val="24"/>
          <w:szCs w:val="24"/>
          <w:lang w:eastAsia="en-US"/>
        </w:rPr>
        <w:t>”, que debe tener un importante papel en las decisiones europeas que afecten de forma interna a la región. Para ello se emplearán tanto las delegaciones de gobierno ya mencionadas como la Delegación de Gobierno catalana en la Unión Europea.</w:t>
      </w:r>
    </w:p>
    <w:p w:rsidR="0038777B" w:rsidRDefault="0038777B" w:rsidP="00E67EAC">
      <w:pPr>
        <w:spacing w:after="160" w:line="360" w:lineRule="auto"/>
        <w:jc w:val="both"/>
        <w:rPr>
          <w:sz w:val="24"/>
          <w:szCs w:val="24"/>
          <w:lang w:eastAsia="en-US"/>
        </w:rPr>
      </w:pPr>
      <w:r w:rsidRPr="005130D6">
        <w:rPr>
          <w:sz w:val="24"/>
          <w:szCs w:val="24"/>
          <w:lang w:eastAsia="en-US"/>
        </w:rPr>
        <w:tab/>
        <w:t>El deseo de las instituciones catalanas de internacionalizar el proceso catalán de independencia no es reciente. No obstante, las actuaciones en este sentido se han visto intensificadas a raíz del Estatuto Autonómico de 2006, que permite a la autonomía catalana cierta presencia en el exterior, a excepción de ciertas actividades. No obstante, cabe añadir que este no es un caso aislado y limitado a la autonomía catalana, sino que otras Comunidades Autónomas han aprovechado la permisividad de los estatutos de autonomía más actuales para aumentar su presencia en el exterior, y esto en principio no supone una violación de la Constitución Española, ni del ordenamiento jurídico en general. Cuestión distinta es la referencia en determinados textos (Ley 16/2014) a Catalunya como país, o el desarrollo de actividades distintas a las incluidas en los capítulos III del Título V del Estatuto de Autonomía de 2006.</w:t>
      </w:r>
    </w:p>
    <w:p w:rsidR="0038777B" w:rsidRDefault="0038777B" w:rsidP="00E67EAC">
      <w:pPr>
        <w:spacing w:after="160" w:line="360" w:lineRule="auto"/>
        <w:jc w:val="both"/>
        <w:rPr>
          <w:sz w:val="24"/>
          <w:szCs w:val="24"/>
          <w:lang w:eastAsia="en-US"/>
        </w:rPr>
      </w:pPr>
    </w:p>
    <w:p w:rsidR="0038777B" w:rsidRDefault="0038777B" w:rsidP="00E67EAC">
      <w:pPr>
        <w:spacing w:after="160" w:line="360" w:lineRule="auto"/>
        <w:jc w:val="both"/>
        <w:rPr>
          <w:sz w:val="24"/>
          <w:szCs w:val="24"/>
          <w:lang w:eastAsia="en-US"/>
        </w:rPr>
      </w:pPr>
    </w:p>
    <w:p w:rsidR="0038777B" w:rsidRDefault="0038777B" w:rsidP="00E67EAC">
      <w:pPr>
        <w:spacing w:after="160" w:line="360" w:lineRule="auto"/>
        <w:jc w:val="both"/>
        <w:rPr>
          <w:sz w:val="24"/>
          <w:szCs w:val="24"/>
          <w:lang w:eastAsia="en-US"/>
        </w:rPr>
      </w:pPr>
    </w:p>
    <w:p w:rsidR="0038777B" w:rsidRDefault="0038777B" w:rsidP="00E67EAC">
      <w:pPr>
        <w:spacing w:after="160" w:line="360" w:lineRule="auto"/>
        <w:jc w:val="both"/>
        <w:rPr>
          <w:sz w:val="24"/>
          <w:szCs w:val="24"/>
          <w:lang w:eastAsia="en-US"/>
        </w:rPr>
      </w:pPr>
    </w:p>
    <w:p w:rsidR="00E0542A" w:rsidRDefault="00E0542A" w:rsidP="00EE002F">
      <w:pPr>
        <w:spacing w:after="160" w:line="360" w:lineRule="auto"/>
        <w:jc w:val="both"/>
        <w:rPr>
          <w:rFonts w:eastAsia="Calibri"/>
          <w:b/>
          <w:sz w:val="24"/>
          <w:szCs w:val="24"/>
          <w:lang w:eastAsia="en-US"/>
        </w:rPr>
      </w:pPr>
    </w:p>
    <w:p w:rsidR="00E0542A" w:rsidRDefault="00E0542A" w:rsidP="00EE002F">
      <w:pPr>
        <w:spacing w:after="160" w:line="360" w:lineRule="auto"/>
        <w:jc w:val="both"/>
        <w:rPr>
          <w:rFonts w:eastAsia="Calibri"/>
          <w:b/>
          <w:sz w:val="24"/>
          <w:szCs w:val="24"/>
          <w:lang w:eastAsia="en-US"/>
        </w:rPr>
      </w:pPr>
    </w:p>
    <w:p w:rsidR="00E0542A" w:rsidRDefault="00E0542A" w:rsidP="00EE002F">
      <w:pPr>
        <w:spacing w:after="160" w:line="360" w:lineRule="auto"/>
        <w:jc w:val="both"/>
        <w:rPr>
          <w:rFonts w:eastAsia="Calibri"/>
          <w:b/>
          <w:sz w:val="24"/>
          <w:szCs w:val="24"/>
          <w:lang w:eastAsia="en-US"/>
        </w:rPr>
      </w:pPr>
    </w:p>
    <w:p w:rsidR="00E0542A" w:rsidRDefault="00E0542A" w:rsidP="00EE002F">
      <w:pPr>
        <w:spacing w:after="160" w:line="360" w:lineRule="auto"/>
        <w:jc w:val="both"/>
        <w:rPr>
          <w:rFonts w:eastAsia="Calibri"/>
          <w:b/>
          <w:sz w:val="24"/>
          <w:szCs w:val="24"/>
          <w:lang w:eastAsia="en-US"/>
        </w:rPr>
      </w:pPr>
    </w:p>
    <w:p w:rsidR="00E0542A" w:rsidRDefault="00E0542A" w:rsidP="00EE002F">
      <w:pPr>
        <w:spacing w:after="160" w:line="360" w:lineRule="auto"/>
        <w:jc w:val="both"/>
        <w:rPr>
          <w:rFonts w:eastAsia="Calibri"/>
          <w:b/>
          <w:sz w:val="24"/>
          <w:szCs w:val="24"/>
          <w:lang w:eastAsia="en-US"/>
        </w:rPr>
      </w:pPr>
    </w:p>
    <w:p w:rsidR="00E0542A" w:rsidRDefault="00E0542A" w:rsidP="00EE002F">
      <w:pPr>
        <w:spacing w:after="160" w:line="360" w:lineRule="auto"/>
        <w:jc w:val="both"/>
        <w:rPr>
          <w:rFonts w:eastAsia="Calibri"/>
          <w:b/>
          <w:sz w:val="24"/>
          <w:szCs w:val="24"/>
          <w:lang w:eastAsia="en-US"/>
        </w:rPr>
      </w:pPr>
    </w:p>
    <w:p w:rsidR="00E0542A" w:rsidRDefault="00E0542A" w:rsidP="00EE002F">
      <w:pPr>
        <w:spacing w:after="160" w:line="360" w:lineRule="auto"/>
        <w:jc w:val="both"/>
        <w:rPr>
          <w:rFonts w:eastAsia="Calibri"/>
          <w:b/>
          <w:sz w:val="24"/>
          <w:szCs w:val="24"/>
          <w:lang w:eastAsia="en-US"/>
        </w:rPr>
      </w:pPr>
    </w:p>
    <w:p w:rsidR="00E0542A" w:rsidRDefault="00E0542A" w:rsidP="00EE002F">
      <w:pPr>
        <w:spacing w:after="160" w:line="360" w:lineRule="auto"/>
        <w:jc w:val="both"/>
        <w:rPr>
          <w:rFonts w:eastAsia="Calibri"/>
          <w:b/>
          <w:sz w:val="24"/>
          <w:szCs w:val="24"/>
          <w:lang w:eastAsia="en-US"/>
        </w:rPr>
      </w:pPr>
    </w:p>
    <w:p w:rsidR="00037948" w:rsidRDefault="00037948" w:rsidP="00E0542A">
      <w:pPr>
        <w:spacing w:after="160" w:line="360" w:lineRule="auto"/>
        <w:jc w:val="both"/>
        <w:rPr>
          <w:rFonts w:eastAsia="Calibri"/>
          <w:b/>
          <w:sz w:val="24"/>
          <w:szCs w:val="24"/>
          <w:lang w:eastAsia="en-US"/>
        </w:rPr>
      </w:pPr>
    </w:p>
    <w:p w:rsidR="00037948" w:rsidRDefault="00037948" w:rsidP="00E0542A">
      <w:pPr>
        <w:spacing w:after="160" w:line="360" w:lineRule="auto"/>
        <w:jc w:val="both"/>
        <w:rPr>
          <w:rFonts w:eastAsia="Calibri"/>
          <w:b/>
          <w:sz w:val="24"/>
          <w:szCs w:val="24"/>
          <w:lang w:eastAsia="en-US"/>
        </w:rPr>
      </w:pPr>
    </w:p>
    <w:p w:rsidR="00EE002F" w:rsidRPr="00EE002F" w:rsidRDefault="00EE002F" w:rsidP="00E0542A">
      <w:pPr>
        <w:spacing w:after="160" w:line="360" w:lineRule="auto"/>
        <w:jc w:val="both"/>
        <w:rPr>
          <w:rFonts w:eastAsia="Calibri"/>
          <w:b/>
          <w:sz w:val="24"/>
          <w:szCs w:val="24"/>
          <w:lang w:eastAsia="en-US"/>
        </w:rPr>
      </w:pPr>
      <w:r w:rsidRPr="00EE002F">
        <w:rPr>
          <w:rFonts w:eastAsia="Calibri"/>
          <w:b/>
          <w:sz w:val="24"/>
          <w:szCs w:val="24"/>
          <w:lang w:eastAsia="en-US"/>
        </w:rPr>
        <w:lastRenderedPageBreak/>
        <w:t>4. LA JURIDIFICACIÓN DEL PROCESO CATALÁN</w:t>
      </w:r>
    </w:p>
    <w:p w:rsidR="001D3DD5" w:rsidRDefault="00063DC0" w:rsidP="001D3DD5">
      <w:pPr>
        <w:spacing w:after="160" w:line="360" w:lineRule="auto"/>
        <w:ind w:firstLine="708"/>
        <w:jc w:val="both"/>
        <w:rPr>
          <w:rFonts w:eastAsia="Calibri"/>
          <w:sz w:val="24"/>
          <w:szCs w:val="24"/>
          <w:lang w:eastAsia="en-US"/>
        </w:rPr>
      </w:pPr>
      <w:r w:rsidRPr="00063DC0">
        <w:rPr>
          <w:rFonts w:eastAsia="Calibri"/>
          <w:sz w:val="24"/>
          <w:szCs w:val="24"/>
          <w:lang w:eastAsia="en-US"/>
        </w:rPr>
        <w:t xml:space="preserve">El </w:t>
      </w:r>
      <w:r>
        <w:rPr>
          <w:rFonts w:eastAsia="Calibri"/>
          <w:sz w:val="24"/>
          <w:szCs w:val="24"/>
          <w:lang w:eastAsia="en-US"/>
        </w:rPr>
        <w:t>proceso catalán, como consecuencia de las actividades que acabamos de analizar, ha sido objeto de diversas e importantes resoluciones judiciales, como veremos a continuación. Antes de comenzar con las resoluciones puramente referidas a Catalunya, es importante para la materia que nos ocupa la sentencia del TC sobre el proceso vasco de 2008.</w:t>
      </w:r>
    </w:p>
    <w:p w:rsidR="001D3DD5" w:rsidRPr="001D3DD5" w:rsidRDefault="001D3DD5" w:rsidP="001D3DD5">
      <w:pPr>
        <w:spacing w:after="160" w:line="360" w:lineRule="auto"/>
        <w:ind w:firstLine="708"/>
        <w:jc w:val="both"/>
        <w:rPr>
          <w:rFonts w:eastAsia="Calibri"/>
          <w:sz w:val="24"/>
          <w:szCs w:val="24"/>
          <w:lang w:eastAsia="en-US"/>
        </w:rPr>
      </w:pPr>
    </w:p>
    <w:p w:rsidR="00EE002F" w:rsidRPr="00EE002F" w:rsidRDefault="00EE002F" w:rsidP="007465D1">
      <w:pPr>
        <w:spacing w:after="160" w:line="360" w:lineRule="auto"/>
        <w:ind w:left="708"/>
        <w:jc w:val="both"/>
        <w:rPr>
          <w:rFonts w:eastAsia="Calibri"/>
          <w:b/>
          <w:sz w:val="24"/>
          <w:szCs w:val="24"/>
          <w:lang w:eastAsia="en-US"/>
        </w:rPr>
      </w:pPr>
      <w:r w:rsidRPr="00EE002F">
        <w:rPr>
          <w:rFonts w:eastAsia="Calibri"/>
          <w:b/>
          <w:sz w:val="24"/>
          <w:szCs w:val="24"/>
          <w:lang w:eastAsia="en-US"/>
        </w:rPr>
        <w:t>4.1. El precedente; la Sentencia del Tribunal</w:t>
      </w:r>
      <w:r w:rsidR="00E0542A">
        <w:rPr>
          <w:rFonts w:eastAsia="Calibri"/>
          <w:b/>
          <w:sz w:val="24"/>
          <w:szCs w:val="24"/>
          <w:lang w:eastAsia="en-US"/>
        </w:rPr>
        <w:t xml:space="preserve"> Constitucional sobre el </w:t>
      </w:r>
      <w:r w:rsidR="00E0542A">
        <w:rPr>
          <w:rFonts w:eastAsia="Calibri"/>
          <w:b/>
          <w:sz w:val="24"/>
          <w:szCs w:val="24"/>
          <w:lang w:eastAsia="en-US"/>
        </w:rPr>
        <w:tab/>
        <w:t xml:space="preserve">Plan </w:t>
      </w:r>
      <w:r w:rsidRPr="00EE002F">
        <w:rPr>
          <w:rFonts w:eastAsia="Calibri"/>
          <w:b/>
          <w:sz w:val="24"/>
          <w:szCs w:val="24"/>
          <w:lang w:eastAsia="en-US"/>
        </w:rPr>
        <w:t>Ibarretxe.</w:t>
      </w:r>
    </w:p>
    <w:p w:rsidR="00EE002F" w:rsidRPr="00EE002F" w:rsidRDefault="00EE002F" w:rsidP="00EE002F">
      <w:pPr>
        <w:spacing w:after="160" w:line="360" w:lineRule="auto"/>
        <w:jc w:val="both"/>
        <w:rPr>
          <w:rFonts w:eastAsia="Calibri"/>
          <w:sz w:val="24"/>
          <w:szCs w:val="24"/>
          <w:lang w:eastAsia="en-US"/>
        </w:rPr>
      </w:pPr>
      <w:r w:rsidRPr="00EE002F">
        <w:rPr>
          <w:rFonts w:eastAsia="Calibri"/>
          <w:sz w:val="24"/>
          <w:szCs w:val="24"/>
          <w:lang w:eastAsia="en-US"/>
        </w:rPr>
        <w:tab/>
        <w:t xml:space="preserve">Mencionábamos el conocido “Plan Ibarretxe” como el primer desafío serio a la unidad nacional española desde el restablecimiento del orden democrático en 1978. Este desafío obtuvo una respuesta clara del </w:t>
      </w:r>
      <w:r w:rsidR="0002135C">
        <w:rPr>
          <w:rFonts w:eastAsia="Calibri"/>
          <w:sz w:val="24"/>
          <w:szCs w:val="24"/>
          <w:lang w:eastAsia="en-US"/>
        </w:rPr>
        <w:t>Alto tribunal</w:t>
      </w:r>
      <w:r w:rsidRPr="00EE002F">
        <w:rPr>
          <w:rFonts w:eastAsia="Calibri"/>
          <w:sz w:val="24"/>
          <w:szCs w:val="24"/>
          <w:lang w:eastAsia="en-US"/>
        </w:rPr>
        <w:t xml:space="preserve"> mediante la Sentencia 103/2008, de 10 de octubre</w:t>
      </w:r>
      <w:r w:rsidRPr="00EE002F">
        <w:rPr>
          <w:rFonts w:eastAsia="Calibri"/>
          <w:sz w:val="24"/>
          <w:szCs w:val="24"/>
          <w:vertAlign w:val="superscript"/>
          <w:lang w:eastAsia="en-US"/>
        </w:rPr>
        <w:footnoteReference w:id="63"/>
      </w:r>
      <w:r w:rsidRPr="00EE002F">
        <w:rPr>
          <w:rFonts w:eastAsia="Calibri"/>
          <w:sz w:val="24"/>
          <w:szCs w:val="24"/>
          <w:lang w:eastAsia="en-US"/>
        </w:rPr>
        <w:t>. En ella el TC falla a favor del recurso interpuesto por el Presidente del Gobierno español contra la Ley del Parlamento Vasco 9/2008, de 27 de junio, de convocatoria y regulación de una consulta popular al objeto de recabar la opinión ciudadana en la Comunidad Autónoma del País Vasco sobre la apertura de un proceso de negociación para alcanzar la paz y la normalización política al entender que dicha Ley adolece de vicios de inconstitucionalidad de orden competencial, procedimental y sustantivo.</w:t>
      </w:r>
    </w:p>
    <w:p w:rsidR="00EE002F" w:rsidRPr="00EE002F" w:rsidRDefault="00EE002F" w:rsidP="00EE002F">
      <w:pPr>
        <w:spacing w:after="160" w:line="360" w:lineRule="auto"/>
        <w:jc w:val="both"/>
        <w:rPr>
          <w:rFonts w:eastAsia="Calibri"/>
          <w:sz w:val="24"/>
          <w:szCs w:val="24"/>
          <w:lang w:eastAsia="en-US"/>
        </w:rPr>
      </w:pPr>
      <w:r w:rsidRPr="00EE002F">
        <w:rPr>
          <w:rFonts w:eastAsia="Calibri"/>
          <w:sz w:val="24"/>
          <w:szCs w:val="24"/>
          <w:lang w:eastAsia="en-US"/>
        </w:rPr>
        <w:tab/>
        <w:t xml:space="preserve">Analizando brevemente la Ley impugnada, apreciamos que se compone de un único </w:t>
      </w:r>
      <w:r w:rsidR="0002135C">
        <w:rPr>
          <w:rFonts w:eastAsia="Calibri"/>
          <w:sz w:val="24"/>
          <w:szCs w:val="24"/>
          <w:lang w:eastAsia="en-US"/>
        </w:rPr>
        <w:t>art.</w:t>
      </w:r>
      <w:r w:rsidRPr="00EE002F">
        <w:rPr>
          <w:rFonts w:eastAsia="Calibri"/>
          <w:sz w:val="24"/>
          <w:szCs w:val="24"/>
          <w:lang w:eastAsia="en-US"/>
        </w:rPr>
        <w:t xml:space="preserve"> en el que se confiere al Presidente del Parlamento vasco la potestad de convocar un referéndum consultivo, en este caso con dos preguntas (sobre el proceso de desarme de la organización terrorista ETA y sobre la independencia del País Vasco). Finalmente, presenta la mencionada norma una disposición adicional en la que se regula el procedimiento a seguir en la consulta y la financiación de esta.</w:t>
      </w:r>
    </w:p>
    <w:p w:rsidR="00EE002F" w:rsidRPr="00EE002F" w:rsidRDefault="00EE002F" w:rsidP="00EE002F">
      <w:pPr>
        <w:spacing w:after="160" w:line="360" w:lineRule="auto"/>
        <w:jc w:val="both"/>
        <w:rPr>
          <w:rFonts w:eastAsia="Calibri"/>
          <w:sz w:val="24"/>
          <w:szCs w:val="24"/>
          <w:lang w:eastAsia="en-US"/>
        </w:rPr>
      </w:pPr>
      <w:r w:rsidRPr="00EE002F">
        <w:rPr>
          <w:rFonts w:eastAsia="Calibri"/>
          <w:sz w:val="24"/>
          <w:szCs w:val="24"/>
          <w:lang w:eastAsia="en-US"/>
        </w:rPr>
        <w:tab/>
        <w:t xml:space="preserve">Así, surgieron varias preguntas que el TC debía resolver; ¿es la consulta un referéndum? ¿Tienen las Comunidades Autónomas la potestad para establecer consultas </w:t>
      </w:r>
      <w:r w:rsidRPr="00EE002F">
        <w:rPr>
          <w:rFonts w:eastAsia="Calibri"/>
          <w:sz w:val="24"/>
          <w:szCs w:val="24"/>
          <w:lang w:eastAsia="en-US"/>
        </w:rPr>
        <w:lastRenderedPageBreak/>
        <w:t>como la referida? ¿Podrían las comunidades autónomas tener competencia para la elaboración de un referéndum consultivo?</w:t>
      </w:r>
      <w:r w:rsidRPr="00EE002F">
        <w:rPr>
          <w:rFonts w:eastAsia="Calibri"/>
          <w:sz w:val="24"/>
          <w:szCs w:val="24"/>
          <w:vertAlign w:val="superscript"/>
          <w:lang w:eastAsia="en-US"/>
        </w:rPr>
        <w:footnoteReference w:id="64"/>
      </w:r>
      <w:r w:rsidRPr="00EE002F">
        <w:rPr>
          <w:rFonts w:eastAsia="Calibri"/>
          <w:sz w:val="24"/>
          <w:szCs w:val="24"/>
          <w:lang w:eastAsia="en-US"/>
        </w:rPr>
        <w:t xml:space="preserve"> </w:t>
      </w:r>
    </w:p>
    <w:p w:rsidR="00EE002F" w:rsidRPr="00EE002F" w:rsidRDefault="00EE002F" w:rsidP="00EE002F">
      <w:pPr>
        <w:spacing w:after="160" w:line="360" w:lineRule="auto"/>
        <w:jc w:val="both"/>
        <w:rPr>
          <w:rFonts w:eastAsia="Calibri"/>
          <w:sz w:val="24"/>
          <w:szCs w:val="24"/>
          <w:lang w:eastAsia="en-US"/>
        </w:rPr>
      </w:pPr>
      <w:r w:rsidRPr="00EE002F">
        <w:rPr>
          <w:rFonts w:eastAsia="Calibri"/>
          <w:sz w:val="24"/>
          <w:szCs w:val="24"/>
          <w:lang w:eastAsia="en-US"/>
        </w:rPr>
        <w:tab/>
        <w:t>Sobre la primera cuestión, debemos decir que es vital para aclarar la a quién corresponde la competencia para su celebración y ejecución (“</w:t>
      </w:r>
      <w:r w:rsidRPr="00EE002F">
        <w:rPr>
          <w:rFonts w:eastAsia="Calibri"/>
          <w:i/>
          <w:sz w:val="24"/>
          <w:szCs w:val="24"/>
          <w:lang w:eastAsia="en-US"/>
        </w:rPr>
        <w:t>la Ley sería inconstitucional si su objeto fuera la celebración de una consulta referendaria”</w:t>
      </w:r>
      <w:r w:rsidRPr="00EE002F">
        <w:rPr>
          <w:rFonts w:eastAsia="Calibri"/>
          <w:sz w:val="24"/>
          <w:szCs w:val="24"/>
          <w:vertAlign w:val="superscript"/>
          <w:lang w:eastAsia="en-US"/>
        </w:rPr>
        <w:footnoteReference w:id="65"/>
      </w:r>
      <w:r w:rsidRPr="00EE002F">
        <w:rPr>
          <w:rFonts w:eastAsia="Calibri"/>
          <w:sz w:val="24"/>
          <w:szCs w:val="24"/>
          <w:lang w:eastAsia="en-US"/>
        </w:rPr>
        <w:t>); según la Ley no se trataría de un referéndum sino de una consulta, opinión esta contra la que se postula el TC y la doctrina mayoritaria</w:t>
      </w:r>
      <w:r w:rsidRPr="00EE002F">
        <w:rPr>
          <w:rFonts w:eastAsia="Calibri"/>
          <w:sz w:val="24"/>
          <w:szCs w:val="24"/>
          <w:vertAlign w:val="superscript"/>
          <w:lang w:eastAsia="en-US"/>
        </w:rPr>
        <w:footnoteReference w:id="66"/>
      </w:r>
      <w:r w:rsidRPr="00EE002F">
        <w:rPr>
          <w:rFonts w:eastAsia="Calibri"/>
          <w:sz w:val="24"/>
          <w:szCs w:val="24"/>
          <w:lang w:eastAsia="en-US"/>
        </w:rPr>
        <w:t xml:space="preserve">. Así pues,  la consulta constituye un auténtico referéndum entendiendo como tal la definición que realiza el TC en la mencionada sentencia: </w:t>
      </w:r>
      <w:r w:rsidRPr="00EE002F">
        <w:rPr>
          <w:rFonts w:eastAsia="Calibri"/>
          <w:i/>
          <w:sz w:val="24"/>
          <w:szCs w:val="24"/>
          <w:lang w:eastAsia="en-US"/>
        </w:rPr>
        <w:t>“instrumento de participación directa de los ciudadanos en los asuntos públicos, esto es, para el ejercicio del derecho fundamental reconocido en el art. 23.1 CE […] es, por tanto, una especie del género «consulta popular» con la que no se recaba la opinión de cualquier colectivo sobre cualesquiera asuntos de interés público a través de cualesquiera procedimientos, sino aquella consulta cuyo objeto se refiere estrictamente al parecer del cuerpo electoral conformado y exteriorizado a través de un procedimiento electoral, esto es, basado en el censo, gestionado por la Administración electoral y asegurado con garantías jurisdiccionales específicas”</w:t>
      </w:r>
      <w:r w:rsidRPr="00EE002F">
        <w:rPr>
          <w:rFonts w:eastAsia="Calibri"/>
          <w:sz w:val="24"/>
          <w:szCs w:val="24"/>
          <w:vertAlign w:val="superscript"/>
          <w:lang w:eastAsia="en-US"/>
        </w:rPr>
        <w:footnoteReference w:id="67"/>
      </w:r>
      <w:r w:rsidRPr="00EE002F">
        <w:rPr>
          <w:rFonts w:eastAsia="Calibri"/>
          <w:sz w:val="24"/>
          <w:szCs w:val="24"/>
          <w:lang w:eastAsia="en-US"/>
        </w:rPr>
        <w:t>.</w:t>
      </w:r>
    </w:p>
    <w:p w:rsidR="00EE002F" w:rsidRPr="00EE002F" w:rsidRDefault="00EE002F" w:rsidP="00EE002F">
      <w:pPr>
        <w:spacing w:after="160" w:line="360" w:lineRule="auto"/>
        <w:jc w:val="both"/>
        <w:rPr>
          <w:rFonts w:eastAsia="Calibri"/>
          <w:sz w:val="24"/>
          <w:szCs w:val="24"/>
          <w:lang w:eastAsia="en-US"/>
        </w:rPr>
      </w:pPr>
      <w:r w:rsidRPr="00EE002F">
        <w:rPr>
          <w:rFonts w:eastAsia="Calibri"/>
          <w:sz w:val="24"/>
          <w:szCs w:val="24"/>
          <w:lang w:eastAsia="en-US"/>
        </w:rPr>
        <w:tab/>
        <w:t>Aclarada la naturaleza jurídica de la consulta, la segunda cuestión se resuelve de forma prácticamente automática; las Comunidades Autónomas no tienen competencia para la realización de consultas referendarias, y por tanto la Ley impugnada adolece de inconstitucionalidad, pues no respeta el reparto competencial concretado en este caso en el art. 149.1.32 CE</w:t>
      </w:r>
      <w:r w:rsidRPr="00EE002F">
        <w:rPr>
          <w:rFonts w:eastAsia="Calibri"/>
          <w:sz w:val="24"/>
          <w:szCs w:val="24"/>
          <w:vertAlign w:val="superscript"/>
          <w:lang w:eastAsia="en-US"/>
        </w:rPr>
        <w:footnoteReference w:id="68"/>
      </w:r>
      <w:r w:rsidRPr="00EE002F">
        <w:rPr>
          <w:rFonts w:eastAsia="Calibri"/>
          <w:sz w:val="24"/>
          <w:szCs w:val="24"/>
          <w:lang w:eastAsia="en-US"/>
        </w:rPr>
        <w:t xml:space="preserve">. </w:t>
      </w:r>
    </w:p>
    <w:p w:rsidR="00EE002F" w:rsidRPr="00EE002F" w:rsidRDefault="00EE002F" w:rsidP="00EE002F">
      <w:pPr>
        <w:spacing w:after="160" w:line="360" w:lineRule="auto"/>
        <w:jc w:val="both"/>
        <w:rPr>
          <w:rFonts w:eastAsia="Calibri"/>
          <w:sz w:val="24"/>
          <w:szCs w:val="24"/>
          <w:lang w:eastAsia="en-US"/>
        </w:rPr>
      </w:pPr>
      <w:r w:rsidRPr="00EE002F">
        <w:rPr>
          <w:rFonts w:eastAsia="Calibri"/>
          <w:sz w:val="24"/>
          <w:szCs w:val="24"/>
          <w:lang w:eastAsia="en-US"/>
        </w:rPr>
        <w:tab/>
        <w:t xml:space="preserve">Todo ello nos lleva a la última cuestión de interés que arroja esta sentencia, y es si podrían las comunidades autónomas ostentar esta competencia que, como acabamos de mencionar, es exclusiva del Estado según el art. 149.1.32 CE. Pero, ¿implica esto la </w:t>
      </w:r>
      <w:r w:rsidRPr="00EE002F">
        <w:rPr>
          <w:rFonts w:eastAsia="Calibri"/>
          <w:sz w:val="24"/>
          <w:szCs w:val="24"/>
          <w:lang w:eastAsia="en-US"/>
        </w:rPr>
        <w:lastRenderedPageBreak/>
        <w:t>imposibilidad de realización de referéndums por parte de las Comunidades Autónomas? No opina así el Profesor López Basaguren, para quien  la Constitución no impide la incorporación de supuestos de referéndums que se establezcan de forma expresa en el correspondiente Estatuto de Autonomía</w:t>
      </w:r>
      <w:r w:rsidRPr="00EE002F">
        <w:rPr>
          <w:rFonts w:eastAsia="Calibri"/>
          <w:sz w:val="24"/>
          <w:szCs w:val="24"/>
          <w:vertAlign w:val="superscript"/>
          <w:lang w:eastAsia="en-US"/>
        </w:rPr>
        <w:footnoteReference w:id="69"/>
      </w:r>
      <w:r w:rsidRPr="00EE002F">
        <w:rPr>
          <w:rFonts w:eastAsia="Calibri"/>
          <w:sz w:val="24"/>
          <w:szCs w:val="24"/>
          <w:lang w:eastAsia="en-US"/>
        </w:rPr>
        <w:t xml:space="preserve">. </w:t>
      </w:r>
    </w:p>
    <w:p w:rsidR="00EE002F" w:rsidRPr="00EE002F" w:rsidRDefault="00EE002F" w:rsidP="00EE002F">
      <w:pPr>
        <w:spacing w:after="160" w:line="360" w:lineRule="auto"/>
        <w:jc w:val="both"/>
        <w:rPr>
          <w:rFonts w:eastAsia="Calibri"/>
          <w:sz w:val="24"/>
          <w:szCs w:val="24"/>
          <w:lang w:eastAsia="en-US"/>
        </w:rPr>
      </w:pPr>
      <w:r w:rsidRPr="00EE002F">
        <w:rPr>
          <w:rFonts w:eastAsia="Calibri"/>
          <w:sz w:val="24"/>
          <w:szCs w:val="24"/>
          <w:lang w:eastAsia="en-US"/>
        </w:rPr>
        <w:tab/>
        <w:t>Resueltas estas cuestiones, podemos apreciar los dos pilares sobre los que se sustenta la jurisprudencia constitucional sobre el derecho de autodeterminación en España o, más concretamente, el derecho a decidir; primero, la realización de cualquier tipo de consulta sobre la independencia de una Comunidad Autónoma es considerada un referéndum y por tanto, de competencia estatal y segundo, no se descarta de forma tajante la posibilidad de que las Comunidades Autónomas puedan llegar a establecer un referéndum de estas características, pero en ningún caso pueden hacerlo de forma autónoma, sino que para ello deben recibir una delegación expresa del Estado, mediante la delegación de competencias o mediante la reforma del Estatuto de Autonomía correspondiente.</w:t>
      </w:r>
    </w:p>
    <w:p w:rsidR="001D3DD5" w:rsidRDefault="001D3DD5" w:rsidP="00EE002F">
      <w:pPr>
        <w:spacing w:after="160" w:line="360" w:lineRule="auto"/>
        <w:jc w:val="both"/>
        <w:rPr>
          <w:rFonts w:eastAsia="Calibri"/>
          <w:sz w:val="24"/>
          <w:szCs w:val="24"/>
          <w:lang w:eastAsia="en-US"/>
        </w:rPr>
      </w:pPr>
    </w:p>
    <w:p w:rsidR="00EE002F" w:rsidRPr="00EE002F" w:rsidRDefault="00EE002F" w:rsidP="007465D1">
      <w:pPr>
        <w:spacing w:after="160" w:line="360" w:lineRule="auto"/>
        <w:ind w:firstLine="708"/>
        <w:jc w:val="both"/>
        <w:rPr>
          <w:rFonts w:eastAsia="Calibri"/>
          <w:b/>
          <w:sz w:val="24"/>
          <w:szCs w:val="24"/>
          <w:lang w:eastAsia="en-US"/>
        </w:rPr>
      </w:pPr>
      <w:r w:rsidRPr="00EE002F">
        <w:rPr>
          <w:rFonts w:eastAsia="Calibri"/>
          <w:b/>
          <w:sz w:val="24"/>
          <w:szCs w:val="24"/>
          <w:lang w:eastAsia="en-US"/>
        </w:rPr>
        <w:t>4.2.  Jurisprudencia constitucional relativa al proceso catalán</w:t>
      </w:r>
    </w:p>
    <w:p w:rsidR="00EE002F" w:rsidRPr="00EE002F" w:rsidRDefault="00EE002F" w:rsidP="00EE002F">
      <w:pPr>
        <w:spacing w:after="160" w:line="360" w:lineRule="auto"/>
        <w:jc w:val="both"/>
        <w:rPr>
          <w:rFonts w:eastAsia="Calibri"/>
          <w:sz w:val="24"/>
          <w:szCs w:val="24"/>
          <w:lang w:eastAsia="en-US"/>
        </w:rPr>
      </w:pPr>
      <w:r w:rsidRPr="00EE002F">
        <w:rPr>
          <w:rFonts w:eastAsia="Calibri"/>
          <w:sz w:val="24"/>
          <w:szCs w:val="24"/>
          <w:lang w:eastAsia="en-US"/>
        </w:rPr>
        <w:tab/>
        <w:t>Encontramos una muestra al proceso catalán cuando el TC, mediante la Sentencia 42/2015</w:t>
      </w:r>
      <w:r w:rsidR="0058085A">
        <w:rPr>
          <w:rStyle w:val="Refdenotaalpie"/>
          <w:rFonts w:eastAsia="Calibri"/>
          <w:sz w:val="24"/>
          <w:szCs w:val="24"/>
          <w:lang w:eastAsia="en-US"/>
        </w:rPr>
        <w:footnoteReference w:id="70"/>
      </w:r>
      <w:r w:rsidR="0058085A">
        <w:rPr>
          <w:rFonts w:eastAsia="Calibri"/>
          <w:sz w:val="24"/>
          <w:szCs w:val="24"/>
          <w:lang w:eastAsia="en-US"/>
        </w:rPr>
        <w:t xml:space="preserve"> </w:t>
      </w:r>
      <w:r w:rsidRPr="00EE002F">
        <w:rPr>
          <w:rFonts w:eastAsia="Calibri"/>
          <w:sz w:val="24"/>
          <w:szCs w:val="24"/>
          <w:lang w:eastAsia="en-US"/>
        </w:rPr>
        <w:t>estima parcialmente la impugnación de la resolución 5/X</w:t>
      </w:r>
      <w:r w:rsidR="0058085A">
        <w:rPr>
          <w:rStyle w:val="Refdenotaalpie"/>
          <w:rFonts w:eastAsia="Calibri"/>
          <w:sz w:val="24"/>
          <w:szCs w:val="24"/>
          <w:lang w:eastAsia="en-US"/>
        </w:rPr>
        <w:footnoteReference w:id="71"/>
      </w:r>
      <w:r w:rsidRPr="00EE002F">
        <w:rPr>
          <w:rFonts w:eastAsia="Calibri"/>
          <w:sz w:val="24"/>
          <w:szCs w:val="24"/>
          <w:lang w:eastAsia="en-US"/>
        </w:rPr>
        <w:t>, concretamente declara inconstitucionales tanto su apartado primero (titulado soberanía y referente a la denominación del pueblo catalán como soberano) como toda referencia al derecho a decidir o de autodeterminación. Concretamente, el Alto Tribunal considera que estos aspectos de la resolución violan el art. 1.2 y 2 CE.</w:t>
      </w:r>
    </w:p>
    <w:p w:rsidR="00EE002F" w:rsidRPr="00EE002F" w:rsidRDefault="00EE002F" w:rsidP="00EE002F">
      <w:pPr>
        <w:spacing w:after="160" w:line="360" w:lineRule="auto"/>
        <w:jc w:val="both"/>
        <w:rPr>
          <w:rFonts w:eastAsia="Calibri"/>
          <w:sz w:val="24"/>
          <w:szCs w:val="24"/>
          <w:lang w:eastAsia="en-US"/>
        </w:rPr>
      </w:pPr>
      <w:r w:rsidRPr="00EE002F">
        <w:rPr>
          <w:rFonts w:eastAsia="Calibri"/>
          <w:sz w:val="24"/>
          <w:szCs w:val="24"/>
          <w:lang w:eastAsia="en-US"/>
        </w:rPr>
        <w:tab/>
        <w:t xml:space="preserve">No obstante, esta sentencia no elimina de forma absoluta la posibilidad de desarrollar un posible “derecho de autodeterminación”, es más, ni tan siquiera lo limita a la reforma constitucional, sino que por el contrario admite que una Comunidad Autónoma desarrolle actos preparatorios en pos de la autodeterminación, aun cuando la </w:t>
      </w:r>
      <w:r w:rsidRPr="00EE002F">
        <w:rPr>
          <w:rFonts w:eastAsia="Calibri"/>
          <w:sz w:val="24"/>
          <w:szCs w:val="24"/>
          <w:lang w:eastAsia="en-US"/>
        </w:rPr>
        <w:lastRenderedPageBreak/>
        <w:t>reforma constitucional no se haya llevado a cabo, siempre y cuando se ajuste a la legalidad vigente</w:t>
      </w:r>
      <w:r w:rsidR="0058085A">
        <w:rPr>
          <w:rStyle w:val="Refdenotaalpie"/>
          <w:rFonts w:eastAsia="Calibri"/>
          <w:sz w:val="24"/>
          <w:szCs w:val="24"/>
          <w:lang w:eastAsia="en-US"/>
        </w:rPr>
        <w:footnoteReference w:id="72"/>
      </w:r>
      <w:r w:rsidR="00F75775">
        <w:rPr>
          <w:rFonts w:eastAsia="Calibri"/>
          <w:sz w:val="24"/>
          <w:szCs w:val="24"/>
          <w:lang w:eastAsia="en-US"/>
        </w:rPr>
        <w:t>.</w:t>
      </w:r>
    </w:p>
    <w:p w:rsidR="00EE002F" w:rsidRPr="00EE002F" w:rsidRDefault="00EE002F" w:rsidP="00EE002F">
      <w:pPr>
        <w:spacing w:after="160" w:line="360" w:lineRule="auto"/>
        <w:jc w:val="both"/>
        <w:rPr>
          <w:rFonts w:eastAsia="Calibri"/>
          <w:sz w:val="24"/>
          <w:szCs w:val="24"/>
          <w:lang w:eastAsia="en-US"/>
        </w:rPr>
      </w:pPr>
      <w:r w:rsidRPr="00EE002F">
        <w:rPr>
          <w:rFonts w:eastAsia="Calibri"/>
          <w:sz w:val="24"/>
          <w:szCs w:val="24"/>
          <w:lang w:eastAsia="en-US"/>
        </w:rPr>
        <w:tab/>
        <w:t xml:space="preserve">Parte de la doctrina (Vintró, J.) </w:t>
      </w:r>
      <w:r w:rsidRPr="00EE002F">
        <w:rPr>
          <w:rFonts w:eastAsia="Calibri"/>
          <w:sz w:val="24"/>
          <w:szCs w:val="24"/>
          <w:shd w:val="clear" w:color="auto" w:fill="FFFFFF"/>
          <w:lang w:eastAsia="en-US"/>
        </w:rPr>
        <w:t>expone</w:t>
      </w:r>
      <w:r w:rsidR="0058085A">
        <w:rPr>
          <w:rStyle w:val="Refdenotaalpie"/>
          <w:rFonts w:eastAsia="Calibri"/>
          <w:sz w:val="24"/>
          <w:szCs w:val="24"/>
          <w:shd w:val="clear" w:color="auto" w:fill="FFFFFF"/>
          <w:lang w:eastAsia="en-US"/>
        </w:rPr>
        <w:footnoteReference w:id="73"/>
      </w:r>
      <w:r w:rsidRPr="00EE002F">
        <w:rPr>
          <w:rFonts w:eastAsia="Calibri"/>
          <w:sz w:val="24"/>
          <w:szCs w:val="24"/>
          <w:shd w:val="clear" w:color="auto" w:fill="FFFFFF"/>
          <w:lang w:eastAsia="en-US"/>
        </w:rPr>
        <w:t xml:space="preserve"> su preocupación por la sentencia, al entender que va en contra de la jurisprudencia constitucional que ha mantenido de manera constante que los actos parlamentarios que carecen de fuerza vinculante no son impugnables (véase la Sentencia 40/2003</w:t>
      </w:r>
      <w:r w:rsidR="0058085A">
        <w:rPr>
          <w:rStyle w:val="Refdenotaalpie"/>
          <w:rFonts w:eastAsia="Calibri"/>
          <w:sz w:val="24"/>
          <w:szCs w:val="24"/>
          <w:shd w:val="clear" w:color="auto" w:fill="FFFFFF"/>
          <w:lang w:eastAsia="en-US"/>
        </w:rPr>
        <w:footnoteReference w:id="74"/>
      </w:r>
      <w:r w:rsidRPr="00EE002F">
        <w:rPr>
          <w:rFonts w:eastAsia="Calibri"/>
          <w:sz w:val="24"/>
          <w:szCs w:val="24"/>
          <w:shd w:val="clear" w:color="auto" w:fill="FFFFFF"/>
          <w:lang w:eastAsia="en-US"/>
        </w:rPr>
        <w:t xml:space="preserve">, fundamento jurídico tercero). </w:t>
      </w:r>
      <w:r w:rsidR="0058085A">
        <w:rPr>
          <w:rFonts w:eastAsia="Calibri"/>
          <w:sz w:val="24"/>
          <w:szCs w:val="24"/>
          <w:shd w:val="clear" w:color="auto" w:fill="FFFFFF"/>
          <w:lang w:eastAsia="en-US"/>
        </w:rPr>
        <w:t>Del</w:t>
      </w:r>
      <w:r w:rsidRPr="00EE002F">
        <w:rPr>
          <w:rFonts w:eastAsia="Calibri"/>
          <w:sz w:val="24"/>
          <w:szCs w:val="24"/>
          <w:shd w:val="clear" w:color="auto" w:fill="FFFFFF"/>
          <w:lang w:eastAsia="en-US"/>
        </w:rPr>
        <w:t xml:space="preserve"> mismo modo, la propia jurisprudencia constitucional ha señalado que los actos parlamentarios no normativos susceptibles de impugnación por la vía del </w:t>
      </w:r>
      <w:r w:rsidR="0002135C">
        <w:rPr>
          <w:rFonts w:eastAsia="Calibri"/>
          <w:sz w:val="24"/>
          <w:szCs w:val="24"/>
          <w:shd w:val="clear" w:color="auto" w:fill="FFFFFF"/>
          <w:lang w:eastAsia="en-US"/>
        </w:rPr>
        <w:t>art.</w:t>
      </w:r>
      <w:r w:rsidRPr="00EE002F">
        <w:rPr>
          <w:rFonts w:eastAsia="Calibri"/>
          <w:sz w:val="24"/>
          <w:szCs w:val="24"/>
          <w:shd w:val="clear" w:color="auto" w:fill="FFFFFF"/>
          <w:lang w:eastAsia="en-US"/>
        </w:rPr>
        <w:t xml:space="preserve"> 161.2 CE son únicamente aquellos capaces de producir efectos jurídicos </w:t>
      </w:r>
      <w:r w:rsidRPr="00EE002F">
        <w:rPr>
          <w:rFonts w:eastAsia="Calibri"/>
          <w:i/>
          <w:sz w:val="24"/>
          <w:szCs w:val="24"/>
          <w:shd w:val="clear" w:color="auto" w:fill="FFFFFF"/>
          <w:lang w:eastAsia="en-US"/>
        </w:rPr>
        <w:t>ad extra</w:t>
      </w:r>
      <w:r w:rsidRPr="00EE002F">
        <w:rPr>
          <w:rFonts w:eastAsia="Calibri"/>
          <w:sz w:val="24"/>
          <w:szCs w:val="24"/>
          <w:shd w:val="clear" w:color="auto" w:fill="FFFFFF"/>
          <w:lang w:eastAsia="en-US"/>
        </w:rPr>
        <w:t xml:space="preserve"> concretos y reales.</w:t>
      </w:r>
    </w:p>
    <w:p w:rsidR="00EE002F" w:rsidRPr="00EE002F" w:rsidRDefault="00EE002F" w:rsidP="00EE002F">
      <w:pPr>
        <w:spacing w:after="160" w:line="360" w:lineRule="auto"/>
        <w:jc w:val="both"/>
        <w:rPr>
          <w:rFonts w:eastAsia="Calibri"/>
          <w:sz w:val="24"/>
          <w:szCs w:val="24"/>
          <w:lang w:eastAsia="en-US"/>
        </w:rPr>
      </w:pPr>
      <w:r w:rsidRPr="00EE002F">
        <w:rPr>
          <w:rFonts w:eastAsia="Calibri"/>
          <w:sz w:val="24"/>
          <w:szCs w:val="24"/>
          <w:lang w:eastAsia="en-US"/>
        </w:rPr>
        <w:tab/>
        <w:t>La última actuación que el TC ha tomado ante el secesionismo catalán es extremadamente reciente; la providencia de 4 de abril de 2017</w:t>
      </w:r>
      <w:r w:rsidRPr="00EE002F">
        <w:rPr>
          <w:rFonts w:eastAsia="Calibri"/>
          <w:sz w:val="24"/>
          <w:szCs w:val="24"/>
          <w:vertAlign w:val="superscript"/>
          <w:lang w:eastAsia="en-US"/>
        </w:rPr>
        <w:footnoteReference w:id="75"/>
      </w:r>
      <w:r w:rsidRPr="00EE002F">
        <w:rPr>
          <w:rFonts w:eastAsia="Calibri"/>
          <w:sz w:val="24"/>
          <w:szCs w:val="24"/>
          <w:lang w:eastAsia="en-US"/>
        </w:rPr>
        <w:t xml:space="preserve"> suspende de forma cautelar la partida presupuestaria destinada al referéndum independentista que aparece en los presupuestos de la Generalitat de Catalunya para el ejercicio </w:t>
      </w:r>
      <w:smartTag w:uri="urn:schemas-microsoft-com:office:smarttags" w:element="metricconverter">
        <w:smartTagPr>
          <w:attr w:name="ProductID" w:val="2017 a"/>
        </w:smartTagPr>
        <w:r w:rsidRPr="00EE002F">
          <w:rPr>
            <w:rFonts w:eastAsia="Calibri"/>
            <w:sz w:val="24"/>
            <w:szCs w:val="24"/>
            <w:lang w:eastAsia="en-US"/>
          </w:rPr>
          <w:t>2017 a</w:t>
        </w:r>
      </w:smartTag>
      <w:r w:rsidRPr="00EE002F">
        <w:rPr>
          <w:rFonts w:eastAsia="Calibri"/>
          <w:sz w:val="24"/>
          <w:szCs w:val="24"/>
          <w:lang w:eastAsia="en-US"/>
        </w:rPr>
        <w:t xml:space="preserve"> la que hacíamos referencia en el capítulo anterior. Nos encontramos ante un texto especialmente severo, pues por vez primera la notificación de una suspensión cautelar acordada por el TC se extiende a altos cargos de la Generalitat, anticipando medidas penales contra ellos en el caso de que se produzca un quebranto a esta suspensión. De este modo, </w:t>
      </w:r>
      <w:r w:rsidRPr="00EE002F">
        <w:rPr>
          <w:rFonts w:eastAsia="Calibri"/>
          <w:i/>
          <w:sz w:val="24"/>
          <w:szCs w:val="24"/>
          <w:lang w:eastAsia="en-US"/>
        </w:rPr>
        <w:t xml:space="preserve">“se les advierte a todos ellos de su deber de impedir o paralizar cualquier iniciativa que suponga ignorar o eludir la suspensión acordada. En particular, de que se abstengan de iniciar, tramitar, informar o dictar acuerdo alguno de disposición de las partidas presupuestarias impugnadas […] con el fin de financiar cualquier gasto </w:t>
      </w:r>
      <w:r w:rsidRPr="00EE002F">
        <w:rPr>
          <w:rFonts w:eastAsia="Calibri"/>
          <w:i/>
          <w:sz w:val="24"/>
          <w:szCs w:val="24"/>
          <w:lang w:eastAsia="en-US"/>
        </w:rPr>
        <w:lastRenderedPageBreak/>
        <w:t>derivado de la preparación, gestión y celebración del proceso referendario o del referéndum a que se refiere la disposición adicional impugnada”</w:t>
      </w:r>
      <w:r w:rsidRPr="00EE002F">
        <w:rPr>
          <w:rFonts w:eastAsia="Calibri"/>
          <w:sz w:val="24"/>
          <w:szCs w:val="24"/>
          <w:vertAlign w:val="superscript"/>
          <w:lang w:eastAsia="en-US"/>
        </w:rPr>
        <w:footnoteReference w:id="76"/>
      </w:r>
      <w:r w:rsidRPr="00EE002F">
        <w:rPr>
          <w:rFonts w:eastAsia="Calibri"/>
          <w:sz w:val="24"/>
          <w:szCs w:val="24"/>
          <w:lang w:eastAsia="en-US"/>
        </w:rPr>
        <w:t>.</w:t>
      </w:r>
    </w:p>
    <w:p w:rsidR="00EE002F" w:rsidRDefault="00EE002F" w:rsidP="00EE002F">
      <w:pPr>
        <w:spacing w:after="160" w:line="360" w:lineRule="auto"/>
        <w:jc w:val="both"/>
        <w:rPr>
          <w:rFonts w:eastAsia="Calibri"/>
          <w:sz w:val="24"/>
          <w:szCs w:val="24"/>
          <w:lang w:eastAsia="en-US"/>
        </w:rPr>
      </w:pPr>
      <w:r w:rsidRPr="00EE002F">
        <w:rPr>
          <w:rFonts w:eastAsia="Calibri"/>
          <w:sz w:val="24"/>
          <w:szCs w:val="24"/>
          <w:lang w:eastAsia="en-US"/>
        </w:rPr>
        <w:tab/>
        <w:t xml:space="preserve">Por lo tanto nos encontramos ante un supuesto de mayor gravedad a su correlativo del año 2014, pues pesa sobre personas concretas la expresa prohibición de realizar actos de disposición de fondos para la realización del referéndum independentista, so pena de desobediencia, malversación o sedición. Se les advierte, asimismo, a todos ellos de su deber de impedir o paralizar cualquier iniciativa que suponga ignorar o eludir la suspensión acordada. En particular, de que se abstengan de iniciar, tramitar, informar o dictar acuerdo alguno de disposición de las partidas presupuestarias impugnadas. </w:t>
      </w:r>
    </w:p>
    <w:p w:rsidR="001D3DD5" w:rsidRDefault="001D3DD5" w:rsidP="001D3DD5">
      <w:pPr>
        <w:spacing w:after="160" w:line="360" w:lineRule="auto"/>
        <w:jc w:val="both"/>
        <w:rPr>
          <w:rFonts w:eastAsia="Calibri"/>
          <w:sz w:val="24"/>
          <w:szCs w:val="24"/>
          <w:lang w:eastAsia="en-US"/>
        </w:rPr>
      </w:pPr>
    </w:p>
    <w:p w:rsidR="00EE002F" w:rsidRPr="00EE002F" w:rsidRDefault="00EE002F" w:rsidP="007465D1">
      <w:pPr>
        <w:spacing w:after="160" w:line="360" w:lineRule="auto"/>
        <w:ind w:left="708"/>
        <w:jc w:val="both"/>
        <w:rPr>
          <w:rFonts w:eastAsia="Calibri"/>
          <w:b/>
          <w:sz w:val="24"/>
          <w:szCs w:val="24"/>
          <w:lang w:eastAsia="en-US"/>
        </w:rPr>
      </w:pPr>
      <w:r w:rsidRPr="00EE002F">
        <w:rPr>
          <w:rFonts w:eastAsia="Calibri"/>
          <w:b/>
          <w:sz w:val="24"/>
          <w:szCs w:val="24"/>
          <w:lang w:eastAsia="en-US"/>
        </w:rPr>
        <w:t>4.3. Sentencia del Tribunal Superior de Justicia de Catalunya 1/2017; las inhabilitaciones del 9N</w:t>
      </w:r>
    </w:p>
    <w:p w:rsidR="00EE002F" w:rsidRPr="00EE002F" w:rsidRDefault="00EE002F" w:rsidP="00EE002F">
      <w:pPr>
        <w:spacing w:after="160" w:line="360" w:lineRule="auto"/>
        <w:jc w:val="both"/>
        <w:rPr>
          <w:rFonts w:eastAsia="Calibri"/>
          <w:sz w:val="24"/>
          <w:szCs w:val="24"/>
          <w:lang w:eastAsia="en-US"/>
        </w:rPr>
      </w:pPr>
      <w:r w:rsidRPr="00EE002F">
        <w:rPr>
          <w:rFonts w:eastAsia="Calibri"/>
          <w:b/>
          <w:sz w:val="24"/>
          <w:szCs w:val="24"/>
          <w:lang w:eastAsia="en-US"/>
        </w:rPr>
        <w:tab/>
      </w:r>
      <w:r w:rsidRPr="00EE002F">
        <w:rPr>
          <w:rFonts w:eastAsia="Calibri"/>
          <w:sz w:val="24"/>
          <w:szCs w:val="24"/>
          <w:lang w:eastAsia="en-US"/>
        </w:rPr>
        <w:t>Las primeras consecuencias penales para las autoridades catalanas instigadoras del proceso secesionista son recientes y tienen su origen en la consulta independentista de 9 de noviembre de 2014 (9N). Así, la Sentencia del Tribunal Superior de Justicia de Catalunya 1/2017 y su correlativa en el Tribunal Supremo con la Sentencia 927/2017, (debido al aforamiento de la autoridad enjuiciada, en ese momento Diputado del Congreso) supusieron la inhabilitación de diversas autoridades que  poder de decisión sobre la consulta, entre ellas los por aquel entonces President y Vicepresidenta de la Generalitat de Catalunya.</w:t>
      </w:r>
    </w:p>
    <w:p w:rsidR="00EE002F" w:rsidRPr="00EE002F" w:rsidRDefault="00EE002F" w:rsidP="00EE002F">
      <w:pPr>
        <w:spacing w:after="160" w:line="360" w:lineRule="auto"/>
        <w:jc w:val="both"/>
        <w:rPr>
          <w:rFonts w:eastAsia="Calibri"/>
          <w:sz w:val="24"/>
          <w:szCs w:val="24"/>
          <w:lang w:eastAsia="en-US"/>
        </w:rPr>
      </w:pPr>
      <w:r w:rsidRPr="00EE002F">
        <w:rPr>
          <w:rFonts w:eastAsia="Calibri"/>
          <w:sz w:val="24"/>
          <w:szCs w:val="24"/>
          <w:lang w:eastAsia="en-US"/>
        </w:rPr>
        <w:tab/>
        <w:t>La Sentencia 1/2017</w:t>
      </w:r>
      <w:r w:rsidR="00E0542A">
        <w:rPr>
          <w:rStyle w:val="Refdenotaalpie"/>
          <w:rFonts w:eastAsia="Calibri"/>
          <w:sz w:val="24"/>
          <w:szCs w:val="24"/>
          <w:lang w:eastAsia="en-US"/>
        </w:rPr>
        <w:footnoteReference w:id="77"/>
      </w:r>
      <w:r w:rsidR="00E0542A">
        <w:rPr>
          <w:rFonts w:eastAsia="Calibri"/>
          <w:sz w:val="24"/>
          <w:szCs w:val="24"/>
          <w:lang w:eastAsia="en-US"/>
        </w:rPr>
        <w:t xml:space="preserve"> </w:t>
      </w:r>
      <w:r w:rsidRPr="00EE002F">
        <w:rPr>
          <w:rFonts w:eastAsia="Calibri"/>
          <w:sz w:val="24"/>
          <w:szCs w:val="24"/>
          <w:lang w:eastAsia="en-US"/>
        </w:rPr>
        <w:t xml:space="preserve">relata como hechos probados la persistencia del President de la Generalitat en la realización de un proceso consultivo sobre la independencia de Catalunya pese a la Providencia del TC de 29 de septiembre de 2014 que suspendía el Decreto de convocatoria de dicha consulta. Esta persistencia en las actuaciones del President y otras autoridades de la Generalitat desembocó en la realización el 9N efectivamente, de una consulta (o pseudo-consulta) por la que la fiscalía solicitaba para los implicados la condena por los delitos de prevaricación administrativa y </w:t>
      </w:r>
      <w:r w:rsidRPr="00EE002F">
        <w:rPr>
          <w:rFonts w:eastAsia="Calibri"/>
          <w:sz w:val="24"/>
          <w:szCs w:val="24"/>
          <w:lang w:eastAsia="en-US"/>
        </w:rPr>
        <w:lastRenderedPageBreak/>
        <w:t xml:space="preserve">desobediencia grave, siendo finalmente condenados algunos de ellos por el delito de desobediencia grave a penas tanto de multa como de inhabilitación especial. </w:t>
      </w:r>
    </w:p>
    <w:p w:rsidR="00EE002F" w:rsidRPr="00EE002F" w:rsidRDefault="00EE002F" w:rsidP="00EE002F">
      <w:pPr>
        <w:spacing w:after="160" w:line="360" w:lineRule="auto"/>
        <w:jc w:val="both"/>
        <w:rPr>
          <w:rFonts w:eastAsia="Calibri"/>
          <w:sz w:val="24"/>
          <w:szCs w:val="24"/>
          <w:lang w:eastAsia="en-US"/>
        </w:rPr>
      </w:pPr>
      <w:r w:rsidRPr="00EE002F">
        <w:rPr>
          <w:rFonts w:eastAsia="Calibri"/>
          <w:sz w:val="24"/>
          <w:szCs w:val="24"/>
          <w:lang w:eastAsia="en-US"/>
        </w:rPr>
        <w:tab/>
        <w:t>Muy similar se muestra la Sentencia 927/2017</w:t>
      </w:r>
      <w:r w:rsidR="00E0542A">
        <w:rPr>
          <w:rStyle w:val="Refdenotaalpie"/>
          <w:rFonts w:eastAsia="Calibri"/>
          <w:sz w:val="24"/>
          <w:szCs w:val="24"/>
          <w:lang w:eastAsia="en-US"/>
        </w:rPr>
        <w:footnoteReference w:id="78"/>
      </w:r>
      <w:r w:rsidRPr="00EE002F">
        <w:rPr>
          <w:rFonts w:eastAsia="Calibri"/>
          <w:sz w:val="24"/>
          <w:szCs w:val="24"/>
          <w:lang w:eastAsia="en-US"/>
        </w:rPr>
        <w:t>, condenando a la autoridad por el delito de desobediencia grave y absolviéndola del de prevaricación administrativa a una pena de multa y de inhabilitación especial.</w:t>
      </w:r>
    </w:p>
    <w:p w:rsidR="00EE002F" w:rsidRPr="00EE002F" w:rsidRDefault="00EE002F" w:rsidP="00EE002F">
      <w:pPr>
        <w:spacing w:after="160" w:line="360" w:lineRule="auto"/>
        <w:jc w:val="both"/>
        <w:rPr>
          <w:rFonts w:eastAsia="Calibri"/>
          <w:sz w:val="24"/>
          <w:szCs w:val="24"/>
          <w:shd w:val="clear" w:color="auto" w:fill="FFFFFF"/>
          <w:lang w:eastAsia="en-US"/>
        </w:rPr>
      </w:pPr>
      <w:r w:rsidRPr="00EE002F">
        <w:rPr>
          <w:rFonts w:ascii="Arial" w:eastAsia="Calibri" w:hAnsi="Arial" w:cs="Arial"/>
          <w:color w:val="444444"/>
          <w:sz w:val="26"/>
          <w:szCs w:val="26"/>
          <w:shd w:val="clear" w:color="auto" w:fill="FFFFFF"/>
          <w:lang w:eastAsia="en-US"/>
        </w:rPr>
        <w:tab/>
      </w:r>
      <w:r w:rsidRPr="00EE002F">
        <w:rPr>
          <w:rFonts w:eastAsia="Calibri"/>
          <w:sz w:val="24"/>
          <w:szCs w:val="24"/>
          <w:shd w:val="clear" w:color="auto" w:fill="FFFFFF"/>
          <w:lang w:eastAsia="en-US"/>
        </w:rPr>
        <w:t xml:space="preserve">Como principal nota diferenciadora podemos apreciar que la condena es más baja en el caso de la sentencia del Tribunal Supremo; esto se debe a que en este caso no se personó acusación popular alguna, al contrario de lo que sucedió en el proceso enjuiciado por el Tribunal Superior de Justicia de Catalunya. </w:t>
      </w:r>
    </w:p>
    <w:p w:rsidR="00EE002F" w:rsidRPr="00063DC0" w:rsidRDefault="00EE002F" w:rsidP="00063DC0">
      <w:pPr>
        <w:spacing w:after="160" w:line="360" w:lineRule="auto"/>
        <w:jc w:val="both"/>
        <w:rPr>
          <w:rFonts w:eastAsia="Calibri"/>
          <w:sz w:val="24"/>
          <w:szCs w:val="24"/>
          <w:lang w:eastAsia="en-US"/>
        </w:rPr>
      </w:pPr>
      <w:r w:rsidRPr="00EE002F">
        <w:rPr>
          <w:rFonts w:eastAsia="Calibri"/>
          <w:sz w:val="24"/>
          <w:szCs w:val="24"/>
          <w:shd w:val="clear" w:color="auto" w:fill="FFFFFF"/>
          <w:lang w:eastAsia="en-US"/>
        </w:rPr>
        <w:tab/>
        <w:t>Hasta el momento estas son las únicas condenas derivadas del proceso secesionista catalán. No obstante, teniendo en cuenta que este proceso continúa adelante (con más intensidad si cabe) es presumible que no sean las últimas.</w:t>
      </w:r>
    </w:p>
    <w:p w:rsidR="00E0542A" w:rsidRDefault="00E0542A" w:rsidP="00E67EAC">
      <w:pPr>
        <w:spacing w:after="160" w:line="360" w:lineRule="auto"/>
        <w:jc w:val="both"/>
        <w:outlineLvl w:val="0"/>
        <w:rPr>
          <w:sz w:val="24"/>
          <w:szCs w:val="24"/>
          <w:lang w:eastAsia="en-US"/>
        </w:rPr>
      </w:pPr>
    </w:p>
    <w:p w:rsidR="00E0542A" w:rsidRDefault="00E0542A" w:rsidP="00E67EAC">
      <w:pPr>
        <w:spacing w:after="160" w:line="360" w:lineRule="auto"/>
        <w:jc w:val="both"/>
        <w:outlineLvl w:val="0"/>
        <w:rPr>
          <w:sz w:val="24"/>
          <w:szCs w:val="24"/>
          <w:lang w:eastAsia="en-US"/>
        </w:rPr>
      </w:pPr>
    </w:p>
    <w:p w:rsidR="00E0542A" w:rsidRDefault="00E0542A" w:rsidP="00E67EAC">
      <w:pPr>
        <w:spacing w:after="160" w:line="360" w:lineRule="auto"/>
        <w:jc w:val="both"/>
        <w:outlineLvl w:val="0"/>
        <w:rPr>
          <w:sz w:val="24"/>
          <w:szCs w:val="24"/>
          <w:lang w:eastAsia="en-US"/>
        </w:rPr>
      </w:pPr>
    </w:p>
    <w:p w:rsidR="00E0542A" w:rsidRDefault="00E0542A" w:rsidP="00E67EAC">
      <w:pPr>
        <w:spacing w:after="160" w:line="360" w:lineRule="auto"/>
        <w:jc w:val="both"/>
        <w:outlineLvl w:val="0"/>
        <w:rPr>
          <w:sz w:val="24"/>
          <w:szCs w:val="24"/>
          <w:lang w:eastAsia="en-US"/>
        </w:rPr>
      </w:pPr>
    </w:p>
    <w:p w:rsidR="00E0542A" w:rsidRDefault="00E0542A" w:rsidP="00E67EAC">
      <w:pPr>
        <w:spacing w:after="160" w:line="360" w:lineRule="auto"/>
        <w:jc w:val="both"/>
        <w:outlineLvl w:val="0"/>
        <w:rPr>
          <w:sz w:val="24"/>
          <w:szCs w:val="24"/>
          <w:lang w:eastAsia="en-US"/>
        </w:rPr>
      </w:pPr>
    </w:p>
    <w:p w:rsidR="00E0542A" w:rsidRDefault="00E0542A" w:rsidP="00E67EAC">
      <w:pPr>
        <w:spacing w:after="160" w:line="360" w:lineRule="auto"/>
        <w:jc w:val="both"/>
        <w:outlineLvl w:val="0"/>
        <w:rPr>
          <w:sz w:val="24"/>
          <w:szCs w:val="24"/>
          <w:lang w:eastAsia="en-US"/>
        </w:rPr>
      </w:pPr>
    </w:p>
    <w:p w:rsidR="00E0542A" w:rsidRDefault="00E0542A" w:rsidP="00E67EAC">
      <w:pPr>
        <w:spacing w:after="160" w:line="360" w:lineRule="auto"/>
        <w:jc w:val="both"/>
        <w:outlineLvl w:val="0"/>
        <w:rPr>
          <w:sz w:val="24"/>
          <w:szCs w:val="24"/>
          <w:lang w:eastAsia="en-US"/>
        </w:rPr>
      </w:pPr>
    </w:p>
    <w:p w:rsidR="00E0542A" w:rsidRDefault="00E0542A" w:rsidP="00E67EAC">
      <w:pPr>
        <w:spacing w:after="160" w:line="360" w:lineRule="auto"/>
        <w:jc w:val="both"/>
        <w:outlineLvl w:val="0"/>
        <w:rPr>
          <w:sz w:val="24"/>
          <w:szCs w:val="24"/>
          <w:lang w:eastAsia="en-US"/>
        </w:rPr>
      </w:pPr>
    </w:p>
    <w:p w:rsidR="00063DC0" w:rsidRDefault="00063DC0" w:rsidP="00E67EAC">
      <w:pPr>
        <w:spacing w:after="160" w:line="360" w:lineRule="auto"/>
        <w:jc w:val="both"/>
        <w:outlineLvl w:val="0"/>
        <w:rPr>
          <w:b/>
          <w:sz w:val="24"/>
          <w:szCs w:val="24"/>
          <w:lang w:eastAsia="en-US"/>
        </w:rPr>
      </w:pPr>
    </w:p>
    <w:p w:rsidR="00063DC0" w:rsidRDefault="00063DC0" w:rsidP="00E67EAC">
      <w:pPr>
        <w:spacing w:after="160" w:line="360" w:lineRule="auto"/>
        <w:jc w:val="both"/>
        <w:outlineLvl w:val="0"/>
        <w:rPr>
          <w:b/>
          <w:sz w:val="24"/>
          <w:szCs w:val="24"/>
          <w:lang w:eastAsia="en-US"/>
        </w:rPr>
      </w:pPr>
    </w:p>
    <w:p w:rsidR="00063DC0" w:rsidRDefault="00063DC0" w:rsidP="00E67EAC">
      <w:pPr>
        <w:spacing w:after="160" w:line="360" w:lineRule="auto"/>
        <w:jc w:val="both"/>
        <w:outlineLvl w:val="0"/>
        <w:rPr>
          <w:b/>
          <w:sz w:val="24"/>
          <w:szCs w:val="24"/>
          <w:lang w:eastAsia="en-US"/>
        </w:rPr>
      </w:pPr>
    </w:p>
    <w:p w:rsidR="002F1BB5" w:rsidRDefault="002F1BB5" w:rsidP="00E67EAC">
      <w:pPr>
        <w:spacing w:after="160" w:line="360" w:lineRule="auto"/>
        <w:jc w:val="both"/>
        <w:outlineLvl w:val="0"/>
        <w:rPr>
          <w:b/>
          <w:sz w:val="24"/>
          <w:szCs w:val="24"/>
          <w:lang w:eastAsia="en-US"/>
        </w:rPr>
      </w:pPr>
    </w:p>
    <w:p w:rsidR="0038777B" w:rsidRPr="005130D6" w:rsidRDefault="0038777B" w:rsidP="00E67EAC">
      <w:pPr>
        <w:spacing w:after="160" w:line="360" w:lineRule="auto"/>
        <w:jc w:val="both"/>
        <w:outlineLvl w:val="0"/>
        <w:rPr>
          <w:b/>
          <w:sz w:val="24"/>
          <w:szCs w:val="24"/>
          <w:lang w:eastAsia="en-US"/>
        </w:rPr>
      </w:pPr>
      <w:r w:rsidRPr="005130D6">
        <w:rPr>
          <w:b/>
          <w:sz w:val="24"/>
          <w:szCs w:val="24"/>
          <w:lang w:eastAsia="en-US"/>
        </w:rPr>
        <w:lastRenderedPageBreak/>
        <w:t xml:space="preserve">5. MECANISMOS JURÍDICOS </w:t>
      </w:r>
      <w:r>
        <w:rPr>
          <w:b/>
          <w:sz w:val="24"/>
          <w:szCs w:val="24"/>
          <w:lang w:eastAsia="en-US"/>
        </w:rPr>
        <w:t xml:space="preserve">A DISPOSICIÓN DEL ESTADO </w:t>
      </w:r>
      <w:r w:rsidRPr="005130D6">
        <w:rPr>
          <w:b/>
          <w:sz w:val="24"/>
          <w:szCs w:val="24"/>
          <w:lang w:eastAsia="en-US"/>
        </w:rPr>
        <w:t>FRENTE A LA SECESIÓN</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 xml:space="preserve">Ante un conflicto territorial tan grave como es el proceso de secesión catalán el Estado de Derecho ostenta diversos mecanismos jurídicos con los que responder. A destacar encontramos la aplicación del </w:t>
      </w:r>
      <w:r w:rsidR="0002135C">
        <w:rPr>
          <w:sz w:val="24"/>
          <w:szCs w:val="24"/>
          <w:lang w:eastAsia="en-US"/>
        </w:rPr>
        <w:t>art.</w:t>
      </w:r>
      <w:r w:rsidRPr="005130D6">
        <w:rPr>
          <w:sz w:val="24"/>
          <w:szCs w:val="24"/>
          <w:lang w:eastAsia="en-US"/>
        </w:rPr>
        <w:t xml:space="preserve"> 155 de la Constitución Española (en adelante 155 CE), la posibilidad de establecer el estado de sitio, la reforma del Tribunal Constitucional de 2015, o incluso las previsiones del Código Penal español al respecto. </w:t>
      </w:r>
    </w:p>
    <w:p w:rsidR="001D3DD5" w:rsidRDefault="001D3DD5" w:rsidP="001D3DD5">
      <w:pPr>
        <w:spacing w:after="160" w:line="360" w:lineRule="auto"/>
        <w:jc w:val="both"/>
        <w:rPr>
          <w:sz w:val="24"/>
          <w:szCs w:val="24"/>
          <w:lang w:eastAsia="en-US"/>
        </w:rPr>
      </w:pPr>
    </w:p>
    <w:p w:rsidR="0038777B" w:rsidRPr="005130D6" w:rsidRDefault="0038777B" w:rsidP="007465D1">
      <w:pPr>
        <w:spacing w:after="160" w:line="360" w:lineRule="auto"/>
        <w:ind w:firstLine="708"/>
        <w:jc w:val="both"/>
        <w:rPr>
          <w:b/>
          <w:sz w:val="24"/>
          <w:szCs w:val="24"/>
          <w:lang w:eastAsia="en-US"/>
        </w:rPr>
      </w:pPr>
      <w:r w:rsidRPr="005130D6">
        <w:rPr>
          <w:b/>
          <w:sz w:val="24"/>
          <w:szCs w:val="24"/>
          <w:lang w:eastAsia="en-US"/>
        </w:rPr>
        <w:t xml:space="preserve">5.1. La aplicación del artículo 155 de la Constitución </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 xml:space="preserve">El </w:t>
      </w:r>
      <w:r w:rsidR="0002135C">
        <w:rPr>
          <w:sz w:val="24"/>
          <w:szCs w:val="24"/>
          <w:lang w:eastAsia="en-US"/>
        </w:rPr>
        <w:t>art.</w:t>
      </w:r>
      <w:r w:rsidRPr="005130D6">
        <w:rPr>
          <w:sz w:val="24"/>
          <w:szCs w:val="24"/>
          <w:lang w:eastAsia="en-US"/>
        </w:rPr>
        <w:t xml:space="preserve"> 155 de la Constitución española, incluido en el Título VIII sobre la organización territorial del Estado, constituye un medio de control de carácter excepcional que complementa al ordinario recogido en el </w:t>
      </w:r>
      <w:r w:rsidR="0002135C">
        <w:rPr>
          <w:sz w:val="24"/>
          <w:szCs w:val="24"/>
          <w:lang w:eastAsia="en-US"/>
        </w:rPr>
        <w:t>art.</w:t>
      </w:r>
      <w:r w:rsidRPr="005130D6">
        <w:rPr>
          <w:sz w:val="24"/>
          <w:szCs w:val="24"/>
          <w:lang w:eastAsia="en-US"/>
        </w:rPr>
        <w:t xml:space="preserve"> 153, de la actividad de las CCAA. No obstante, este artículo no se ha aplicado con anterioridad, ni en España, ni en Alemania, de cuya Ley fundamental se influencia el art. 155 CE español (Ley de Bonn, </w:t>
      </w:r>
      <w:r w:rsidR="0002135C">
        <w:rPr>
          <w:sz w:val="24"/>
          <w:szCs w:val="24"/>
          <w:lang w:eastAsia="en-US"/>
        </w:rPr>
        <w:t>art.</w:t>
      </w:r>
      <w:r w:rsidRPr="005130D6">
        <w:rPr>
          <w:sz w:val="24"/>
          <w:szCs w:val="24"/>
          <w:lang w:eastAsia="en-US"/>
        </w:rPr>
        <w:t xml:space="preserve"> 37)</w:t>
      </w:r>
      <w:r w:rsidRPr="005130D6">
        <w:rPr>
          <w:sz w:val="24"/>
          <w:szCs w:val="24"/>
          <w:vertAlign w:val="superscript"/>
          <w:lang w:eastAsia="en-US"/>
        </w:rPr>
        <w:footnoteReference w:id="79"/>
      </w:r>
      <w:r w:rsidRPr="005130D6">
        <w:rPr>
          <w:sz w:val="24"/>
          <w:szCs w:val="24"/>
          <w:lang w:eastAsia="en-US"/>
        </w:rPr>
        <w:t>. Así, surgen algunas cuestiones que deben ser aclaradas como el procedimiento a seguir, las posibles medidas a tomar o la pertinencia de su aplicación.</w:t>
      </w:r>
    </w:p>
    <w:p w:rsidR="0038777B" w:rsidRPr="005130D6" w:rsidRDefault="0038777B" w:rsidP="00E67EAC">
      <w:pPr>
        <w:spacing w:after="160" w:line="360" w:lineRule="auto"/>
        <w:jc w:val="both"/>
        <w:rPr>
          <w:sz w:val="24"/>
          <w:szCs w:val="24"/>
          <w:lang w:eastAsia="en-US"/>
        </w:rPr>
      </w:pPr>
    </w:p>
    <w:p w:rsidR="0038777B" w:rsidRPr="005130D6" w:rsidRDefault="0038777B" w:rsidP="00E67EAC">
      <w:pPr>
        <w:spacing w:after="160" w:line="360" w:lineRule="auto"/>
        <w:jc w:val="both"/>
        <w:rPr>
          <w:sz w:val="24"/>
          <w:szCs w:val="24"/>
          <w:u w:val="single"/>
          <w:lang w:eastAsia="en-US"/>
        </w:rPr>
      </w:pPr>
      <w:r w:rsidRPr="005130D6">
        <w:rPr>
          <w:sz w:val="24"/>
          <w:szCs w:val="24"/>
          <w:lang w:eastAsia="en-US"/>
        </w:rPr>
        <w:tab/>
      </w:r>
      <w:r w:rsidRPr="005130D6">
        <w:rPr>
          <w:sz w:val="24"/>
          <w:szCs w:val="24"/>
          <w:u w:val="single"/>
          <w:lang w:eastAsia="en-US"/>
        </w:rPr>
        <w:t>5.1.1. El procedimiento para la aplicación del artículo 155</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 xml:space="preserve">Una atenta lectura del artículo en cuestión nos revela que hay dos momentos en su aplicación; la actuación dañosa de una Comunidad Autónoma y la respuesta del Gobierno. </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La actuación de la Comunidad Autónoma implica tres aspectos; en primer lugar se concreta en una actuación positiva o negativa (acción u omisión), por otra parte el incumplimiento de las obligaciones constitucionales o legales tiene que ser efectivo, no bastando los peligros o las presunciones de incumplimiento y por último, la actuación debe ser imputable a una Comunidad Autónoma, entendida como colectividad o conjunto</w:t>
      </w:r>
      <w:r w:rsidRPr="005130D6">
        <w:rPr>
          <w:sz w:val="24"/>
          <w:szCs w:val="24"/>
          <w:vertAlign w:val="superscript"/>
          <w:lang w:eastAsia="en-US"/>
        </w:rPr>
        <w:footnoteReference w:id="80"/>
      </w:r>
      <w:r w:rsidRPr="005130D6">
        <w:rPr>
          <w:sz w:val="24"/>
          <w:szCs w:val="24"/>
          <w:lang w:eastAsia="en-US"/>
        </w:rPr>
        <w:t xml:space="preserve">. Una vez se ha dado este requisito </w:t>
      </w:r>
      <w:r w:rsidRPr="005130D6">
        <w:rPr>
          <w:i/>
          <w:sz w:val="24"/>
          <w:szCs w:val="24"/>
          <w:lang w:eastAsia="en-US"/>
        </w:rPr>
        <w:t>sine qua non</w:t>
      </w:r>
      <w:r w:rsidRPr="005130D6">
        <w:rPr>
          <w:sz w:val="24"/>
          <w:szCs w:val="24"/>
          <w:lang w:eastAsia="en-US"/>
        </w:rPr>
        <w:t xml:space="preserve">, la compulsión estatal del art. </w:t>
      </w:r>
      <w:r w:rsidRPr="005130D6">
        <w:rPr>
          <w:sz w:val="24"/>
          <w:szCs w:val="24"/>
          <w:lang w:eastAsia="en-US"/>
        </w:rPr>
        <w:lastRenderedPageBreak/>
        <w:t xml:space="preserve">155 CE puede desarrollar plenos efectos, siguiendo el procedimiento que analizaremos a continuación.  </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El procedimiento para la aplicación del art. 155 CE aparece regulado en el art. 189 del Reglamento del Senado</w:t>
      </w:r>
      <w:r w:rsidRPr="005130D6">
        <w:rPr>
          <w:sz w:val="24"/>
          <w:szCs w:val="24"/>
          <w:vertAlign w:val="superscript"/>
          <w:lang w:eastAsia="en-US"/>
        </w:rPr>
        <w:footnoteReference w:id="81"/>
      </w:r>
      <w:r w:rsidRPr="005130D6">
        <w:rPr>
          <w:sz w:val="24"/>
          <w:szCs w:val="24"/>
          <w:lang w:eastAsia="en-US"/>
        </w:rPr>
        <w:t>, pues es este el órgano encargado de hacer valer sus efectos. Así,  el primer paso que debe seguir el Gobierno para la aprobación del Senado de las medidas coercitivas es la remisión a su Presidente del contenido y alcance de dichas medidas, así como la justificación del cumplimiento de uno de los requisitos esenciales contenidos en el propio artículo constitucional; el requerimiento al Presidente de la Comunidad Autónoma, así como la justificación del incumplimiento de dicho requerimiento. Una vez este escrito se halla en poder del Presidente del Senado, este debe remitirlo a la Comisión General de las Comunidades Autónomas o a una Comisión creada ad hoc para el caso, que requerirá al Presidente de la Comunidad Autónoma implicada para que formule las alegaciones (u otras consideraciones) que estime oportunas. Finalmente, la Comisión formula una propuesta razonada sobre las medidas en cuestión, que se debatirá en el Senado para terminar con una votación en la que será necesaria la mayoría absoluta de votos a favor para su aprobación.</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Una vez aprobada la propuesta, el Gobierno procede a ejecutar las medidas coercitivas aprobadas, que pueden ser de muy diverso contenido.</w:t>
      </w:r>
    </w:p>
    <w:p w:rsidR="0038777B" w:rsidRPr="005130D6" w:rsidRDefault="0038777B" w:rsidP="00E67EAC">
      <w:pPr>
        <w:spacing w:after="160" w:line="360" w:lineRule="auto"/>
        <w:jc w:val="both"/>
        <w:rPr>
          <w:sz w:val="24"/>
          <w:szCs w:val="24"/>
          <w:lang w:eastAsia="en-US"/>
        </w:rPr>
      </w:pPr>
    </w:p>
    <w:p w:rsidR="0038777B" w:rsidRPr="005130D6" w:rsidRDefault="0038777B" w:rsidP="00E67EAC">
      <w:pPr>
        <w:spacing w:after="160" w:line="360" w:lineRule="auto"/>
        <w:jc w:val="both"/>
        <w:rPr>
          <w:sz w:val="24"/>
          <w:szCs w:val="24"/>
          <w:u w:val="single"/>
          <w:lang w:eastAsia="en-US"/>
        </w:rPr>
      </w:pPr>
      <w:r w:rsidRPr="005130D6">
        <w:rPr>
          <w:sz w:val="24"/>
          <w:szCs w:val="24"/>
          <w:lang w:eastAsia="en-US"/>
        </w:rPr>
        <w:tab/>
      </w:r>
      <w:r w:rsidRPr="005130D6">
        <w:rPr>
          <w:sz w:val="24"/>
          <w:szCs w:val="24"/>
          <w:u w:val="single"/>
          <w:lang w:eastAsia="en-US"/>
        </w:rPr>
        <w:t xml:space="preserve">5.1.2 Medidas derivadas </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Las medidas derivadas de la aplicación del art. 155 CE solo pueden ejercer de manera proporcionada y temporalmente limitada competencias atribuidas inicialmente a las CCAA, pero no disolver sus órganos ni alterar los procedimientos de su elección</w:t>
      </w:r>
      <w:r w:rsidRPr="005130D6">
        <w:rPr>
          <w:sz w:val="24"/>
          <w:szCs w:val="24"/>
          <w:vertAlign w:val="superscript"/>
          <w:lang w:eastAsia="en-US"/>
        </w:rPr>
        <w:footnoteReference w:id="82"/>
      </w:r>
      <w:r w:rsidRPr="005130D6">
        <w:rPr>
          <w:sz w:val="24"/>
          <w:szCs w:val="24"/>
          <w:lang w:eastAsia="en-US"/>
        </w:rPr>
        <w:t>.</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 xml:space="preserve">Realizar una enumeración de las medidas que se pueden adoptar en virtud de este artículo es cuanto menos una quimera, pues el tenor literal del artículo indica que se tomarán “las medidas necesarias para obligar a aquélla (Comunidad Autónoma) al cumplimiento forzoso de dichas obligaciones o para la protección del mencionado </w:t>
      </w:r>
      <w:r w:rsidRPr="005130D6">
        <w:rPr>
          <w:sz w:val="24"/>
          <w:szCs w:val="24"/>
          <w:lang w:eastAsia="en-US"/>
        </w:rPr>
        <w:lastRenderedPageBreak/>
        <w:t>interés general”. Así las cosas, debemos acudir a la doctrina para realizar una genérica división de las decisiones que puede tomar el Gobierno en estos casos: impartición de instrucciones a las autoridades autonómicas, subrogación puntual del Gobierno en las funciones correspondientes a las autoridades autonómicas, medidas de presión financiera, suspensión y privación de efectos jurídicos de los actos de las Comunidades Autónomas, suspensión de autoridades, disolución de instituciones autonómicas o, en los casos más extremos, uso de la fuerza armada mediante la movilización del ejército.</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Antes de comenzar a analizar de forma individualizada las diferentes medidas, conviene precisar algunas notas características que deben estar presentes en todas ellas. Según Vírgala Foruira “</w:t>
      </w:r>
      <w:r w:rsidRPr="003D196A">
        <w:rPr>
          <w:i/>
          <w:sz w:val="24"/>
          <w:szCs w:val="24"/>
          <w:lang w:eastAsia="en-US"/>
        </w:rPr>
        <w:t>las medidas, en todo caso, deben estar presididas por los principios de gradualidad, necesidad (limitante y habilitante: sólo las estrictamente necesarias pero todas las estrictamente necesarias), proporcionalidad y adecuación, transitoriedad (no sólo con fijación de un plazo concreto sino cesando en cuanto la situación se haya restablecido […]), concreción (por su carácter excepcional y por su incidencia en el derecho a la autonomía, y eso permite al TC un mayor control sobre las medidas), y menor intervención de los derechos autonómicos (medidas siempre las menos gravosas […])</w:t>
      </w:r>
      <w:r w:rsidR="003D196A">
        <w:rPr>
          <w:i/>
          <w:sz w:val="24"/>
          <w:szCs w:val="24"/>
          <w:lang w:eastAsia="en-US"/>
        </w:rPr>
        <w:t>”</w:t>
      </w:r>
      <w:r w:rsidRPr="005130D6">
        <w:rPr>
          <w:sz w:val="24"/>
          <w:szCs w:val="24"/>
          <w:vertAlign w:val="superscript"/>
          <w:lang w:eastAsia="en-US"/>
        </w:rPr>
        <w:footnoteReference w:id="83"/>
      </w:r>
      <w:r w:rsidRPr="005130D6">
        <w:rPr>
          <w:sz w:val="24"/>
          <w:szCs w:val="24"/>
          <w:lang w:eastAsia="en-US"/>
        </w:rPr>
        <w:t xml:space="preserve">. </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Comenzando por la medida más leve disponible, el Gobierno puede impartir a las autoridades de las CCAA instrucciones</w:t>
      </w:r>
      <w:r w:rsidRPr="005130D6">
        <w:rPr>
          <w:sz w:val="24"/>
          <w:szCs w:val="24"/>
          <w:vertAlign w:val="superscript"/>
          <w:lang w:eastAsia="en-US"/>
        </w:rPr>
        <w:footnoteReference w:id="84"/>
      </w:r>
      <w:r w:rsidRPr="005130D6">
        <w:rPr>
          <w:sz w:val="24"/>
          <w:szCs w:val="24"/>
          <w:lang w:eastAsia="en-US"/>
        </w:rPr>
        <w:t>. Estas instrucciones van dirigidas tanto a las autoridades como a los funcionarios autonómicos, ordenándoles lo pertinente para reconducir la situación a la normalidad legal y constitucional.</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 xml:space="preserve">La posibilidad de una subrogación puntual del Gobierno en los ámbitos competenciales propios de las autoridades comunitarias es más debatida; mientras que la doctrina mayoritaria apuesta por la existencia de esta posibilidad (Muñoz Machado, Albertí Rovira) bien mediante la asunción de competencias por parte de la Administración Central o periférica (Delegación de Gobierno) o por Comisiones creadas </w:t>
      </w:r>
      <w:r w:rsidRPr="005130D6">
        <w:rPr>
          <w:i/>
          <w:sz w:val="24"/>
          <w:szCs w:val="24"/>
          <w:lang w:eastAsia="en-US"/>
        </w:rPr>
        <w:t xml:space="preserve">ad hoc, </w:t>
      </w:r>
      <w:r w:rsidRPr="005130D6">
        <w:rPr>
          <w:sz w:val="24"/>
          <w:szCs w:val="24"/>
          <w:lang w:eastAsia="en-US"/>
        </w:rPr>
        <w:t>otros (Vírgala Foruira) consideran que solo es posible una disolución del Parlamento Autonómico por las Cortes Generales.</w:t>
      </w:r>
    </w:p>
    <w:p w:rsidR="0038777B" w:rsidRPr="005130D6" w:rsidRDefault="0038777B" w:rsidP="00E67EAC">
      <w:pPr>
        <w:spacing w:after="160" w:line="360" w:lineRule="auto"/>
        <w:jc w:val="both"/>
        <w:rPr>
          <w:sz w:val="24"/>
          <w:szCs w:val="24"/>
          <w:lang w:eastAsia="en-US"/>
        </w:rPr>
      </w:pPr>
      <w:r w:rsidRPr="005130D6">
        <w:rPr>
          <w:sz w:val="24"/>
          <w:szCs w:val="24"/>
          <w:lang w:eastAsia="en-US"/>
        </w:rPr>
        <w:lastRenderedPageBreak/>
        <w:tab/>
        <w:t>Las medidas de presión financiera pueden llevarse a cabo por diversos medios, como la suspensión de las transferencias de los servicios en curso, la suspensión de las transferencias del Fondo de Compensación Interterritorial, la suspensión de las participaciones en ingresos del Estado que éste venga obligado a entregar o la negativa de autorización para endeudamiento de la Comunidad Autónoma</w:t>
      </w:r>
      <w:r w:rsidRPr="005130D6">
        <w:rPr>
          <w:sz w:val="24"/>
          <w:szCs w:val="24"/>
          <w:vertAlign w:val="superscript"/>
          <w:lang w:eastAsia="en-US"/>
        </w:rPr>
        <w:footnoteReference w:id="85"/>
      </w:r>
      <w:r w:rsidRPr="005130D6">
        <w:rPr>
          <w:sz w:val="24"/>
          <w:szCs w:val="24"/>
          <w:lang w:eastAsia="en-US"/>
        </w:rPr>
        <w:t>.</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 xml:space="preserve">En lo referente a la suspensión de actos y autoridades autonómicas, no está claro si estas medidas entran en el ámbito regulador del </w:t>
      </w:r>
      <w:r w:rsidR="0002135C">
        <w:rPr>
          <w:sz w:val="24"/>
          <w:szCs w:val="24"/>
          <w:lang w:eastAsia="en-US"/>
        </w:rPr>
        <w:t>art.</w:t>
      </w:r>
      <w:r w:rsidRPr="005130D6">
        <w:rPr>
          <w:sz w:val="24"/>
          <w:szCs w:val="24"/>
          <w:lang w:eastAsia="en-US"/>
        </w:rPr>
        <w:t xml:space="preserve"> 155 CE, pues “</w:t>
      </w:r>
      <w:r w:rsidRPr="005130D6">
        <w:rPr>
          <w:i/>
          <w:sz w:val="24"/>
          <w:szCs w:val="24"/>
          <w:lang w:eastAsia="en-US"/>
        </w:rPr>
        <w:t>la función del art. 155 CE ha de considerarse como subsidiaria de la labor jurisdiccional del TC</w:t>
      </w:r>
      <w:r w:rsidRPr="005130D6">
        <w:rPr>
          <w:sz w:val="24"/>
          <w:szCs w:val="24"/>
          <w:lang w:eastAsia="en-US"/>
        </w:rPr>
        <w:t>”</w:t>
      </w:r>
      <w:r w:rsidRPr="005130D6">
        <w:rPr>
          <w:sz w:val="24"/>
          <w:szCs w:val="24"/>
          <w:vertAlign w:val="superscript"/>
          <w:lang w:eastAsia="en-US"/>
        </w:rPr>
        <w:footnoteReference w:id="86"/>
      </w:r>
      <w:r w:rsidRPr="005130D6">
        <w:rPr>
          <w:sz w:val="24"/>
          <w:szCs w:val="24"/>
          <w:lang w:eastAsia="en-US"/>
        </w:rPr>
        <w:t>. Dicho de otro modo, la suspensión de los actos de las CCAA ha de caer en la competencia propia del TC durante la tramitación de los procedimientos de declaración de inconstitucionalidad, antes de legitimar la aplicación del art. 155 CE. Sobre la suspensión de autoridades, recae igualmente la competencia en el TC tras su reforma de 2015 (que se analizará posteriormente).</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Sobre la disolución de las instituciones de una Comunidad Autónoma, según Calafell Ferrá</w:t>
      </w:r>
      <w:r w:rsidRPr="005130D6">
        <w:rPr>
          <w:sz w:val="24"/>
          <w:szCs w:val="24"/>
          <w:vertAlign w:val="superscript"/>
          <w:lang w:eastAsia="en-US"/>
        </w:rPr>
        <w:footnoteReference w:id="87"/>
      </w:r>
      <w:r w:rsidRPr="005130D6">
        <w:rPr>
          <w:sz w:val="24"/>
          <w:szCs w:val="24"/>
          <w:lang w:eastAsia="en-US"/>
        </w:rPr>
        <w:t xml:space="preserve"> “</w:t>
      </w:r>
      <w:r w:rsidRPr="005130D6">
        <w:rPr>
          <w:i/>
          <w:sz w:val="24"/>
          <w:szCs w:val="24"/>
          <w:lang w:eastAsia="en-US"/>
        </w:rPr>
        <w:t>la doctrina sostiene unánimemente que no cabe la disolución o suspensión de los entes autonómico a la vista de los principios que informan nuestro ordenamiento, en especial, el principio de autonomía constitucionalmente reconocidas</w:t>
      </w:r>
      <w:r w:rsidRPr="005130D6">
        <w:rPr>
          <w:sz w:val="24"/>
          <w:szCs w:val="24"/>
          <w:lang w:eastAsia="en-US"/>
        </w:rPr>
        <w:t>”. No obstante, dicha unanimidad no es tal, pues algún autor como Virgala Foruria acepta esta posibilidad si la Comunidad en cuestión vulnera el interés general de España</w:t>
      </w:r>
      <w:r w:rsidRPr="005130D6">
        <w:rPr>
          <w:sz w:val="24"/>
          <w:szCs w:val="24"/>
          <w:vertAlign w:val="superscript"/>
          <w:lang w:eastAsia="en-US"/>
        </w:rPr>
        <w:footnoteReference w:id="88"/>
      </w:r>
      <w:r w:rsidRPr="005130D6">
        <w:rPr>
          <w:sz w:val="24"/>
          <w:szCs w:val="24"/>
          <w:lang w:eastAsia="en-US"/>
        </w:rPr>
        <w:t>.</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Para finalizar, en los casos más extremos algún autor (Fernández Rodera) aboga por una movilización del ejército para el restablecimiento del orden jurídico y constitucional</w:t>
      </w:r>
      <w:r w:rsidRPr="005130D6">
        <w:rPr>
          <w:sz w:val="24"/>
          <w:szCs w:val="24"/>
          <w:vertAlign w:val="superscript"/>
          <w:lang w:eastAsia="en-US"/>
        </w:rPr>
        <w:footnoteReference w:id="89"/>
      </w:r>
      <w:r w:rsidRPr="005130D6">
        <w:rPr>
          <w:sz w:val="24"/>
          <w:szCs w:val="24"/>
          <w:lang w:eastAsia="en-US"/>
        </w:rPr>
        <w:t xml:space="preserve">. Aunque esta medida pueda parecer excesiva no sería la primera ocasión en la que se ejecuta, pues ya en 1934 el Gobierno envió a Catalunya al ejército como consecuencia de la proclamación de la República catalana, suceso que se saldó con numerosos muertos y heridos y que provocó la encarcelación de los dirigentes de la </w:t>
      </w:r>
      <w:r w:rsidRPr="005130D6">
        <w:rPr>
          <w:sz w:val="24"/>
          <w:szCs w:val="24"/>
          <w:lang w:eastAsia="en-US"/>
        </w:rPr>
        <w:lastRenderedPageBreak/>
        <w:t>Generalitat y la suspensión del Estatuto de Autonomía</w:t>
      </w:r>
      <w:r w:rsidRPr="005130D6">
        <w:rPr>
          <w:sz w:val="24"/>
          <w:szCs w:val="24"/>
          <w:vertAlign w:val="superscript"/>
          <w:lang w:eastAsia="en-US"/>
        </w:rPr>
        <w:footnoteReference w:id="90"/>
      </w:r>
      <w:r w:rsidRPr="005130D6">
        <w:rPr>
          <w:sz w:val="24"/>
          <w:szCs w:val="24"/>
          <w:lang w:eastAsia="en-US"/>
        </w:rPr>
        <w:t>. No obstante, tanto el ordenamiento jurídico como la sociedad, además del contexto internacional han sufrido radicales modificaciones, por lo que no es posible comparar aquella situación con la actual.</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Observamos pues que las medidas a adoptar en virtud del art. 155 CE son variadas, como variado es el alcance de las mismas y sus consecuencias, lo que hace dudar sobre la procedencia de su aplicación.</w:t>
      </w:r>
    </w:p>
    <w:p w:rsidR="0038777B" w:rsidRPr="005130D6" w:rsidRDefault="0038777B" w:rsidP="00E67EAC">
      <w:pPr>
        <w:spacing w:after="160" w:line="360" w:lineRule="auto"/>
        <w:jc w:val="both"/>
        <w:rPr>
          <w:sz w:val="24"/>
          <w:szCs w:val="24"/>
          <w:lang w:eastAsia="en-US"/>
        </w:rPr>
      </w:pPr>
    </w:p>
    <w:p w:rsidR="0038777B" w:rsidRPr="005130D6" w:rsidRDefault="0038777B" w:rsidP="00E67EAC">
      <w:pPr>
        <w:spacing w:after="160" w:line="360" w:lineRule="auto"/>
        <w:jc w:val="both"/>
        <w:rPr>
          <w:sz w:val="24"/>
          <w:szCs w:val="24"/>
          <w:u w:val="single"/>
          <w:lang w:eastAsia="en-US"/>
        </w:rPr>
      </w:pPr>
      <w:r w:rsidRPr="005130D6">
        <w:rPr>
          <w:sz w:val="24"/>
          <w:szCs w:val="24"/>
          <w:lang w:eastAsia="en-US"/>
        </w:rPr>
        <w:tab/>
      </w:r>
      <w:r w:rsidRPr="005130D6">
        <w:rPr>
          <w:sz w:val="24"/>
          <w:szCs w:val="24"/>
          <w:u w:val="single"/>
          <w:lang w:eastAsia="en-US"/>
        </w:rPr>
        <w:t>5.1.3 La pertinencia de la aplicación del artículo 155</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El debate sobre la procedencia de la aplicación del Art. 155 CE es sin duda uno de los más candentes en el panorama del Derecho Constitucional español y divide a la doctrina más autorizada</w:t>
      </w:r>
      <w:r w:rsidRPr="005130D6">
        <w:rPr>
          <w:sz w:val="24"/>
          <w:szCs w:val="24"/>
          <w:vertAlign w:val="superscript"/>
          <w:lang w:eastAsia="en-US"/>
        </w:rPr>
        <w:footnoteReference w:id="91"/>
      </w:r>
      <w:r w:rsidRPr="005130D6">
        <w:rPr>
          <w:sz w:val="24"/>
          <w:szCs w:val="24"/>
          <w:lang w:eastAsia="en-US"/>
        </w:rPr>
        <w:t xml:space="preserve">.  </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Existe una amplia mayoría de autores (Blanco Valdés, Freixes Sanjuan, García Fernández, Montilla Martos, Satrústegui Gil-Delgado, Virgala Foruira) a favor de su aplicación con un importante matiz; siempre que fuera necesario y, para algunos, como último recurso. En contraposición, son pocos quienes se o</w:t>
      </w:r>
      <w:r w:rsidR="003511BA">
        <w:rPr>
          <w:sz w:val="24"/>
          <w:szCs w:val="24"/>
          <w:lang w:eastAsia="en-US"/>
        </w:rPr>
        <w:t>ponen a la aplicación del a</w:t>
      </w:r>
      <w:r w:rsidRPr="005130D6">
        <w:rPr>
          <w:sz w:val="24"/>
          <w:szCs w:val="24"/>
          <w:lang w:eastAsia="en-US"/>
        </w:rPr>
        <w:t>rt. 155 CE (Albertí Rovira, Fossas Espadaler).</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Empezando con estos últimos, Albertí Rovira considera que no sería ni adecuado ni eficaz, y realiza algunas cuestiones que manifiestan la dificultad de su aplicación; ¿qué medidas se adoptarían? ¿Por cuánto tiempo? ¿Qué sucedería después? Por su parte, Fossas Espadaler afirma que, aunque ya se han producido supuestos para la aplicación de este artículo (a saber, la realización de la consulta del 9N y la aprobación de la R. 1/XI), algunas de las actuaciones que pueden derivarse de esta aplicación serían desproporcionadas.</w:t>
      </w:r>
    </w:p>
    <w:p w:rsidR="0038777B" w:rsidRPr="005130D6" w:rsidRDefault="0038777B" w:rsidP="00E67EAC">
      <w:pPr>
        <w:spacing w:after="160" w:line="360" w:lineRule="auto"/>
        <w:jc w:val="both"/>
        <w:rPr>
          <w:sz w:val="24"/>
          <w:szCs w:val="24"/>
          <w:lang w:eastAsia="en-US"/>
        </w:rPr>
      </w:pPr>
      <w:r w:rsidRPr="005130D6">
        <w:rPr>
          <w:sz w:val="24"/>
          <w:szCs w:val="24"/>
          <w:lang w:eastAsia="en-US"/>
        </w:rPr>
        <w:t xml:space="preserve"> </w:t>
      </w:r>
      <w:r w:rsidRPr="005130D6">
        <w:rPr>
          <w:sz w:val="24"/>
          <w:szCs w:val="24"/>
          <w:lang w:eastAsia="en-US"/>
        </w:rPr>
        <w:tab/>
        <w:t xml:space="preserve">En el lado opuesto se sitúa un nutrido grupo de autores. Blanco Valdés considera que el art. 155 forma parte de nuestra Ley fundamental al igual que cualquier otro, y no se trata de un artículo coaccionante o autoritario, sino propio de Estados </w:t>
      </w:r>
      <w:r w:rsidRPr="005130D6">
        <w:rPr>
          <w:sz w:val="24"/>
          <w:szCs w:val="24"/>
          <w:lang w:eastAsia="en-US"/>
        </w:rPr>
        <w:lastRenderedPageBreak/>
        <w:t>descentralizados. De este modo, considera que hasta el momento no ha sido necesaria su aplicación, pero que si las instituciones catalanas dirigen sus actuaciones a la desobediencia o la desconexión de una forma clara y directa, la aplicación de este mecanismo constitucional será inevitable (en similares términos se pronuncian Montilla Martos y Satrústegui Gil-Delgado), a lo que añade García Fernández que debe aplicarse en concurrencia con el Código Penal. Especialmente dura se muestra Freixes Sanjuan, pues es partidaria de aplicar el art. de forma directa, sin necesidad de una Ley que lo desarrolle, pues para ella el procedimiento está perfectamente definido en el propio texto constitucional. Aprueba igualmente su uso para evitar un desgaste del TC como “dique de contención secesionista”.</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 xml:space="preserve">Existe un punto de acuerdo entre estos autores, y es que todos convienen que la aplicación del </w:t>
      </w:r>
      <w:r w:rsidR="0002135C">
        <w:rPr>
          <w:sz w:val="24"/>
          <w:szCs w:val="24"/>
          <w:lang w:eastAsia="en-US"/>
        </w:rPr>
        <w:t>art.</w:t>
      </w:r>
      <w:r w:rsidRPr="005130D6">
        <w:rPr>
          <w:sz w:val="24"/>
          <w:szCs w:val="24"/>
          <w:lang w:eastAsia="en-US"/>
        </w:rPr>
        <w:t xml:space="preserve"> 155 CE es un recurso extraordinario que no debe usarse en cualquier momento, sino en el preciso y adecuado, con una especial premeditación y planeamiento. Merece una mención especial la opinión de Vírgala Foruira, para quien es inconcebible una solución por la fuerza como ocurriese en 1934. </w:t>
      </w:r>
    </w:p>
    <w:p w:rsidR="0038777B" w:rsidRDefault="0038777B" w:rsidP="00E67EAC">
      <w:pPr>
        <w:spacing w:after="160" w:line="360" w:lineRule="auto"/>
        <w:jc w:val="both"/>
        <w:rPr>
          <w:sz w:val="24"/>
          <w:szCs w:val="24"/>
          <w:lang w:eastAsia="en-US"/>
        </w:rPr>
      </w:pPr>
      <w:r w:rsidRPr="005130D6">
        <w:rPr>
          <w:sz w:val="24"/>
          <w:szCs w:val="24"/>
          <w:lang w:eastAsia="en-US"/>
        </w:rPr>
        <w:tab/>
        <w:t>Es imposible desechar la aplicación del art. 155 CE de forma absoluta, pues es un mecanismo jurídico presente en nuestro ordenamiento y como tal debe tenerse en cuenta. No obstante, aunando las opiniones de Fossas Espadaler y Freixes Sanjuan, consideramos poco o nada eficaz la aplicación de este artículo en el fondo de la cuestión, y aunque está claro que el art. 155 es una opción válida, existen otros mecanismos de resolución del conflicto (tanto políticos como jurídicos) que deben ser considerados y que no dirigirán la situación en Catalunya a un punto de no retorno, como podría derivarse de la aplicación del 155.</w:t>
      </w:r>
    </w:p>
    <w:p w:rsidR="001D3DD5" w:rsidRDefault="001D3DD5" w:rsidP="001D3DD5">
      <w:pPr>
        <w:spacing w:after="160" w:line="360" w:lineRule="auto"/>
        <w:jc w:val="both"/>
        <w:rPr>
          <w:sz w:val="24"/>
          <w:szCs w:val="24"/>
          <w:lang w:eastAsia="en-US"/>
        </w:rPr>
      </w:pPr>
    </w:p>
    <w:p w:rsidR="0038777B" w:rsidRPr="005130D6" w:rsidRDefault="0038777B" w:rsidP="007465D1">
      <w:pPr>
        <w:spacing w:after="160" w:line="360" w:lineRule="auto"/>
        <w:ind w:firstLine="708"/>
        <w:jc w:val="both"/>
        <w:rPr>
          <w:b/>
          <w:sz w:val="24"/>
          <w:szCs w:val="24"/>
          <w:lang w:eastAsia="en-US"/>
        </w:rPr>
      </w:pPr>
      <w:r w:rsidRPr="005130D6">
        <w:rPr>
          <w:b/>
          <w:sz w:val="24"/>
          <w:szCs w:val="24"/>
          <w:lang w:eastAsia="en-US"/>
        </w:rPr>
        <w:t>5.2. La reforma de la Ley Orgánica del Tribunal Constitucional de 2015</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 xml:space="preserve">Es innegable la fuerza normativa y la posición predominante que ostenta el art 155 CE frente al secesionismo. No obstante, no es el único instrumento jurídico frente a este conflicto territorial, y encontramos una gran prueba de ello en la reforma que el </w:t>
      </w:r>
      <w:r w:rsidRPr="005130D6">
        <w:rPr>
          <w:sz w:val="24"/>
          <w:szCs w:val="24"/>
          <w:lang w:eastAsia="en-US"/>
        </w:rPr>
        <w:lastRenderedPageBreak/>
        <w:t>legislativo efectuó en la Ley Orgánica del Tribunal Constitucional (en adelante LOTC)</w:t>
      </w:r>
      <w:r w:rsidRPr="005130D6">
        <w:rPr>
          <w:sz w:val="24"/>
          <w:szCs w:val="24"/>
          <w:vertAlign w:val="superscript"/>
          <w:lang w:eastAsia="en-US"/>
        </w:rPr>
        <w:footnoteReference w:id="92"/>
      </w:r>
      <w:r w:rsidRPr="005130D6">
        <w:rPr>
          <w:sz w:val="24"/>
          <w:szCs w:val="24"/>
          <w:lang w:eastAsia="en-US"/>
        </w:rPr>
        <w:t>.</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Esta reforma fue operada por la Ley Orgánica 15/2015, de 16 de octubre de 2015</w:t>
      </w:r>
      <w:r w:rsidRPr="005130D6">
        <w:rPr>
          <w:sz w:val="24"/>
          <w:szCs w:val="24"/>
          <w:vertAlign w:val="superscript"/>
          <w:lang w:eastAsia="en-US"/>
        </w:rPr>
        <w:footnoteReference w:id="93"/>
      </w:r>
      <w:r w:rsidRPr="005130D6">
        <w:rPr>
          <w:sz w:val="24"/>
          <w:szCs w:val="24"/>
          <w:lang w:eastAsia="en-US"/>
        </w:rPr>
        <w:t>. Esta reforma resulta algo incoherente, ya que en la propia exposición de motivos la norma se contradice, en primer lugar se enuncia la necesidad de  asegurar los instrumentos jurídicos suficientes para garantizar la efectividad de las resoluciones judiciales (del TC en este caso), para posteriormente aseverar que la actual regulación del TC contiene los principios generales para garantizar la efectividad de sus resoluciones. Esta clara falta de pertinencia de la reforma la salva el legislador aludiendo a la necesidad de adaptarse a las nuevas situaciones que pretenden esquivar los efectos de estas resoluciones (entendemos por “nuevas situaciones” el proceso independentista catalán).</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Obviando el complejo asunto de la pertinencia de la reforma y entrando de lleno en su contenido, podemos apreciar que este se centra en la modificación del art 87.2 LOTC, que atribuye el carácter de título ejecutivo a las sentencias y resoluciones del Tribunal, y fundamentalmente del art 92, otorgando al TC diversas potestades para asegurar la eficacia de sus resoluciones, a saber: imposición de multas coercitivas por importe de hasta treinta mil euros, suspensión provisional de cargos públicos durante el tiempo necesario para que se respete la resolución, ejecución sustitutoria de las resoluciones recaídas en los procesos constitucionales (el Tribunal puede apoyarse en el Gobierno para hacer cumplir sus resoluciones) y deducir el oportuno testimonio de particulares para exigir la responsabilidad penal que pudiera corresponder.</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 xml:space="preserve">Es sin duda la potestad de suspensión de autoridades y empleados públicos la que más controversia ha generado. Respecto a esta cuestión, el Gobierno vasco </w:t>
      </w:r>
      <w:r w:rsidRPr="005130D6">
        <w:rPr>
          <w:sz w:val="24"/>
          <w:szCs w:val="24"/>
          <w:lang w:eastAsia="en-US"/>
        </w:rPr>
        <w:lastRenderedPageBreak/>
        <w:t>interpuso un recurso de constitucionalidad que obtuvo respuesta en la Sentencia TC 185/2016</w:t>
      </w:r>
      <w:r w:rsidRPr="005130D6">
        <w:rPr>
          <w:sz w:val="24"/>
          <w:szCs w:val="24"/>
          <w:vertAlign w:val="superscript"/>
          <w:lang w:eastAsia="en-US"/>
        </w:rPr>
        <w:footnoteReference w:id="94"/>
      </w:r>
      <w:r w:rsidRPr="005130D6">
        <w:rPr>
          <w:sz w:val="24"/>
          <w:szCs w:val="24"/>
          <w:lang w:eastAsia="en-US"/>
        </w:rPr>
        <w:t xml:space="preserve">. </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Esta sentencia desestima el recurso de inconstitucionalidad, respaldando así la constitucionalidad de la norma, alegando que la suspensión de autoridades autonómicas que establece el art 92.4 b) LOTC no es una medida de carácter punitivo o sancionador (lo que sin duda habría supuesto la inconstitucionalidad del precepto), sino una medida destinada a evitar la persistencia en el incumplimiento de una resolución TC</w:t>
      </w:r>
      <w:r w:rsidRPr="005130D6">
        <w:rPr>
          <w:sz w:val="24"/>
          <w:szCs w:val="24"/>
          <w:vertAlign w:val="superscript"/>
          <w:lang w:eastAsia="en-US"/>
        </w:rPr>
        <w:footnoteReference w:id="95"/>
      </w:r>
      <w:r w:rsidRPr="005130D6">
        <w:rPr>
          <w:sz w:val="24"/>
          <w:szCs w:val="24"/>
          <w:lang w:eastAsia="en-US"/>
        </w:rPr>
        <w:t xml:space="preserve">. </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No obstante el TC no se posicionó de forma unánime, pues tres de los doce magistrados emitieron un voto particular oponiéndose a la constitucionalidad de la norma. Así, para la Magistrada Asua Batarrita el TC ha ofrecido en esta sentencia una argumentación “leve”, que pasa de puntillas sobre el fondo de la cuestión y el legislador ha traspasado los límites constitucionales que tiene como poder constituido, al alterar el modelo de jurisdicción</w:t>
      </w:r>
      <w:r w:rsidRPr="005130D6">
        <w:rPr>
          <w:sz w:val="24"/>
          <w:szCs w:val="24"/>
          <w:vertAlign w:val="superscript"/>
          <w:lang w:eastAsia="en-US"/>
        </w:rPr>
        <w:footnoteReference w:id="96"/>
      </w:r>
      <w:r w:rsidRPr="005130D6">
        <w:rPr>
          <w:sz w:val="24"/>
          <w:szCs w:val="24"/>
          <w:lang w:eastAsia="en-US"/>
        </w:rPr>
        <w:t xml:space="preserve">. Por su parte, el Magistrado Valdés Dal-Ré realiza tres críticas a la sentencia en su voto particular: </w:t>
      </w:r>
      <w:r w:rsidRPr="005130D6">
        <w:rPr>
          <w:i/>
          <w:sz w:val="24"/>
          <w:szCs w:val="24"/>
          <w:lang w:eastAsia="en-US"/>
        </w:rPr>
        <w:t>“la entera fundamentación de la resolución de mi disentimiento discurre a través de tres grandes ejes […]. Son ellos […] la insuficiente argumentación de la que adolece el escrito del recurso de inconstitucionalidad, la decisión del constituyente de reenviar a una intensa libertad normativa del legislador orgánico los elementos estructuradores del Tribunal Constitucional y el parámetro de constitucionalidad de obligada utilización, que no es otro que un control abstracto que actúa con un doble alcance: en sentido negativo, vedando todo pronunciamiento sobre concretas aplicaciones de los preceptos legales recurridos y, en sentido positivo, exigiendo contrastar el contenido de esos preceptos con los pasajes constitucionales cuya infracción se invoca”</w:t>
      </w:r>
      <w:r w:rsidRPr="005130D6">
        <w:rPr>
          <w:sz w:val="24"/>
          <w:szCs w:val="24"/>
          <w:vertAlign w:val="superscript"/>
          <w:lang w:eastAsia="en-US"/>
        </w:rPr>
        <w:footnoteReference w:id="97"/>
      </w:r>
      <w:r w:rsidRPr="005130D6">
        <w:rPr>
          <w:sz w:val="24"/>
          <w:szCs w:val="24"/>
          <w:lang w:eastAsia="en-US"/>
        </w:rPr>
        <w:t xml:space="preserve">. Finalmente el voto particular del Magistrado Xiol Ríos estima igualmente la inconstitucionalidad del art 92.4 en sus apartados b) y c), pues </w:t>
      </w:r>
      <w:r w:rsidRPr="005130D6">
        <w:rPr>
          <w:sz w:val="24"/>
          <w:szCs w:val="24"/>
          <w:lang w:eastAsia="en-US"/>
        </w:rPr>
        <w:lastRenderedPageBreak/>
        <w:t>considera que en efecto son materialmente sancionadores y constituyen una auténtica ejecución sustitoria constitucionalmente reservada al art 155 CE</w:t>
      </w:r>
      <w:r w:rsidRPr="005130D6">
        <w:rPr>
          <w:sz w:val="24"/>
          <w:szCs w:val="24"/>
          <w:vertAlign w:val="superscript"/>
          <w:lang w:eastAsia="en-US"/>
        </w:rPr>
        <w:footnoteReference w:id="98"/>
      </w:r>
      <w:r w:rsidRPr="005130D6">
        <w:rPr>
          <w:sz w:val="24"/>
          <w:szCs w:val="24"/>
          <w:lang w:eastAsia="en-US"/>
        </w:rPr>
        <w:t>.</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 xml:space="preserve">Nos encontramos pues ante una ley elaborada claramente </w:t>
      </w:r>
      <w:r w:rsidRPr="005130D6">
        <w:rPr>
          <w:i/>
          <w:sz w:val="24"/>
          <w:szCs w:val="24"/>
          <w:lang w:eastAsia="en-US"/>
        </w:rPr>
        <w:t>ad casum</w:t>
      </w:r>
      <w:r w:rsidRPr="005130D6">
        <w:rPr>
          <w:sz w:val="24"/>
          <w:szCs w:val="24"/>
          <w:lang w:eastAsia="en-US"/>
        </w:rPr>
        <w:t xml:space="preserve">, sin el consenso necesario (fue aprobada únicamente con el apoyo de un grupo parlamentario), los procedimientos adecuados (al tramitarse de urgencia no fue consultado el Consejo General del Poder Judicial, no se estableció </w:t>
      </w:r>
      <w:r w:rsidRPr="005130D6">
        <w:rPr>
          <w:i/>
          <w:sz w:val="24"/>
          <w:szCs w:val="24"/>
          <w:lang w:eastAsia="en-US"/>
        </w:rPr>
        <w:t>vacatio legis</w:t>
      </w:r>
      <w:r w:rsidRPr="005130D6">
        <w:rPr>
          <w:sz w:val="24"/>
          <w:szCs w:val="24"/>
          <w:lang w:eastAsia="en-US"/>
        </w:rPr>
        <w:t xml:space="preserve"> y no pasó un control por parte de ninguna comisión), y, en definitiva, la reflexión que merece una reforma de este calado</w:t>
      </w:r>
      <w:r w:rsidRPr="005130D6">
        <w:rPr>
          <w:sz w:val="24"/>
          <w:szCs w:val="24"/>
          <w:vertAlign w:val="superscript"/>
          <w:lang w:eastAsia="en-US"/>
        </w:rPr>
        <w:footnoteReference w:id="99"/>
      </w:r>
      <w:r w:rsidRPr="005130D6">
        <w:rPr>
          <w:sz w:val="24"/>
          <w:szCs w:val="24"/>
          <w:lang w:eastAsia="en-US"/>
        </w:rPr>
        <w:t>. Esto sumado a la cuestionable pertinencia de la reforma hace difícilmente justificable su razón de ser y corto su recorrido.</w:t>
      </w:r>
    </w:p>
    <w:p w:rsidR="001D3DD5" w:rsidRDefault="001D3DD5" w:rsidP="001D3DD5">
      <w:pPr>
        <w:spacing w:after="160" w:line="360" w:lineRule="auto"/>
        <w:jc w:val="both"/>
        <w:outlineLvl w:val="0"/>
        <w:rPr>
          <w:sz w:val="24"/>
          <w:szCs w:val="24"/>
          <w:lang w:eastAsia="en-US"/>
        </w:rPr>
      </w:pPr>
    </w:p>
    <w:p w:rsidR="0038777B" w:rsidRPr="005130D6" w:rsidRDefault="0038777B" w:rsidP="007465D1">
      <w:pPr>
        <w:spacing w:after="160" w:line="360" w:lineRule="auto"/>
        <w:ind w:firstLine="708"/>
        <w:jc w:val="both"/>
        <w:outlineLvl w:val="0"/>
        <w:rPr>
          <w:b/>
          <w:sz w:val="24"/>
          <w:szCs w:val="24"/>
          <w:lang w:eastAsia="en-US"/>
        </w:rPr>
      </w:pPr>
      <w:r w:rsidRPr="005130D6">
        <w:rPr>
          <w:b/>
          <w:sz w:val="24"/>
          <w:szCs w:val="24"/>
          <w:lang w:eastAsia="en-US"/>
        </w:rPr>
        <w:t>5.3. La secesión en el Código Penal español</w:t>
      </w:r>
    </w:p>
    <w:p w:rsidR="0038777B" w:rsidRPr="005130D6" w:rsidRDefault="0038777B" w:rsidP="00E67EAC">
      <w:pPr>
        <w:spacing w:after="160" w:line="360" w:lineRule="auto"/>
        <w:jc w:val="both"/>
        <w:rPr>
          <w:b/>
          <w:sz w:val="24"/>
          <w:szCs w:val="24"/>
          <w:lang w:eastAsia="en-US"/>
        </w:rPr>
      </w:pPr>
      <w:r w:rsidRPr="005130D6">
        <w:rPr>
          <w:sz w:val="24"/>
          <w:szCs w:val="24"/>
          <w:lang w:eastAsia="en-US"/>
        </w:rPr>
        <w:tab/>
        <w:t>Otro instrumento jurídico para combatir el secesionismo lo encontramos en el Código Penal español</w:t>
      </w:r>
      <w:r w:rsidRPr="005130D6">
        <w:rPr>
          <w:sz w:val="24"/>
          <w:szCs w:val="24"/>
          <w:vertAlign w:val="superscript"/>
          <w:lang w:eastAsia="en-US"/>
        </w:rPr>
        <w:footnoteReference w:id="100"/>
      </w:r>
      <w:r w:rsidRPr="005130D6">
        <w:rPr>
          <w:sz w:val="24"/>
          <w:szCs w:val="24"/>
          <w:lang w:eastAsia="en-US"/>
        </w:rPr>
        <w:t xml:space="preserve"> (en adelante CP) con los delitos de desobediencia, rebelión y, primordialmente, de sedición.</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Comenzando por el delito de desobediencia recogido en el art. 410 CP</w:t>
      </w:r>
      <w:r w:rsidRPr="005130D6">
        <w:rPr>
          <w:sz w:val="24"/>
          <w:szCs w:val="24"/>
          <w:vertAlign w:val="superscript"/>
          <w:lang w:eastAsia="en-US"/>
        </w:rPr>
        <w:footnoteReference w:id="101"/>
      </w:r>
      <w:r w:rsidRPr="005130D6">
        <w:rPr>
          <w:sz w:val="24"/>
          <w:szCs w:val="24"/>
          <w:lang w:eastAsia="en-US"/>
        </w:rPr>
        <w:t>, constituye su conducta típica la negación abierta a dar cumplimiento a las resoluciones judiciales, decisiones u órdenes de la autoridad superior. Debemos pues centrarnos en la negación a dar cumplimiento a resoluciones judiciales, puesto que ningún órgano administrativo estatal es jerárquicamente superior a los autonómicos, por lo que no es posible que una autoridad catalana reciba órdenes o decisiones de una autoridad estatal. El sujeto activo del delito es autoridad o funcionario público, por lo que se trata de un delito especial. Si esta desobediencia conlleva además el desembolso de fondos públicos podría producirse un concurso de delitos entre desobediencia y malversación (art. 432 CP).</w:t>
      </w:r>
    </w:p>
    <w:p w:rsidR="0038777B" w:rsidRPr="005130D6" w:rsidRDefault="0038777B" w:rsidP="00E67EAC">
      <w:pPr>
        <w:spacing w:after="160" w:line="360" w:lineRule="auto"/>
        <w:jc w:val="both"/>
        <w:rPr>
          <w:sz w:val="24"/>
          <w:szCs w:val="24"/>
          <w:lang w:eastAsia="en-US"/>
        </w:rPr>
      </w:pPr>
      <w:r w:rsidRPr="005130D6">
        <w:rPr>
          <w:sz w:val="24"/>
          <w:szCs w:val="24"/>
          <w:lang w:eastAsia="en-US"/>
        </w:rPr>
        <w:lastRenderedPageBreak/>
        <w:tab/>
        <w:t>El delito de rebelión que contiene el art. 472 CP recoge múltiples conductas típicas, no obstante solo algunas conciernen a la integridad territorial del Estado; derogar, modificar o suspender la Constitución y declarar la independencia de una parte del territorio nacional. Además se castiga de forma agravada a los instigadores o promotores de la rebelión, así como a los militares que no hagan lo posible por sofocarla.</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 xml:space="preserve">Por último, encontramos con especial importancia el delito de sedición, al que el CP dedica todo el Capítulo Primero del Título XXII (delitos contra el orden público). Así, el art. 544 CP define como reo de sedición a quienes </w:t>
      </w:r>
      <w:r w:rsidRPr="005130D6">
        <w:rPr>
          <w:i/>
          <w:sz w:val="24"/>
          <w:szCs w:val="24"/>
          <w:lang w:eastAsia="en-US"/>
        </w:rPr>
        <w:t xml:space="preserve">“se alcen pública y tumultuariamente para impedir, por la fuerza o fuera de las vías legales, la aplicación de las Leyes o a cualquier autoridad, corporación oficial o funcionario público, el legítimo ejercicio de sus funciones o el cumplimiento de sus acuerdos, o de las resoluciones administrativas o judiciales”. </w:t>
      </w:r>
      <w:r w:rsidRPr="005130D6">
        <w:rPr>
          <w:sz w:val="24"/>
          <w:szCs w:val="24"/>
          <w:lang w:eastAsia="en-US"/>
        </w:rPr>
        <w:t>El delito de sedición es residual, puesto que pena expresamente las conductas que el de rebelión no puede abarcar. Cabe señalar que los momentos preparatorios son específicamente punibles</w:t>
      </w:r>
      <w:r w:rsidRPr="005130D6">
        <w:rPr>
          <w:sz w:val="24"/>
          <w:szCs w:val="24"/>
          <w:vertAlign w:val="superscript"/>
          <w:lang w:eastAsia="en-US"/>
        </w:rPr>
        <w:footnoteReference w:id="102"/>
      </w:r>
      <w:r w:rsidRPr="005130D6">
        <w:rPr>
          <w:sz w:val="24"/>
          <w:szCs w:val="24"/>
          <w:lang w:eastAsia="en-US"/>
        </w:rPr>
        <w:t xml:space="preserve">. </w:t>
      </w:r>
    </w:p>
    <w:p w:rsidR="001D3DD5" w:rsidRDefault="001D3DD5" w:rsidP="001D3DD5">
      <w:pPr>
        <w:spacing w:after="160" w:line="360" w:lineRule="auto"/>
        <w:jc w:val="both"/>
        <w:outlineLvl w:val="0"/>
        <w:rPr>
          <w:sz w:val="24"/>
          <w:szCs w:val="24"/>
          <w:lang w:eastAsia="en-US"/>
        </w:rPr>
      </w:pPr>
    </w:p>
    <w:p w:rsidR="0038777B" w:rsidRPr="005130D6" w:rsidRDefault="0038777B" w:rsidP="007465D1">
      <w:pPr>
        <w:spacing w:after="160" w:line="360" w:lineRule="auto"/>
        <w:ind w:firstLine="708"/>
        <w:jc w:val="both"/>
        <w:outlineLvl w:val="0"/>
        <w:rPr>
          <w:b/>
          <w:sz w:val="24"/>
          <w:szCs w:val="24"/>
          <w:lang w:eastAsia="en-US"/>
        </w:rPr>
      </w:pPr>
      <w:r w:rsidRPr="005130D6">
        <w:rPr>
          <w:b/>
          <w:sz w:val="24"/>
          <w:szCs w:val="24"/>
          <w:lang w:eastAsia="en-US"/>
        </w:rPr>
        <w:t>5.4. El estado de sitio</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El estado de sitio aparece recogido en el art. 116 CE junto a los estados de excepción y alarma. De acuerdo al mandato constitucional, la Ley Orgánica 4/1981, de 1 de junio</w:t>
      </w:r>
      <w:r w:rsidRPr="005130D6">
        <w:rPr>
          <w:sz w:val="24"/>
          <w:szCs w:val="24"/>
          <w:vertAlign w:val="superscript"/>
          <w:lang w:eastAsia="en-US"/>
        </w:rPr>
        <w:footnoteReference w:id="103"/>
      </w:r>
      <w:r w:rsidRPr="005130D6">
        <w:rPr>
          <w:sz w:val="24"/>
          <w:szCs w:val="24"/>
          <w:lang w:eastAsia="en-US"/>
        </w:rPr>
        <w:t xml:space="preserve"> desarrolló el estado de sitio, reservado según el art. 32 de la LO para las ocasiones en las que se produzca o amenace producirse una insurrección o acto de fuerza contra la soberanía o independencia de España, su integridad territorial o el ordenamiento constitucional.</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 xml:space="preserve">Debe ser propuesto por el Congreso de los Diputados, que determinará en su proposición el ámbito territorial, la duración y las condiciones del estado de sitio. En definitiva, el estado de sitio no es más que una manifestación de la protección </w:t>
      </w:r>
      <w:r w:rsidRPr="005130D6">
        <w:rPr>
          <w:sz w:val="24"/>
          <w:szCs w:val="24"/>
          <w:lang w:eastAsia="en-US"/>
        </w:rPr>
        <w:lastRenderedPageBreak/>
        <w:t>extraordinaria del Estado, manifestada en la suspensión de ciertos derechos individuales concretos</w:t>
      </w:r>
      <w:r w:rsidRPr="005130D6">
        <w:rPr>
          <w:sz w:val="24"/>
          <w:szCs w:val="24"/>
          <w:vertAlign w:val="superscript"/>
          <w:lang w:eastAsia="en-US"/>
        </w:rPr>
        <w:footnoteReference w:id="104"/>
      </w:r>
      <w:r w:rsidRPr="005130D6">
        <w:rPr>
          <w:sz w:val="24"/>
          <w:szCs w:val="24"/>
          <w:lang w:eastAsia="en-US"/>
        </w:rPr>
        <w:t>.</w:t>
      </w:r>
    </w:p>
    <w:p w:rsidR="0038777B" w:rsidRPr="005130D6" w:rsidRDefault="0038777B" w:rsidP="00E67EAC">
      <w:pPr>
        <w:spacing w:after="160" w:line="360" w:lineRule="auto"/>
        <w:jc w:val="both"/>
        <w:rPr>
          <w:sz w:val="24"/>
          <w:szCs w:val="24"/>
          <w:lang w:eastAsia="en-US"/>
        </w:rPr>
      </w:pPr>
      <w:r w:rsidRPr="005130D6">
        <w:rPr>
          <w:sz w:val="24"/>
          <w:szCs w:val="24"/>
          <w:lang w:eastAsia="en-US"/>
        </w:rPr>
        <w:tab/>
        <w:t xml:space="preserve">No obstante, su aplicación en el proceso catalán se antoja difícil, pues nada hace indicar que se vaya a producir uno de los presupuestos necesarios para su aplicación (insurrección o acto de fuerza contra la integridad territorial de España). Adicionalmente, podemos añadir que su aplicación es igualmente innecesaria y se antoja como una medida residual, pues para casos más graves aparece el art. 155 CE y para casos más leves existen diversos tipos penales como el de sedición o incluso rebelión.  </w:t>
      </w:r>
    </w:p>
    <w:p w:rsidR="0038777B" w:rsidRDefault="0038777B" w:rsidP="00E67EAC">
      <w:pPr>
        <w:spacing w:after="160" w:line="360" w:lineRule="auto"/>
        <w:jc w:val="both"/>
        <w:rPr>
          <w:sz w:val="24"/>
          <w:szCs w:val="24"/>
          <w:lang w:eastAsia="en-US"/>
        </w:rPr>
      </w:pPr>
    </w:p>
    <w:p w:rsidR="0038777B" w:rsidRDefault="0038777B" w:rsidP="00E67EAC">
      <w:pPr>
        <w:spacing w:after="160" w:line="360" w:lineRule="auto"/>
        <w:jc w:val="both"/>
        <w:rPr>
          <w:sz w:val="24"/>
          <w:szCs w:val="24"/>
          <w:lang w:eastAsia="en-US"/>
        </w:rPr>
      </w:pPr>
    </w:p>
    <w:p w:rsidR="0038777B" w:rsidRDefault="0038777B" w:rsidP="00E67EAC">
      <w:pPr>
        <w:spacing w:after="160" w:line="360" w:lineRule="auto"/>
        <w:jc w:val="both"/>
        <w:rPr>
          <w:sz w:val="24"/>
          <w:szCs w:val="24"/>
          <w:lang w:eastAsia="en-US"/>
        </w:rPr>
      </w:pPr>
    </w:p>
    <w:p w:rsidR="0038777B" w:rsidRDefault="0038777B" w:rsidP="00E67EAC">
      <w:pPr>
        <w:spacing w:after="160" w:line="360" w:lineRule="auto"/>
        <w:jc w:val="both"/>
        <w:rPr>
          <w:sz w:val="24"/>
          <w:szCs w:val="24"/>
          <w:lang w:eastAsia="en-US"/>
        </w:rPr>
      </w:pPr>
    </w:p>
    <w:p w:rsidR="0038777B" w:rsidRDefault="0038777B" w:rsidP="00E67EAC">
      <w:pPr>
        <w:spacing w:after="160" w:line="360" w:lineRule="auto"/>
        <w:jc w:val="both"/>
        <w:rPr>
          <w:sz w:val="24"/>
          <w:szCs w:val="24"/>
          <w:lang w:eastAsia="en-US"/>
        </w:rPr>
      </w:pPr>
    </w:p>
    <w:p w:rsidR="0038777B" w:rsidRDefault="0038777B" w:rsidP="00E67EAC">
      <w:pPr>
        <w:spacing w:after="160" w:line="360" w:lineRule="auto"/>
        <w:jc w:val="both"/>
        <w:rPr>
          <w:sz w:val="24"/>
          <w:szCs w:val="24"/>
          <w:lang w:eastAsia="en-US"/>
        </w:rPr>
      </w:pPr>
    </w:p>
    <w:p w:rsidR="0038777B" w:rsidRDefault="0038777B" w:rsidP="00E67EAC">
      <w:pPr>
        <w:spacing w:after="160" w:line="360" w:lineRule="auto"/>
        <w:jc w:val="both"/>
        <w:rPr>
          <w:sz w:val="24"/>
          <w:szCs w:val="24"/>
          <w:lang w:eastAsia="en-US"/>
        </w:rPr>
      </w:pPr>
    </w:p>
    <w:p w:rsidR="0038777B" w:rsidRDefault="0038777B" w:rsidP="00E67EAC">
      <w:pPr>
        <w:spacing w:after="160" w:line="360" w:lineRule="auto"/>
        <w:jc w:val="both"/>
        <w:rPr>
          <w:sz w:val="24"/>
          <w:szCs w:val="24"/>
          <w:lang w:eastAsia="en-US"/>
        </w:rPr>
      </w:pPr>
    </w:p>
    <w:p w:rsidR="0038777B" w:rsidRDefault="0038777B" w:rsidP="00E67EAC">
      <w:pPr>
        <w:spacing w:after="160" w:line="360" w:lineRule="auto"/>
        <w:jc w:val="both"/>
        <w:rPr>
          <w:sz w:val="24"/>
          <w:szCs w:val="24"/>
          <w:lang w:eastAsia="en-US"/>
        </w:rPr>
      </w:pPr>
    </w:p>
    <w:p w:rsidR="0038777B" w:rsidRDefault="0038777B" w:rsidP="00E67EAC">
      <w:pPr>
        <w:spacing w:after="160" w:line="360" w:lineRule="auto"/>
        <w:jc w:val="both"/>
        <w:rPr>
          <w:sz w:val="24"/>
          <w:szCs w:val="24"/>
          <w:lang w:eastAsia="en-US"/>
        </w:rPr>
      </w:pPr>
    </w:p>
    <w:p w:rsidR="0038777B" w:rsidRDefault="0038777B" w:rsidP="00E67EAC">
      <w:pPr>
        <w:spacing w:after="160" w:line="360" w:lineRule="auto"/>
        <w:jc w:val="both"/>
        <w:rPr>
          <w:sz w:val="24"/>
          <w:szCs w:val="24"/>
          <w:lang w:eastAsia="en-US"/>
        </w:rPr>
      </w:pPr>
    </w:p>
    <w:p w:rsidR="0038777B" w:rsidRPr="005130D6" w:rsidRDefault="0038777B" w:rsidP="00E67EAC">
      <w:pPr>
        <w:spacing w:after="160" w:line="360" w:lineRule="auto"/>
        <w:jc w:val="both"/>
        <w:rPr>
          <w:sz w:val="24"/>
          <w:szCs w:val="24"/>
          <w:lang w:eastAsia="en-US"/>
        </w:rPr>
      </w:pPr>
    </w:p>
    <w:p w:rsidR="0038777B" w:rsidRDefault="0038777B" w:rsidP="00E67EAC">
      <w:pPr>
        <w:spacing w:line="360" w:lineRule="auto"/>
        <w:rPr>
          <w:sz w:val="24"/>
          <w:szCs w:val="24"/>
        </w:rPr>
      </w:pPr>
    </w:p>
    <w:p w:rsidR="0038777B" w:rsidRDefault="0038777B" w:rsidP="00E67EAC">
      <w:pPr>
        <w:spacing w:line="360" w:lineRule="auto"/>
        <w:rPr>
          <w:sz w:val="24"/>
          <w:szCs w:val="24"/>
        </w:rPr>
      </w:pPr>
    </w:p>
    <w:p w:rsidR="0038777B" w:rsidRDefault="0038777B" w:rsidP="00E67EAC">
      <w:pPr>
        <w:spacing w:line="360" w:lineRule="auto"/>
        <w:jc w:val="both"/>
        <w:outlineLvl w:val="0"/>
        <w:rPr>
          <w:sz w:val="24"/>
          <w:szCs w:val="24"/>
        </w:rPr>
      </w:pPr>
    </w:p>
    <w:p w:rsidR="00EE002F" w:rsidRDefault="00EE002F" w:rsidP="00E67EAC">
      <w:pPr>
        <w:spacing w:line="360" w:lineRule="auto"/>
        <w:jc w:val="both"/>
        <w:outlineLvl w:val="0"/>
        <w:rPr>
          <w:b/>
          <w:sz w:val="24"/>
          <w:szCs w:val="24"/>
        </w:rPr>
      </w:pPr>
    </w:p>
    <w:p w:rsidR="007A5F60" w:rsidRDefault="007A5F60" w:rsidP="007A5F60">
      <w:pPr>
        <w:spacing w:line="360" w:lineRule="auto"/>
        <w:jc w:val="both"/>
        <w:outlineLvl w:val="0"/>
        <w:rPr>
          <w:b/>
          <w:sz w:val="24"/>
          <w:szCs w:val="24"/>
        </w:rPr>
      </w:pPr>
    </w:p>
    <w:p w:rsidR="007A5F60" w:rsidRPr="007A5F60" w:rsidRDefault="007A5F60" w:rsidP="007A5F60">
      <w:pPr>
        <w:spacing w:line="360" w:lineRule="auto"/>
        <w:jc w:val="both"/>
        <w:outlineLvl w:val="0"/>
        <w:rPr>
          <w:b/>
          <w:sz w:val="24"/>
          <w:szCs w:val="24"/>
        </w:rPr>
      </w:pPr>
      <w:r w:rsidRPr="007A5F60">
        <w:rPr>
          <w:b/>
          <w:sz w:val="24"/>
          <w:szCs w:val="24"/>
        </w:rPr>
        <w:lastRenderedPageBreak/>
        <w:t>CONCLUSIONES</w:t>
      </w:r>
    </w:p>
    <w:p w:rsidR="007A5F60" w:rsidRPr="007A5F60" w:rsidRDefault="007A5F60" w:rsidP="007A5F60">
      <w:pPr>
        <w:spacing w:line="360" w:lineRule="auto"/>
        <w:jc w:val="both"/>
        <w:outlineLvl w:val="0"/>
        <w:rPr>
          <w:sz w:val="24"/>
          <w:szCs w:val="24"/>
        </w:rPr>
      </w:pPr>
    </w:p>
    <w:p w:rsidR="007A5F60" w:rsidRPr="007A5F60" w:rsidRDefault="007A5F60" w:rsidP="007A5F60">
      <w:pPr>
        <w:spacing w:line="360" w:lineRule="auto"/>
        <w:jc w:val="both"/>
        <w:outlineLvl w:val="0"/>
        <w:rPr>
          <w:sz w:val="24"/>
          <w:szCs w:val="24"/>
        </w:rPr>
      </w:pPr>
      <w:r w:rsidRPr="007A5F60">
        <w:rPr>
          <w:sz w:val="24"/>
          <w:szCs w:val="24"/>
        </w:rPr>
        <w:tab/>
      </w:r>
      <w:r w:rsidRPr="007A5F60">
        <w:rPr>
          <w:i/>
          <w:sz w:val="24"/>
          <w:szCs w:val="24"/>
        </w:rPr>
        <w:t>Primera.-</w:t>
      </w:r>
      <w:r w:rsidRPr="007A5F60">
        <w:rPr>
          <w:sz w:val="24"/>
          <w:szCs w:val="24"/>
        </w:rPr>
        <w:t xml:space="preserve"> El primero de los objetivos de esta investigación era establecer la primacía entre legalidad y voluntad democrática, cuestión compleja. Para ello ha sido necesario ponderar la voluntad no tan solo del pueblo catalán, sino del pueblo español en su conjunto (legitimado por la Constitución), para llegar a la corriente seguida por la doctrina de forma unánime; no es en ningún caso aceptable un escenario de unilateralidad derivado de la voluntad democrática del pueblo catalán.</w:t>
      </w:r>
    </w:p>
    <w:p w:rsidR="007A5F60" w:rsidRPr="007A5F60" w:rsidRDefault="007A5F60" w:rsidP="007A5F60">
      <w:pPr>
        <w:spacing w:line="360" w:lineRule="auto"/>
        <w:jc w:val="both"/>
        <w:outlineLvl w:val="0"/>
        <w:rPr>
          <w:sz w:val="24"/>
          <w:szCs w:val="24"/>
        </w:rPr>
      </w:pPr>
      <w:r w:rsidRPr="007A5F60">
        <w:rPr>
          <w:sz w:val="24"/>
          <w:szCs w:val="24"/>
        </w:rPr>
        <w:tab/>
      </w:r>
      <w:r w:rsidRPr="007A5F60">
        <w:rPr>
          <w:i/>
          <w:sz w:val="24"/>
          <w:szCs w:val="24"/>
        </w:rPr>
        <w:t xml:space="preserve">Segunda.- </w:t>
      </w:r>
      <w:r w:rsidRPr="007A5F60">
        <w:rPr>
          <w:sz w:val="24"/>
          <w:szCs w:val="24"/>
        </w:rPr>
        <w:t>Acerca de la posibilidad de la secesión unilateral catalana en base al poder constituyente revolucionario que ostentaría el pueblo catalán, queda descartada completamente al no darse los requisitos de violencia sobre la región, tratamiento injusto, etc para la aplicación de este poder tan extraordinario y limitado. Así lo entiende tanto la doctrina mayoritaria como la Comisión de Venecia, que rechaza la democracia revolucionaria o radical y aboga por la democracia constitucional.</w:t>
      </w:r>
    </w:p>
    <w:p w:rsidR="007A5F60" w:rsidRPr="007A5F60" w:rsidRDefault="007A5F60" w:rsidP="007A5F60">
      <w:pPr>
        <w:spacing w:line="360" w:lineRule="auto"/>
        <w:jc w:val="both"/>
        <w:outlineLvl w:val="0"/>
        <w:rPr>
          <w:sz w:val="24"/>
          <w:szCs w:val="24"/>
        </w:rPr>
      </w:pPr>
      <w:r w:rsidRPr="007A5F60">
        <w:rPr>
          <w:sz w:val="24"/>
          <w:szCs w:val="24"/>
        </w:rPr>
        <w:tab/>
      </w:r>
      <w:r w:rsidRPr="007A5F60">
        <w:rPr>
          <w:i/>
          <w:sz w:val="24"/>
          <w:szCs w:val="24"/>
        </w:rPr>
        <w:t>Tercera.-</w:t>
      </w:r>
      <w:r w:rsidRPr="007A5F60">
        <w:rPr>
          <w:sz w:val="24"/>
          <w:szCs w:val="24"/>
        </w:rPr>
        <w:t xml:space="preserve"> La actividad de las instituciones catalanas ha rozado en determinados momentos la ilegalidad, superándola incluso en supuestos concretos como la celebración del referéndum independentista de 9 de noviembre de 2014, derivando como consecuencia la inhabilitación de determinadas autoridades catalanas.</w:t>
      </w:r>
    </w:p>
    <w:p w:rsidR="007A5F60" w:rsidRPr="007A5F60" w:rsidRDefault="007A5F60" w:rsidP="007A5F60">
      <w:pPr>
        <w:spacing w:line="360" w:lineRule="auto"/>
        <w:jc w:val="both"/>
        <w:outlineLvl w:val="0"/>
        <w:rPr>
          <w:sz w:val="24"/>
          <w:szCs w:val="24"/>
        </w:rPr>
      </w:pPr>
      <w:r w:rsidRPr="007A5F60">
        <w:rPr>
          <w:sz w:val="24"/>
          <w:szCs w:val="24"/>
        </w:rPr>
        <w:tab/>
      </w:r>
      <w:r w:rsidRPr="007A5F60">
        <w:rPr>
          <w:i/>
          <w:sz w:val="24"/>
          <w:szCs w:val="24"/>
        </w:rPr>
        <w:t>Cuarta.-</w:t>
      </w:r>
      <w:r w:rsidRPr="007A5F60">
        <w:rPr>
          <w:sz w:val="24"/>
          <w:szCs w:val="24"/>
        </w:rPr>
        <w:t xml:space="preserve">  Son múltiples los mecanismos que ostenta el Estado de Derecho para protegerse frente a una secesión unilateral, o las acciones encaminadas a su consecución (todas ellas analizadas), no obstante la pertinencia de algunas de ellas se sitúa en entredicho dividiendo a la doctrina en ocasiones a los propios Tribunales. No obstante estos recursos son válidos y deben emplearse en caso de ser necesarios, con criterio y oportunidad. </w:t>
      </w:r>
    </w:p>
    <w:p w:rsidR="007A5F60" w:rsidRPr="007A5F60" w:rsidRDefault="007A5F60" w:rsidP="007A5F60">
      <w:pPr>
        <w:spacing w:line="360" w:lineRule="auto"/>
        <w:jc w:val="both"/>
        <w:outlineLvl w:val="0"/>
        <w:rPr>
          <w:sz w:val="24"/>
          <w:szCs w:val="24"/>
        </w:rPr>
      </w:pPr>
      <w:r w:rsidRPr="007A5F60">
        <w:rPr>
          <w:sz w:val="24"/>
          <w:szCs w:val="24"/>
        </w:rPr>
        <w:tab/>
        <w:t>Cabe mencionar igualmente las limitaciones ante las que se encuentra este trabajo de investigación, y es que el proceso secesionista catalán consta de una complejidad de proporciones desmesuradas y una dilatación en el tiempo difícil de medir. Así, resulta imposible abarcar este tema desde una perspectiva estrictamente jurídica, ya que se antoja evidente que su contenido político y social influye en su desarrollo.</w:t>
      </w:r>
    </w:p>
    <w:p w:rsidR="007A5F60" w:rsidRPr="007A5F60" w:rsidRDefault="007A5F60" w:rsidP="007A5F60">
      <w:pPr>
        <w:spacing w:line="360" w:lineRule="auto"/>
        <w:jc w:val="both"/>
        <w:outlineLvl w:val="0"/>
        <w:rPr>
          <w:sz w:val="24"/>
          <w:szCs w:val="24"/>
        </w:rPr>
      </w:pPr>
      <w:r w:rsidRPr="007A5F60">
        <w:rPr>
          <w:sz w:val="24"/>
          <w:szCs w:val="24"/>
        </w:rPr>
        <w:tab/>
        <w:t xml:space="preserve">Para finalizar, pretendemos aportar un matiz personal al conflicto y a su posible salida por una vía jurídica, amparada en el actual Estado de Derecho y en la Constitución Española de 1978. Como hemos mencionado en el párrafo anterior, resulta complicado aportar una solución jurídica a un conflicto con tanta carga social (y </w:t>
      </w:r>
      <w:r w:rsidRPr="007A5F60">
        <w:rPr>
          <w:sz w:val="24"/>
          <w:szCs w:val="24"/>
        </w:rPr>
        <w:lastRenderedPageBreak/>
        <w:t xml:space="preserve">política) como es el catalán. El ordenamiento jurídico debe ser respetado en su totalidad, y ante cualquier incumplimiento debe aplicarse el correspondiente correctivo; no obstante, no nos encontramos ante una “vía  muerta” o un callejón sin salida, pues existen soluciones jurídicas perfectamente aplicables a este caso. </w:t>
      </w:r>
    </w:p>
    <w:p w:rsidR="0038777B" w:rsidRPr="00C3474F" w:rsidRDefault="007A5F60" w:rsidP="00C3474F">
      <w:pPr>
        <w:spacing w:line="360" w:lineRule="auto"/>
        <w:jc w:val="both"/>
        <w:outlineLvl w:val="0"/>
        <w:rPr>
          <w:sz w:val="24"/>
          <w:szCs w:val="24"/>
        </w:rPr>
      </w:pPr>
      <w:r w:rsidRPr="007A5F60">
        <w:rPr>
          <w:sz w:val="24"/>
          <w:szCs w:val="24"/>
        </w:rPr>
        <w:tab/>
        <w:t>El mecanismo de la delegación de competencias puede ser empleado para la celebración de una consulta referendaria no vinculante en Catalunya con el fin de conocer de manera certera la voluntad del pueblo catalán, procediendo en caso de ser necesario al mecanismo de reforma agravada de la Constitución para posibilitar una salida legal a esta Comunidad Autónoma del Estado español. No obstante este procedimiento debe seguir los requisitos recogidos en la Carta Magna, además de un alto nivel de transparencia tanto en su organización como en su acuerdo, entre los diferentes partidos políticos (incluyendo a los de la oposición). Adicionalmente puede exigirse un quórum de participación y de votos favorables en pos de lograr una representación clara y directa de la voluntad democrática del pueblo catalán.  Únicamente respetando esta voluntad, así como las reglas del orden jurídico y democrático, podremos solucionar este problema de una manera realmente justa.</w:t>
      </w:r>
    </w:p>
    <w:p w:rsidR="0038777B" w:rsidRDefault="0038777B" w:rsidP="00E67EAC">
      <w:pPr>
        <w:spacing w:line="360" w:lineRule="auto"/>
        <w:outlineLvl w:val="0"/>
        <w:rPr>
          <w:b/>
          <w:sz w:val="24"/>
          <w:szCs w:val="24"/>
        </w:rPr>
      </w:pPr>
    </w:p>
    <w:p w:rsidR="0038777B" w:rsidRDefault="0038777B" w:rsidP="00E67EAC">
      <w:pPr>
        <w:spacing w:line="360" w:lineRule="auto"/>
        <w:outlineLvl w:val="0"/>
        <w:rPr>
          <w:b/>
          <w:sz w:val="24"/>
          <w:szCs w:val="24"/>
        </w:rPr>
      </w:pPr>
    </w:p>
    <w:p w:rsidR="0038777B" w:rsidRDefault="0038777B" w:rsidP="00E67EAC">
      <w:pPr>
        <w:spacing w:line="360" w:lineRule="auto"/>
        <w:outlineLvl w:val="0"/>
        <w:rPr>
          <w:b/>
          <w:sz w:val="24"/>
          <w:szCs w:val="24"/>
        </w:rPr>
      </w:pPr>
    </w:p>
    <w:p w:rsidR="0038777B" w:rsidRDefault="0038777B" w:rsidP="00E67EAC">
      <w:pPr>
        <w:spacing w:line="360" w:lineRule="auto"/>
        <w:outlineLvl w:val="0"/>
        <w:rPr>
          <w:b/>
          <w:sz w:val="24"/>
          <w:szCs w:val="24"/>
        </w:rPr>
      </w:pPr>
    </w:p>
    <w:p w:rsidR="0038777B" w:rsidRDefault="0038777B" w:rsidP="00E67EAC">
      <w:pPr>
        <w:spacing w:line="360" w:lineRule="auto"/>
        <w:outlineLvl w:val="0"/>
        <w:rPr>
          <w:b/>
          <w:sz w:val="24"/>
          <w:szCs w:val="24"/>
        </w:rPr>
      </w:pPr>
    </w:p>
    <w:p w:rsidR="0038777B" w:rsidRDefault="0038777B" w:rsidP="00E67EAC">
      <w:pPr>
        <w:spacing w:line="360" w:lineRule="auto"/>
        <w:outlineLvl w:val="0"/>
        <w:rPr>
          <w:b/>
          <w:sz w:val="24"/>
          <w:szCs w:val="24"/>
        </w:rPr>
      </w:pPr>
    </w:p>
    <w:p w:rsidR="0038777B" w:rsidRDefault="0038777B" w:rsidP="00E67EAC">
      <w:pPr>
        <w:spacing w:line="360" w:lineRule="auto"/>
        <w:outlineLvl w:val="0"/>
        <w:rPr>
          <w:b/>
          <w:sz w:val="24"/>
          <w:szCs w:val="24"/>
        </w:rPr>
      </w:pPr>
    </w:p>
    <w:p w:rsidR="0038777B" w:rsidRDefault="0038777B" w:rsidP="00E67EAC">
      <w:pPr>
        <w:spacing w:line="360" w:lineRule="auto"/>
        <w:outlineLvl w:val="0"/>
        <w:rPr>
          <w:b/>
          <w:sz w:val="24"/>
          <w:szCs w:val="24"/>
        </w:rPr>
      </w:pPr>
    </w:p>
    <w:p w:rsidR="0038777B" w:rsidRDefault="0038777B" w:rsidP="00E67EAC">
      <w:pPr>
        <w:spacing w:line="360" w:lineRule="auto"/>
        <w:outlineLvl w:val="0"/>
        <w:rPr>
          <w:b/>
          <w:sz w:val="24"/>
          <w:szCs w:val="24"/>
        </w:rPr>
      </w:pPr>
    </w:p>
    <w:p w:rsidR="0038777B" w:rsidRDefault="0038777B" w:rsidP="00E67EAC">
      <w:pPr>
        <w:spacing w:line="360" w:lineRule="auto"/>
        <w:outlineLvl w:val="0"/>
        <w:rPr>
          <w:b/>
          <w:sz w:val="24"/>
          <w:szCs w:val="24"/>
        </w:rPr>
      </w:pPr>
    </w:p>
    <w:p w:rsidR="00C3474F" w:rsidRDefault="00C3474F" w:rsidP="00E67EAC">
      <w:pPr>
        <w:spacing w:line="360" w:lineRule="auto"/>
        <w:outlineLvl w:val="0"/>
        <w:rPr>
          <w:b/>
          <w:sz w:val="24"/>
          <w:szCs w:val="24"/>
        </w:rPr>
      </w:pPr>
    </w:p>
    <w:p w:rsidR="00C3474F" w:rsidRDefault="00C3474F" w:rsidP="00E67EAC">
      <w:pPr>
        <w:spacing w:line="360" w:lineRule="auto"/>
        <w:outlineLvl w:val="0"/>
        <w:rPr>
          <w:b/>
          <w:sz w:val="24"/>
          <w:szCs w:val="24"/>
        </w:rPr>
      </w:pPr>
    </w:p>
    <w:p w:rsidR="00C3474F" w:rsidRDefault="00C3474F" w:rsidP="00E67EAC">
      <w:pPr>
        <w:spacing w:line="360" w:lineRule="auto"/>
        <w:outlineLvl w:val="0"/>
        <w:rPr>
          <w:b/>
          <w:sz w:val="24"/>
          <w:szCs w:val="24"/>
        </w:rPr>
      </w:pPr>
    </w:p>
    <w:p w:rsidR="00C3474F" w:rsidRDefault="00C3474F" w:rsidP="00E67EAC">
      <w:pPr>
        <w:spacing w:line="360" w:lineRule="auto"/>
        <w:outlineLvl w:val="0"/>
        <w:rPr>
          <w:b/>
          <w:sz w:val="24"/>
          <w:szCs w:val="24"/>
        </w:rPr>
      </w:pPr>
    </w:p>
    <w:p w:rsidR="00C3474F" w:rsidRDefault="00C3474F" w:rsidP="00E67EAC">
      <w:pPr>
        <w:spacing w:line="360" w:lineRule="auto"/>
        <w:outlineLvl w:val="0"/>
        <w:rPr>
          <w:b/>
          <w:sz w:val="24"/>
          <w:szCs w:val="24"/>
        </w:rPr>
      </w:pPr>
    </w:p>
    <w:p w:rsidR="00C3474F" w:rsidRDefault="00C3474F" w:rsidP="00E67EAC">
      <w:pPr>
        <w:spacing w:line="360" w:lineRule="auto"/>
        <w:outlineLvl w:val="0"/>
        <w:rPr>
          <w:b/>
          <w:sz w:val="24"/>
          <w:szCs w:val="24"/>
        </w:rPr>
      </w:pPr>
    </w:p>
    <w:p w:rsidR="0038777B" w:rsidRDefault="0038777B" w:rsidP="00E67EAC">
      <w:pPr>
        <w:spacing w:line="360" w:lineRule="auto"/>
        <w:outlineLvl w:val="0"/>
        <w:rPr>
          <w:b/>
          <w:sz w:val="24"/>
          <w:szCs w:val="24"/>
        </w:rPr>
      </w:pPr>
    </w:p>
    <w:p w:rsidR="00681AC9" w:rsidRDefault="00681AC9" w:rsidP="00E67EAC">
      <w:pPr>
        <w:spacing w:line="360" w:lineRule="auto"/>
        <w:jc w:val="both"/>
        <w:outlineLvl w:val="0"/>
        <w:rPr>
          <w:b/>
          <w:sz w:val="24"/>
          <w:szCs w:val="24"/>
        </w:rPr>
      </w:pPr>
    </w:p>
    <w:p w:rsidR="0038777B" w:rsidRDefault="0038777B" w:rsidP="00E67EAC">
      <w:pPr>
        <w:spacing w:line="360" w:lineRule="auto"/>
        <w:jc w:val="both"/>
        <w:outlineLvl w:val="0"/>
        <w:rPr>
          <w:b/>
          <w:sz w:val="24"/>
          <w:szCs w:val="24"/>
        </w:rPr>
      </w:pPr>
      <w:r>
        <w:rPr>
          <w:b/>
          <w:sz w:val="24"/>
          <w:szCs w:val="24"/>
        </w:rPr>
        <w:lastRenderedPageBreak/>
        <w:t>REFERENCIAS BIBLIOGRÁFICAS</w:t>
      </w:r>
    </w:p>
    <w:p w:rsidR="0038777B" w:rsidRDefault="0038777B" w:rsidP="00E67EAC">
      <w:pPr>
        <w:spacing w:line="360" w:lineRule="auto"/>
        <w:jc w:val="both"/>
        <w:outlineLvl w:val="0"/>
        <w:rPr>
          <w:b/>
          <w:sz w:val="24"/>
          <w:szCs w:val="24"/>
        </w:rPr>
      </w:pPr>
    </w:p>
    <w:p w:rsidR="0038777B" w:rsidRPr="006C3DC5" w:rsidRDefault="0038777B" w:rsidP="00E67EAC">
      <w:pPr>
        <w:spacing w:line="360" w:lineRule="auto"/>
        <w:jc w:val="both"/>
        <w:outlineLvl w:val="0"/>
        <w:rPr>
          <w:b/>
          <w:sz w:val="24"/>
          <w:szCs w:val="24"/>
        </w:rPr>
      </w:pPr>
      <w:r w:rsidRPr="00E0542A">
        <w:rPr>
          <w:b/>
          <w:sz w:val="24"/>
          <w:szCs w:val="24"/>
        </w:rPr>
        <w:t>Índice de doctrina</w:t>
      </w:r>
    </w:p>
    <w:p w:rsidR="0038777B" w:rsidRPr="00BC77C8" w:rsidRDefault="0038777B" w:rsidP="00E67EAC">
      <w:pPr>
        <w:numPr>
          <w:ilvl w:val="0"/>
          <w:numId w:val="8"/>
        </w:numPr>
        <w:spacing w:after="160" w:line="360" w:lineRule="auto"/>
        <w:jc w:val="both"/>
        <w:outlineLvl w:val="0"/>
        <w:rPr>
          <w:sz w:val="24"/>
          <w:szCs w:val="24"/>
          <w:lang w:eastAsia="en-US"/>
        </w:rPr>
      </w:pPr>
      <w:r w:rsidRPr="00BC77C8">
        <w:rPr>
          <w:sz w:val="24"/>
          <w:szCs w:val="24"/>
          <w:lang w:eastAsia="en-US"/>
        </w:rPr>
        <w:t xml:space="preserve">Álvarez Álvarez, L. (2016). “La coerción estatal del artículo 155 CE en el Estado Autonómico”. </w:t>
      </w:r>
      <w:r w:rsidRPr="00BC77C8">
        <w:rPr>
          <w:i/>
          <w:sz w:val="24"/>
          <w:szCs w:val="24"/>
          <w:lang w:eastAsia="en-US"/>
        </w:rPr>
        <w:t>Teoría y Realidad Constitucional, núm 38.</w:t>
      </w:r>
      <w:r w:rsidRPr="00BC77C8">
        <w:rPr>
          <w:sz w:val="24"/>
          <w:szCs w:val="24"/>
          <w:lang w:eastAsia="en-US"/>
        </w:rPr>
        <w:t xml:space="preserve"> </w:t>
      </w:r>
    </w:p>
    <w:p w:rsidR="000717E0" w:rsidRPr="000717E0" w:rsidRDefault="000717E0" w:rsidP="000717E0">
      <w:pPr>
        <w:numPr>
          <w:ilvl w:val="0"/>
          <w:numId w:val="8"/>
        </w:numPr>
        <w:spacing w:after="160" w:line="360" w:lineRule="auto"/>
        <w:jc w:val="both"/>
        <w:outlineLvl w:val="0"/>
        <w:rPr>
          <w:sz w:val="24"/>
          <w:szCs w:val="24"/>
          <w:lang w:eastAsia="en-US"/>
        </w:rPr>
      </w:pPr>
      <w:r w:rsidRPr="000717E0">
        <w:rPr>
          <w:sz w:val="24"/>
          <w:szCs w:val="24"/>
          <w:lang w:eastAsia="en-US"/>
        </w:rPr>
        <w:t xml:space="preserve">Arbòs Marín, X. (2014). “El proceso soberanista en Catalunya; demasiado confuso y unilateral”. </w:t>
      </w:r>
      <w:r w:rsidRPr="000717E0">
        <w:rPr>
          <w:i/>
          <w:sz w:val="24"/>
          <w:szCs w:val="24"/>
          <w:lang w:eastAsia="en-US"/>
        </w:rPr>
        <w:t>Diario elPeriódico</w:t>
      </w:r>
      <w:r w:rsidRPr="000717E0">
        <w:rPr>
          <w:sz w:val="24"/>
          <w:szCs w:val="24"/>
          <w:lang w:eastAsia="en-US"/>
        </w:rPr>
        <w:t>. 28 de octubre de 2014. Disponible on line: http://www.elperiodico.com/es/noticias/opinion/demasiado-confuso-unilateral-3637964.</w:t>
      </w:r>
    </w:p>
    <w:p w:rsidR="000717E0" w:rsidRPr="000717E0" w:rsidRDefault="000717E0" w:rsidP="000717E0">
      <w:pPr>
        <w:numPr>
          <w:ilvl w:val="0"/>
          <w:numId w:val="8"/>
        </w:numPr>
        <w:spacing w:after="160" w:line="360" w:lineRule="auto"/>
        <w:jc w:val="both"/>
        <w:outlineLvl w:val="0"/>
        <w:rPr>
          <w:sz w:val="24"/>
          <w:szCs w:val="24"/>
          <w:lang w:val="en-GB" w:eastAsia="en-US"/>
        </w:rPr>
      </w:pPr>
      <w:r w:rsidRPr="000717E0">
        <w:rPr>
          <w:sz w:val="24"/>
          <w:szCs w:val="24"/>
          <w:lang w:eastAsia="en-US"/>
        </w:rPr>
        <w:t xml:space="preserve">Arbòs Marín. X. (2017). “Un referéndum vinculante imposible”. </w:t>
      </w:r>
      <w:r w:rsidRPr="000717E0">
        <w:rPr>
          <w:i/>
          <w:sz w:val="24"/>
          <w:szCs w:val="24"/>
          <w:lang w:eastAsia="en-US"/>
        </w:rPr>
        <w:t>Diario elPeriódico</w:t>
      </w:r>
      <w:r w:rsidRPr="000717E0">
        <w:rPr>
          <w:sz w:val="24"/>
          <w:szCs w:val="24"/>
          <w:lang w:eastAsia="en-US"/>
        </w:rPr>
        <w:t xml:space="preserve">. 7 de febrero de 2017. </w:t>
      </w:r>
      <w:r w:rsidRPr="000717E0">
        <w:rPr>
          <w:sz w:val="24"/>
          <w:szCs w:val="24"/>
          <w:lang w:val="en-GB" w:eastAsia="en-US"/>
        </w:rPr>
        <w:t xml:space="preserve">Disponible on line: </w:t>
      </w:r>
      <w:hyperlink r:id="rId10" w:history="1">
        <w:r w:rsidRPr="002662CC">
          <w:rPr>
            <w:rStyle w:val="Hipervnculo"/>
            <w:sz w:val="24"/>
            <w:szCs w:val="24"/>
            <w:lang w:val="en-GB" w:eastAsia="en-US"/>
          </w:rPr>
          <w:t>http://www.elperiodico.com/es/noticias/opinion/referendum-vinculante-imposible-xavier-arbos-5791866</w:t>
        </w:r>
      </w:hyperlink>
      <w:r w:rsidRPr="000717E0">
        <w:rPr>
          <w:sz w:val="24"/>
          <w:szCs w:val="24"/>
          <w:lang w:val="en-GB" w:eastAsia="en-US"/>
        </w:rPr>
        <w:t>.</w:t>
      </w:r>
    </w:p>
    <w:p w:rsidR="0038777B" w:rsidRPr="00BC77C8" w:rsidRDefault="0038777B" w:rsidP="000717E0">
      <w:pPr>
        <w:numPr>
          <w:ilvl w:val="0"/>
          <w:numId w:val="8"/>
        </w:numPr>
        <w:spacing w:after="160" w:line="360" w:lineRule="auto"/>
        <w:jc w:val="both"/>
        <w:outlineLvl w:val="0"/>
        <w:rPr>
          <w:sz w:val="24"/>
          <w:szCs w:val="24"/>
          <w:lang w:eastAsia="en-US"/>
        </w:rPr>
      </w:pPr>
      <w:r w:rsidRPr="00402F7D">
        <w:rPr>
          <w:sz w:val="24"/>
          <w:szCs w:val="24"/>
          <w:lang w:eastAsia="en-US"/>
        </w:rPr>
        <w:t xml:space="preserve">Arnold, R. (2015). </w:t>
      </w:r>
      <w:r w:rsidRPr="00BC77C8">
        <w:rPr>
          <w:sz w:val="24"/>
          <w:szCs w:val="24"/>
          <w:lang w:eastAsia="en-US"/>
        </w:rPr>
        <w:t xml:space="preserve">“Derechos nuevos y la Constitución”. </w:t>
      </w:r>
      <w:r w:rsidRPr="00BC77C8">
        <w:rPr>
          <w:i/>
          <w:sz w:val="24"/>
          <w:szCs w:val="24"/>
          <w:lang w:eastAsia="en-US"/>
        </w:rPr>
        <w:t>Nuevos derechos y nuevas libertades en Europa.</w:t>
      </w:r>
      <w:r w:rsidRPr="00BC77C8">
        <w:rPr>
          <w:sz w:val="24"/>
          <w:szCs w:val="24"/>
          <w:lang w:eastAsia="en-US"/>
        </w:rPr>
        <w:t xml:space="preserve"> </w:t>
      </w:r>
      <w:r w:rsidRPr="00BC77C8">
        <w:rPr>
          <w:sz w:val="24"/>
          <w:szCs w:val="24"/>
          <w:lang w:val="en-US" w:eastAsia="en-US"/>
        </w:rPr>
        <w:t xml:space="preserve">Madrid, Dykynson. </w:t>
      </w:r>
    </w:p>
    <w:p w:rsidR="0038777B" w:rsidRPr="00BC77C8" w:rsidRDefault="0038777B" w:rsidP="00E67EAC">
      <w:pPr>
        <w:numPr>
          <w:ilvl w:val="0"/>
          <w:numId w:val="8"/>
        </w:numPr>
        <w:spacing w:after="160" w:line="360" w:lineRule="auto"/>
        <w:rPr>
          <w:sz w:val="24"/>
          <w:szCs w:val="24"/>
        </w:rPr>
      </w:pPr>
      <w:r w:rsidRPr="00BC77C8">
        <w:rPr>
          <w:sz w:val="24"/>
          <w:szCs w:val="24"/>
        </w:rPr>
        <w:t>Artola Gallego, M. (2005). “Constitucionalismo en la historia”. Barcelona, Crítica.</w:t>
      </w:r>
    </w:p>
    <w:p w:rsidR="0038777B" w:rsidRPr="00BC77C8" w:rsidRDefault="0038777B" w:rsidP="00E67EAC">
      <w:pPr>
        <w:numPr>
          <w:ilvl w:val="0"/>
          <w:numId w:val="8"/>
        </w:numPr>
        <w:spacing w:after="160" w:line="360" w:lineRule="auto"/>
        <w:jc w:val="both"/>
        <w:outlineLvl w:val="0"/>
        <w:rPr>
          <w:sz w:val="24"/>
          <w:szCs w:val="24"/>
        </w:rPr>
      </w:pPr>
      <w:r w:rsidRPr="00BC77C8">
        <w:rPr>
          <w:sz w:val="24"/>
          <w:szCs w:val="24"/>
          <w:lang w:eastAsia="en-US"/>
        </w:rPr>
        <w:t xml:space="preserve">Bonell Colmenero, R. (2010). “Los Decretos de Nueva Planta”. </w:t>
      </w:r>
      <w:r w:rsidRPr="00BC77C8">
        <w:rPr>
          <w:i/>
          <w:sz w:val="24"/>
          <w:szCs w:val="24"/>
          <w:lang w:eastAsia="en-US"/>
        </w:rPr>
        <w:t>Revista de Estudios Jurídicos, Económicos y Sociales, núm. 8</w:t>
      </w:r>
      <w:r w:rsidRPr="00BC77C8">
        <w:rPr>
          <w:sz w:val="24"/>
          <w:szCs w:val="24"/>
          <w:lang w:eastAsia="en-US"/>
        </w:rPr>
        <w:t>.</w:t>
      </w:r>
    </w:p>
    <w:p w:rsidR="0038777B" w:rsidRPr="00BC77C8" w:rsidRDefault="0038777B" w:rsidP="00E67EAC">
      <w:pPr>
        <w:numPr>
          <w:ilvl w:val="0"/>
          <w:numId w:val="8"/>
        </w:numPr>
        <w:spacing w:after="160" w:line="360" w:lineRule="auto"/>
        <w:jc w:val="both"/>
        <w:outlineLvl w:val="0"/>
        <w:rPr>
          <w:sz w:val="24"/>
          <w:szCs w:val="24"/>
          <w:lang w:eastAsia="en-US"/>
        </w:rPr>
      </w:pPr>
      <w:r w:rsidRPr="00BC77C8">
        <w:rPr>
          <w:sz w:val="24"/>
          <w:szCs w:val="24"/>
          <w:lang w:eastAsia="en-US"/>
        </w:rPr>
        <w:t xml:space="preserve">Calafell Ferrá, V.J. (2000) “La compulsión o coerción estatal (estudio del artículo 155 de la Constitución Española)”. </w:t>
      </w:r>
      <w:r w:rsidRPr="00BC77C8">
        <w:rPr>
          <w:i/>
          <w:sz w:val="24"/>
          <w:szCs w:val="24"/>
          <w:lang w:eastAsia="en-US"/>
        </w:rPr>
        <w:t>Revista de Derecho Político, núm. 49</w:t>
      </w:r>
      <w:r w:rsidRPr="00BC77C8">
        <w:rPr>
          <w:sz w:val="24"/>
          <w:szCs w:val="24"/>
          <w:lang w:eastAsia="en-US"/>
        </w:rPr>
        <w:t xml:space="preserve">. </w:t>
      </w:r>
    </w:p>
    <w:p w:rsidR="00681AC9" w:rsidRPr="00681AC9" w:rsidRDefault="00681AC9" w:rsidP="00681AC9">
      <w:pPr>
        <w:numPr>
          <w:ilvl w:val="0"/>
          <w:numId w:val="8"/>
        </w:numPr>
        <w:spacing w:line="360" w:lineRule="auto"/>
        <w:jc w:val="both"/>
        <w:rPr>
          <w:sz w:val="24"/>
          <w:szCs w:val="24"/>
          <w:lang w:val="en-GB" w:eastAsia="en-US"/>
        </w:rPr>
      </w:pPr>
      <w:r w:rsidRPr="00681AC9">
        <w:rPr>
          <w:sz w:val="24"/>
          <w:szCs w:val="24"/>
          <w:lang w:eastAsia="en-US"/>
        </w:rPr>
        <w:t xml:space="preserve">Castellà Andreu, J.M. (2017). “Los referendos y la Comisión de Venecia”. Diario ElPaís. 17 de mayo de 2017. </w:t>
      </w:r>
      <w:r w:rsidRPr="00681AC9">
        <w:rPr>
          <w:sz w:val="24"/>
          <w:szCs w:val="24"/>
          <w:lang w:val="en-GB" w:eastAsia="en-US"/>
        </w:rPr>
        <w:t xml:space="preserve">Disponible on line: </w:t>
      </w:r>
      <w:hyperlink r:id="rId11" w:history="1">
        <w:r w:rsidRPr="00681AC9">
          <w:rPr>
            <w:rStyle w:val="Hipervnculo"/>
            <w:sz w:val="24"/>
            <w:szCs w:val="24"/>
            <w:lang w:val="en-GB" w:eastAsia="en-US"/>
          </w:rPr>
          <w:t>http://elpais.com/elpais/2017/05/16/opinion/1494956189_937598.html?id_externo_rsoc=TW_CC</w:t>
        </w:r>
      </w:hyperlink>
      <w:r w:rsidRPr="00681AC9">
        <w:rPr>
          <w:sz w:val="24"/>
          <w:szCs w:val="24"/>
          <w:lang w:val="en-GB" w:eastAsia="en-US"/>
        </w:rPr>
        <w:t>.</w:t>
      </w:r>
    </w:p>
    <w:p w:rsidR="002F1BB5" w:rsidRPr="002F1BB5" w:rsidRDefault="002F1BB5" w:rsidP="00C3474F">
      <w:pPr>
        <w:numPr>
          <w:ilvl w:val="0"/>
          <w:numId w:val="8"/>
        </w:numPr>
        <w:spacing w:line="360" w:lineRule="auto"/>
        <w:ind w:left="714" w:hanging="357"/>
        <w:jc w:val="both"/>
        <w:rPr>
          <w:sz w:val="24"/>
          <w:szCs w:val="24"/>
          <w:lang w:eastAsia="en-US"/>
        </w:rPr>
      </w:pPr>
      <w:r w:rsidRPr="002F1BB5">
        <w:rPr>
          <w:sz w:val="24"/>
          <w:szCs w:val="24"/>
          <w:lang w:eastAsia="en-US"/>
        </w:rPr>
        <w:t xml:space="preserve">Corcuera Atienza, J. (2009). “Soberanía y autonomía. Los límites del derecho a decidir (comentario de la STC 103/2008)”. </w:t>
      </w:r>
      <w:r w:rsidRPr="002F1BB5">
        <w:rPr>
          <w:i/>
          <w:sz w:val="24"/>
          <w:szCs w:val="24"/>
          <w:lang w:eastAsia="en-US"/>
        </w:rPr>
        <w:t>Revista Española de Derecho Constitucional, núm. 86</w:t>
      </w:r>
      <w:r w:rsidRPr="002F1BB5">
        <w:rPr>
          <w:sz w:val="24"/>
          <w:szCs w:val="24"/>
          <w:lang w:eastAsia="en-US"/>
        </w:rPr>
        <w:t xml:space="preserve">. </w:t>
      </w:r>
    </w:p>
    <w:p w:rsidR="0038777B" w:rsidRPr="00BC77C8" w:rsidRDefault="0038777B" w:rsidP="00E67EAC">
      <w:pPr>
        <w:numPr>
          <w:ilvl w:val="0"/>
          <w:numId w:val="8"/>
        </w:numPr>
        <w:spacing w:after="160" w:line="360" w:lineRule="auto"/>
        <w:jc w:val="both"/>
        <w:outlineLvl w:val="0"/>
        <w:rPr>
          <w:sz w:val="24"/>
          <w:szCs w:val="24"/>
          <w:lang w:eastAsia="en-US"/>
        </w:rPr>
      </w:pPr>
      <w:r w:rsidRPr="00BC77C8">
        <w:rPr>
          <w:sz w:val="24"/>
          <w:szCs w:val="24"/>
          <w:lang w:eastAsia="en-US"/>
        </w:rPr>
        <w:lastRenderedPageBreak/>
        <w:t xml:space="preserve">Corral Maraver, N. (2015). “La II República española y el Código Penal de 1932”. Las penas largas de prisión en España. Evolución histórica y político-criminal. Madrid, Dykinson. </w:t>
      </w:r>
    </w:p>
    <w:p w:rsidR="0038777B" w:rsidRPr="00BC77C8" w:rsidRDefault="0038777B" w:rsidP="00E67EAC">
      <w:pPr>
        <w:numPr>
          <w:ilvl w:val="0"/>
          <w:numId w:val="8"/>
        </w:numPr>
        <w:spacing w:after="160" w:line="360" w:lineRule="auto"/>
        <w:jc w:val="both"/>
        <w:outlineLvl w:val="0"/>
        <w:rPr>
          <w:sz w:val="24"/>
          <w:szCs w:val="24"/>
        </w:rPr>
      </w:pPr>
      <w:r w:rsidRPr="00BC77C8">
        <w:rPr>
          <w:sz w:val="24"/>
          <w:szCs w:val="24"/>
          <w:lang w:eastAsia="en-US"/>
        </w:rPr>
        <w:t xml:space="preserve">Cruz Villalón, P. (1980). “El estado de sitio y la Constitución: la constitucionalización de la protección extraordinaria del Estado”. Madrid, Centro de Estudios Constitucionales. </w:t>
      </w:r>
    </w:p>
    <w:p w:rsidR="0038777B" w:rsidRPr="00BC77C8" w:rsidRDefault="0038777B" w:rsidP="00E67EAC">
      <w:pPr>
        <w:numPr>
          <w:ilvl w:val="0"/>
          <w:numId w:val="8"/>
        </w:numPr>
        <w:spacing w:after="160" w:line="360" w:lineRule="auto"/>
        <w:jc w:val="both"/>
        <w:outlineLvl w:val="0"/>
        <w:rPr>
          <w:sz w:val="24"/>
          <w:szCs w:val="24"/>
          <w:lang w:eastAsia="en-US"/>
        </w:rPr>
      </w:pPr>
      <w:r w:rsidRPr="00BC77C8">
        <w:rPr>
          <w:sz w:val="24"/>
          <w:szCs w:val="24"/>
          <w:lang w:val="en-US" w:eastAsia="en-US"/>
        </w:rPr>
        <w:t xml:space="preserve">Dellinger, W. (1983). “The Legitimacy of Constitutional Change: Rethinking the Amendment Process”. </w:t>
      </w:r>
      <w:r w:rsidRPr="00BC77C8">
        <w:rPr>
          <w:i/>
          <w:sz w:val="24"/>
          <w:szCs w:val="24"/>
          <w:lang w:val="en-US" w:eastAsia="en-US"/>
        </w:rPr>
        <w:t>Harvard Law Review, vol. 97</w:t>
      </w:r>
      <w:r w:rsidRPr="00BC77C8">
        <w:rPr>
          <w:sz w:val="24"/>
          <w:szCs w:val="24"/>
          <w:lang w:val="en-US" w:eastAsia="en-US"/>
        </w:rPr>
        <w:t xml:space="preserve">. </w:t>
      </w:r>
    </w:p>
    <w:p w:rsidR="0038777B" w:rsidRPr="00BC77C8" w:rsidRDefault="0038777B" w:rsidP="00E67EAC">
      <w:pPr>
        <w:numPr>
          <w:ilvl w:val="0"/>
          <w:numId w:val="8"/>
        </w:numPr>
        <w:spacing w:after="160" w:line="360" w:lineRule="auto"/>
        <w:jc w:val="both"/>
        <w:outlineLvl w:val="0"/>
        <w:rPr>
          <w:sz w:val="24"/>
          <w:szCs w:val="24"/>
          <w:lang w:eastAsia="en-US"/>
        </w:rPr>
      </w:pPr>
      <w:r w:rsidRPr="00BC77C8">
        <w:rPr>
          <w:sz w:val="24"/>
          <w:szCs w:val="24"/>
          <w:lang w:eastAsia="en-US"/>
        </w:rPr>
        <w:t xml:space="preserve">De la Torre, M. (2017). “Historia de los derechos fundamentales y el legado del profesor Gregorio Peces-Barba” </w:t>
      </w:r>
      <w:r w:rsidRPr="00BC77C8">
        <w:rPr>
          <w:i/>
          <w:sz w:val="24"/>
          <w:szCs w:val="24"/>
          <w:lang w:eastAsia="en-US"/>
        </w:rPr>
        <w:t>Derechos y libertades, núm. 36.</w:t>
      </w:r>
    </w:p>
    <w:p w:rsidR="0038777B" w:rsidRPr="00BC77C8" w:rsidRDefault="0038777B" w:rsidP="00E67EAC">
      <w:pPr>
        <w:numPr>
          <w:ilvl w:val="0"/>
          <w:numId w:val="8"/>
        </w:numPr>
        <w:spacing w:after="160" w:line="360" w:lineRule="auto"/>
        <w:jc w:val="both"/>
        <w:outlineLvl w:val="0"/>
        <w:rPr>
          <w:sz w:val="24"/>
          <w:szCs w:val="24"/>
        </w:rPr>
      </w:pPr>
      <w:r w:rsidRPr="00BC77C8">
        <w:rPr>
          <w:sz w:val="24"/>
          <w:szCs w:val="24"/>
        </w:rPr>
        <w:t xml:space="preserve">Del Real Alcalá, J. A. (2014). “Derecho a la autonomía del artículo 2 de la Constitución, autodeterminación y secesión”. </w:t>
      </w:r>
      <w:r w:rsidRPr="00BC77C8">
        <w:rPr>
          <w:i/>
          <w:sz w:val="24"/>
          <w:szCs w:val="24"/>
        </w:rPr>
        <w:t xml:space="preserve">El futuro territorial del Estado español; ¿centralización, autonomía, federalismo, confederación  o secesión?, </w:t>
      </w:r>
      <w:r w:rsidRPr="00BC77C8">
        <w:rPr>
          <w:sz w:val="24"/>
          <w:szCs w:val="24"/>
        </w:rPr>
        <w:t>Valencia, Tirant lo Blanch.</w:t>
      </w:r>
    </w:p>
    <w:p w:rsidR="0038777B" w:rsidRPr="00BC77C8" w:rsidRDefault="0038777B" w:rsidP="00E67EAC">
      <w:pPr>
        <w:numPr>
          <w:ilvl w:val="0"/>
          <w:numId w:val="8"/>
        </w:numPr>
        <w:spacing w:after="160" w:line="360" w:lineRule="auto"/>
        <w:jc w:val="both"/>
        <w:outlineLvl w:val="0"/>
        <w:rPr>
          <w:sz w:val="24"/>
          <w:szCs w:val="24"/>
        </w:rPr>
      </w:pPr>
      <w:r w:rsidRPr="00BC77C8">
        <w:rPr>
          <w:sz w:val="24"/>
          <w:szCs w:val="24"/>
          <w:lang w:eastAsia="en-US"/>
        </w:rPr>
        <w:t xml:space="preserve">De Otto y Pardo, I. (1987). “Derecho Constitucional: Sistema de Fuentes”. Madrid, Ariel. </w:t>
      </w:r>
    </w:p>
    <w:p w:rsidR="0038777B" w:rsidRPr="00BC77C8" w:rsidRDefault="0038777B" w:rsidP="00E67EAC">
      <w:pPr>
        <w:numPr>
          <w:ilvl w:val="0"/>
          <w:numId w:val="8"/>
        </w:numPr>
        <w:spacing w:after="160" w:line="360" w:lineRule="auto"/>
        <w:jc w:val="both"/>
        <w:outlineLvl w:val="0"/>
        <w:rPr>
          <w:sz w:val="24"/>
          <w:szCs w:val="24"/>
        </w:rPr>
      </w:pPr>
      <w:r w:rsidRPr="00BC77C8">
        <w:rPr>
          <w:sz w:val="24"/>
          <w:szCs w:val="24"/>
          <w:lang w:eastAsia="en-US"/>
        </w:rPr>
        <w:t>De Secondat, C.L. (1747). “El Espíritu de las Leyes”.</w:t>
      </w:r>
    </w:p>
    <w:p w:rsidR="0038777B" w:rsidRPr="00BC77C8" w:rsidRDefault="0038777B" w:rsidP="00E67EAC">
      <w:pPr>
        <w:numPr>
          <w:ilvl w:val="0"/>
          <w:numId w:val="8"/>
        </w:numPr>
        <w:spacing w:after="160" w:line="360" w:lineRule="auto"/>
        <w:jc w:val="both"/>
        <w:outlineLvl w:val="0"/>
        <w:rPr>
          <w:sz w:val="24"/>
          <w:szCs w:val="24"/>
        </w:rPr>
      </w:pPr>
      <w:r w:rsidRPr="00BC77C8">
        <w:rPr>
          <w:sz w:val="24"/>
          <w:szCs w:val="24"/>
          <w:lang w:eastAsia="en-US"/>
        </w:rPr>
        <w:t>De Vega, P. (1985) “La reforma constitucional y la problemática del poder constituyente”, Madrid, Tecnos.</w:t>
      </w:r>
    </w:p>
    <w:p w:rsidR="0038777B" w:rsidRPr="00BC77C8" w:rsidRDefault="0038777B" w:rsidP="00E67EAC">
      <w:pPr>
        <w:numPr>
          <w:ilvl w:val="0"/>
          <w:numId w:val="8"/>
        </w:numPr>
        <w:spacing w:after="160" w:line="360" w:lineRule="auto"/>
        <w:jc w:val="both"/>
        <w:outlineLvl w:val="0"/>
        <w:rPr>
          <w:sz w:val="24"/>
          <w:szCs w:val="24"/>
        </w:rPr>
      </w:pPr>
      <w:r w:rsidRPr="00BC77C8">
        <w:rPr>
          <w:sz w:val="24"/>
          <w:szCs w:val="24"/>
          <w:lang w:eastAsia="en-US"/>
        </w:rPr>
        <w:t xml:space="preserve">Díez Picazo, L. M. (2006). “Límites internacionales al poder constituyente”. </w:t>
      </w:r>
      <w:r w:rsidRPr="00BC77C8">
        <w:rPr>
          <w:i/>
          <w:sz w:val="24"/>
          <w:szCs w:val="24"/>
          <w:lang w:eastAsia="en-US"/>
        </w:rPr>
        <w:t>Revista Española de Derecho Constitucional, núm. 76</w:t>
      </w:r>
      <w:r w:rsidRPr="00BC77C8">
        <w:rPr>
          <w:sz w:val="24"/>
          <w:szCs w:val="24"/>
          <w:lang w:eastAsia="en-US"/>
        </w:rPr>
        <w:t xml:space="preserve">. </w:t>
      </w:r>
    </w:p>
    <w:p w:rsidR="0038777B" w:rsidRDefault="0038777B" w:rsidP="00E67EAC">
      <w:pPr>
        <w:numPr>
          <w:ilvl w:val="0"/>
          <w:numId w:val="8"/>
        </w:numPr>
        <w:spacing w:after="160" w:line="360" w:lineRule="auto"/>
        <w:jc w:val="both"/>
        <w:outlineLvl w:val="0"/>
        <w:rPr>
          <w:sz w:val="24"/>
          <w:szCs w:val="24"/>
          <w:lang w:eastAsia="en-US"/>
        </w:rPr>
      </w:pPr>
      <w:r w:rsidRPr="00BC77C8">
        <w:rPr>
          <w:sz w:val="24"/>
          <w:szCs w:val="24"/>
          <w:lang w:eastAsia="en-US"/>
        </w:rPr>
        <w:t xml:space="preserve">Fernández Rodera, J.A. (2003) “A vueltas con el artículo 155”. </w:t>
      </w:r>
      <w:r w:rsidRPr="00BC77C8">
        <w:rPr>
          <w:i/>
          <w:sz w:val="24"/>
          <w:szCs w:val="24"/>
          <w:lang w:eastAsia="en-US"/>
        </w:rPr>
        <w:t>Actualidad jurídica Aranzadi, núm 603.</w:t>
      </w:r>
      <w:r w:rsidRPr="00BC77C8">
        <w:rPr>
          <w:sz w:val="24"/>
          <w:szCs w:val="24"/>
          <w:lang w:eastAsia="en-US"/>
        </w:rPr>
        <w:t xml:space="preserve"> </w:t>
      </w:r>
    </w:p>
    <w:p w:rsidR="00C3474F" w:rsidRPr="00BC77C8" w:rsidRDefault="00C3474F" w:rsidP="00C3474F">
      <w:pPr>
        <w:numPr>
          <w:ilvl w:val="0"/>
          <w:numId w:val="8"/>
        </w:numPr>
        <w:spacing w:after="160" w:line="360" w:lineRule="auto"/>
        <w:jc w:val="both"/>
        <w:outlineLvl w:val="0"/>
        <w:rPr>
          <w:sz w:val="24"/>
          <w:szCs w:val="24"/>
          <w:lang w:eastAsia="en-US"/>
        </w:rPr>
      </w:pPr>
      <w:r w:rsidRPr="00C3474F">
        <w:rPr>
          <w:sz w:val="24"/>
          <w:szCs w:val="24"/>
          <w:lang w:eastAsia="en-US"/>
        </w:rPr>
        <w:t xml:space="preserve">Ferreres Comella, V., Fossas Espadaler, E. y Saiz Arnaiz, A. (2017). “Las trece campanadas del soberanismo”. </w:t>
      </w:r>
      <w:r w:rsidRPr="00C3474F">
        <w:rPr>
          <w:i/>
          <w:sz w:val="24"/>
          <w:szCs w:val="24"/>
          <w:lang w:eastAsia="en-US"/>
        </w:rPr>
        <w:t>Diario EL PAÍS</w:t>
      </w:r>
      <w:r w:rsidRPr="00C3474F">
        <w:rPr>
          <w:sz w:val="24"/>
          <w:szCs w:val="24"/>
          <w:lang w:eastAsia="en-US"/>
        </w:rPr>
        <w:t>. 21 de marzo de 2017. Disponible on line: http://elpais.com/elpais/2017/03/16/opinion/1489692590_562601.html</w:t>
      </w:r>
      <w:r>
        <w:rPr>
          <w:sz w:val="24"/>
          <w:szCs w:val="24"/>
          <w:lang w:eastAsia="en-US"/>
        </w:rPr>
        <w:t>.</w:t>
      </w:r>
    </w:p>
    <w:p w:rsidR="0038777B" w:rsidRPr="00BC77C8" w:rsidRDefault="0038777B" w:rsidP="00E67EAC">
      <w:pPr>
        <w:numPr>
          <w:ilvl w:val="0"/>
          <w:numId w:val="8"/>
        </w:numPr>
        <w:spacing w:after="160" w:line="360" w:lineRule="auto"/>
        <w:jc w:val="both"/>
        <w:outlineLvl w:val="0"/>
        <w:rPr>
          <w:b/>
          <w:sz w:val="24"/>
          <w:szCs w:val="24"/>
          <w:lang w:eastAsia="en-US"/>
        </w:rPr>
      </w:pPr>
      <w:r w:rsidRPr="00BC77C8">
        <w:rPr>
          <w:sz w:val="24"/>
          <w:szCs w:val="24"/>
          <w:lang w:eastAsia="en-US"/>
        </w:rPr>
        <w:t>Gagnon A.G. y Sanjaume Calvet, M. (2013) “Cataluña: Federalismo y derecho a decidir</w:t>
      </w:r>
      <w:r w:rsidRPr="00BC77C8">
        <w:rPr>
          <w:i/>
          <w:sz w:val="24"/>
          <w:szCs w:val="24"/>
          <w:lang w:eastAsia="en-US"/>
        </w:rPr>
        <w:t>”, Anuari del Conflicte Social, 2013.</w:t>
      </w:r>
    </w:p>
    <w:p w:rsidR="0038777B" w:rsidRPr="00BC77C8" w:rsidRDefault="0038777B" w:rsidP="00E67EAC">
      <w:pPr>
        <w:numPr>
          <w:ilvl w:val="0"/>
          <w:numId w:val="8"/>
        </w:numPr>
        <w:spacing w:after="160" w:line="360" w:lineRule="auto"/>
        <w:jc w:val="both"/>
        <w:outlineLvl w:val="0"/>
        <w:rPr>
          <w:sz w:val="24"/>
          <w:szCs w:val="24"/>
        </w:rPr>
      </w:pPr>
      <w:r w:rsidRPr="00BC77C8">
        <w:rPr>
          <w:sz w:val="24"/>
          <w:szCs w:val="24"/>
          <w:lang w:eastAsia="en-US"/>
        </w:rPr>
        <w:lastRenderedPageBreak/>
        <w:t xml:space="preserve">García Belaunde, D. (2006). “Implantación de las Constituciones”. </w:t>
      </w:r>
      <w:r w:rsidRPr="00BC77C8">
        <w:rPr>
          <w:i/>
          <w:sz w:val="24"/>
          <w:szCs w:val="24"/>
          <w:lang w:eastAsia="en-US"/>
        </w:rPr>
        <w:t>La Constitución y su dinámica</w:t>
      </w:r>
      <w:r w:rsidRPr="00BC77C8">
        <w:rPr>
          <w:sz w:val="24"/>
          <w:szCs w:val="24"/>
          <w:lang w:eastAsia="en-US"/>
        </w:rPr>
        <w:t xml:space="preserve">. Lima, Palestra Editores. </w:t>
      </w:r>
    </w:p>
    <w:p w:rsidR="0038777B" w:rsidRPr="00BC77C8" w:rsidRDefault="0038777B" w:rsidP="00E67EAC">
      <w:pPr>
        <w:numPr>
          <w:ilvl w:val="0"/>
          <w:numId w:val="8"/>
        </w:numPr>
        <w:spacing w:after="160" w:line="360" w:lineRule="auto"/>
        <w:jc w:val="both"/>
        <w:outlineLvl w:val="0"/>
        <w:rPr>
          <w:sz w:val="24"/>
          <w:szCs w:val="24"/>
        </w:rPr>
      </w:pPr>
      <w:r w:rsidRPr="00BC77C8">
        <w:rPr>
          <w:sz w:val="24"/>
          <w:szCs w:val="24"/>
          <w:lang w:eastAsia="en-US"/>
        </w:rPr>
        <w:t xml:space="preserve">García Torres, J. (1984). “El artículo 155 de la Constitución Española y el principio constitucional de autonomía”. </w:t>
      </w:r>
      <w:r w:rsidRPr="00BC77C8">
        <w:rPr>
          <w:i/>
          <w:sz w:val="24"/>
          <w:szCs w:val="24"/>
          <w:lang w:eastAsia="en-US"/>
        </w:rPr>
        <w:t>Organización Territorial del Estado: Comunidades Autónomas, vol. II</w:t>
      </w:r>
      <w:r w:rsidRPr="00BC77C8">
        <w:rPr>
          <w:sz w:val="24"/>
          <w:szCs w:val="24"/>
          <w:lang w:eastAsia="en-US"/>
        </w:rPr>
        <w:t xml:space="preserve">. Madrid, Instituto de Estudios Fiscales. </w:t>
      </w:r>
    </w:p>
    <w:p w:rsidR="0038777B" w:rsidRPr="00BC77C8" w:rsidRDefault="0038777B" w:rsidP="00E67EAC">
      <w:pPr>
        <w:numPr>
          <w:ilvl w:val="0"/>
          <w:numId w:val="8"/>
        </w:numPr>
        <w:spacing w:after="160" w:line="360" w:lineRule="auto"/>
        <w:jc w:val="both"/>
        <w:outlineLvl w:val="0"/>
        <w:rPr>
          <w:sz w:val="24"/>
          <w:szCs w:val="24"/>
        </w:rPr>
      </w:pPr>
      <w:r w:rsidRPr="00BC77C8">
        <w:rPr>
          <w:sz w:val="24"/>
          <w:szCs w:val="24"/>
          <w:lang w:eastAsia="en-US"/>
        </w:rPr>
        <w:t xml:space="preserve">Grau Creus, M. y Viver Pi-Sunyer, C. La contribució del Parlament al procés de consolidació i desenvolupament de l’ autogovern de Catalunya i a la defensa de la seva identitat nacional. </w:t>
      </w:r>
      <w:r w:rsidRPr="00BC77C8">
        <w:rPr>
          <w:i/>
          <w:sz w:val="24"/>
          <w:szCs w:val="24"/>
          <w:lang w:eastAsia="en-US"/>
        </w:rPr>
        <w:t>Revista d’Estudis Autonòmics i Federals</w:t>
      </w:r>
      <w:r w:rsidRPr="00BC77C8">
        <w:rPr>
          <w:sz w:val="24"/>
          <w:szCs w:val="24"/>
          <w:lang w:eastAsia="en-US"/>
        </w:rPr>
        <w:t xml:space="preserve">, </w:t>
      </w:r>
      <w:r w:rsidRPr="00BC77C8">
        <w:rPr>
          <w:i/>
          <w:sz w:val="24"/>
          <w:szCs w:val="24"/>
          <w:lang w:eastAsia="en-US"/>
        </w:rPr>
        <w:t>núm. 18</w:t>
      </w:r>
      <w:r w:rsidRPr="00BC77C8">
        <w:rPr>
          <w:sz w:val="24"/>
          <w:szCs w:val="24"/>
          <w:lang w:eastAsia="en-US"/>
        </w:rPr>
        <w:t>.</w:t>
      </w:r>
    </w:p>
    <w:p w:rsidR="0038777B" w:rsidRPr="00BC77C8" w:rsidRDefault="0038777B" w:rsidP="00E67EAC">
      <w:pPr>
        <w:numPr>
          <w:ilvl w:val="0"/>
          <w:numId w:val="8"/>
        </w:numPr>
        <w:spacing w:after="160" w:line="360" w:lineRule="auto"/>
        <w:jc w:val="both"/>
        <w:outlineLvl w:val="0"/>
        <w:rPr>
          <w:sz w:val="24"/>
          <w:szCs w:val="24"/>
        </w:rPr>
      </w:pPr>
      <w:r w:rsidRPr="00BC77C8">
        <w:rPr>
          <w:sz w:val="24"/>
          <w:szCs w:val="24"/>
          <w:lang w:eastAsia="en-US"/>
        </w:rPr>
        <w:t xml:space="preserve">Hernández Ramos, M. (2016). “Ley Orgánica 15/2015, de 16 de octubre, de reforma de la Ley Orgánica 2/1979, de 3 de octubre, del Tribunal Constitucional, para la ejecución de las resoluciones del Tribunal Constitucional como garantía del Estado de Derecho. Un paso en la dirección equivocada”. </w:t>
      </w:r>
      <w:r w:rsidRPr="00BC77C8">
        <w:rPr>
          <w:i/>
          <w:sz w:val="24"/>
          <w:szCs w:val="24"/>
          <w:lang w:eastAsia="en-US"/>
        </w:rPr>
        <w:t>Ars Iuris Salmanticensis, vol. 4</w:t>
      </w:r>
      <w:r w:rsidRPr="00BC77C8">
        <w:rPr>
          <w:sz w:val="24"/>
          <w:szCs w:val="24"/>
          <w:lang w:eastAsia="en-US"/>
        </w:rPr>
        <w:t xml:space="preserve">. Salamanca, Ediciones Universidad de Salamanca. </w:t>
      </w:r>
    </w:p>
    <w:p w:rsidR="0038777B" w:rsidRPr="00BC77C8" w:rsidRDefault="0038777B" w:rsidP="00E67EAC">
      <w:pPr>
        <w:numPr>
          <w:ilvl w:val="0"/>
          <w:numId w:val="8"/>
        </w:numPr>
        <w:spacing w:after="160" w:line="360" w:lineRule="auto"/>
        <w:jc w:val="both"/>
        <w:outlineLvl w:val="0"/>
        <w:rPr>
          <w:sz w:val="24"/>
          <w:szCs w:val="24"/>
        </w:rPr>
      </w:pPr>
      <w:r w:rsidRPr="00BC77C8">
        <w:rPr>
          <w:sz w:val="24"/>
          <w:szCs w:val="24"/>
          <w:lang w:eastAsia="en-US"/>
        </w:rPr>
        <w:t xml:space="preserve">Loewenstein, K. (1989). “Teoría de la Constitución”. Madrid, Ariel. </w:t>
      </w:r>
    </w:p>
    <w:p w:rsidR="002F1BB5" w:rsidRDefault="002F1BB5" w:rsidP="002F1BB5">
      <w:pPr>
        <w:numPr>
          <w:ilvl w:val="0"/>
          <w:numId w:val="8"/>
        </w:numPr>
        <w:spacing w:after="160" w:line="360" w:lineRule="auto"/>
        <w:jc w:val="both"/>
        <w:outlineLvl w:val="0"/>
        <w:rPr>
          <w:sz w:val="24"/>
          <w:szCs w:val="24"/>
        </w:rPr>
      </w:pPr>
      <w:r w:rsidRPr="002F1BB5">
        <w:rPr>
          <w:sz w:val="24"/>
          <w:szCs w:val="24"/>
        </w:rPr>
        <w:t>López Basaguren A. (2008). “Transformazioni dello Stato autonómico e reforma dello Statuto d</w:t>
      </w:r>
      <w:r>
        <w:rPr>
          <w:sz w:val="24"/>
          <w:szCs w:val="24"/>
        </w:rPr>
        <w:t xml:space="preserve">el Paese Basco: tra rottura ed </w:t>
      </w:r>
      <w:r w:rsidRPr="002F1BB5">
        <w:rPr>
          <w:sz w:val="24"/>
          <w:szCs w:val="24"/>
        </w:rPr>
        <w:t xml:space="preserve">acomodamento a volontà”. </w:t>
      </w:r>
      <w:r w:rsidRPr="00C3474F">
        <w:rPr>
          <w:i/>
          <w:sz w:val="24"/>
          <w:szCs w:val="24"/>
        </w:rPr>
        <w:t>Regionalismo e Statuti. Le riforme en Spagnia y en Italia</w:t>
      </w:r>
      <w:r w:rsidRPr="002F1BB5">
        <w:rPr>
          <w:sz w:val="24"/>
          <w:szCs w:val="24"/>
        </w:rPr>
        <w:t>. Milán, Giuffrè</w:t>
      </w:r>
      <w:r>
        <w:rPr>
          <w:sz w:val="24"/>
          <w:szCs w:val="24"/>
        </w:rPr>
        <w:t>.</w:t>
      </w:r>
    </w:p>
    <w:p w:rsidR="002F1BB5" w:rsidRPr="002F1BB5" w:rsidRDefault="002F1BB5" w:rsidP="002F1BB5">
      <w:pPr>
        <w:numPr>
          <w:ilvl w:val="0"/>
          <w:numId w:val="8"/>
        </w:numPr>
        <w:spacing w:after="160" w:line="360" w:lineRule="auto"/>
        <w:jc w:val="both"/>
        <w:outlineLvl w:val="0"/>
        <w:rPr>
          <w:sz w:val="24"/>
          <w:szCs w:val="24"/>
        </w:rPr>
      </w:pPr>
      <w:r w:rsidRPr="002F1BB5">
        <w:rPr>
          <w:sz w:val="24"/>
          <w:szCs w:val="24"/>
        </w:rPr>
        <w:t xml:space="preserve">López Basaguren, A. (2009). “Sobre referéndum y Comunidades Autónomas. La Ley vasca de la consulta ante el Tribunal Constitucional (consideraciones con motivo de la STC 103/2008)”. </w:t>
      </w:r>
      <w:r w:rsidRPr="002F1BB5">
        <w:rPr>
          <w:i/>
          <w:sz w:val="24"/>
          <w:szCs w:val="24"/>
        </w:rPr>
        <w:t>Revista d'estudis autonòmics i federals, núm. 9</w:t>
      </w:r>
      <w:r w:rsidRPr="002F1BB5">
        <w:rPr>
          <w:sz w:val="24"/>
          <w:szCs w:val="24"/>
        </w:rPr>
        <w:t>.</w:t>
      </w:r>
    </w:p>
    <w:p w:rsidR="0038777B" w:rsidRPr="00BC77C8" w:rsidRDefault="0038777B" w:rsidP="00E67EAC">
      <w:pPr>
        <w:numPr>
          <w:ilvl w:val="0"/>
          <w:numId w:val="8"/>
        </w:numPr>
        <w:spacing w:after="160" w:line="360" w:lineRule="auto"/>
        <w:jc w:val="both"/>
        <w:outlineLvl w:val="0"/>
        <w:rPr>
          <w:sz w:val="24"/>
          <w:szCs w:val="24"/>
        </w:rPr>
      </w:pPr>
      <w:r w:rsidRPr="00BC77C8">
        <w:rPr>
          <w:sz w:val="24"/>
          <w:szCs w:val="24"/>
          <w:lang w:eastAsia="en-US"/>
        </w:rPr>
        <w:t xml:space="preserve">Lorente Velasco, S.M. (2011). “Delitos de atentado contra la autoridad, sus agentes y los funcionarios públicos y de resistencia y desobediencia”. Madrid, Dykinson. </w:t>
      </w:r>
    </w:p>
    <w:p w:rsidR="0038777B" w:rsidRPr="00BC77C8" w:rsidRDefault="0038777B" w:rsidP="00E67EAC">
      <w:pPr>
        <w:numPr>
          <w:ilvl w:val="0"/>
          <w:numId w:val="8"/>
        </w:numPr>
        <w:spacing w:after="160" w:line="360" w:lineRule="auto"/>
        <w:jc w:val="both"/>
        <w:outlineLvl w:val="0"/>
        <w:rPr>
          <w:b/>
          <w:sz w:val="24"/>
          <w:szCs w:val="24"/>
          <w:lang w:eastAsia="en-US"/>
        </w:rPr>
      </w:pPr>
      <w:r w:rsidRPr="00BC77C8">
        <w:rPr>
          <w:sz w:val="24"/>
          <w:szCs w:val="24"/>
          <w:lang w:eastAsia="en-US"/>
        </w:rPr>
        <w:t>Muñoz Machado, S. (2012), “Informe sobre España. Repensar el Estado o destruirlo”, Barcelona, Crítica.</w:t>
      </w:r>
    </w:p>
    <w:p w:rsidR="0038777B" w:rsidRPr="00BC77C8" w:rsidRDefault="0038777B" w:rsidP="00E67EAC">
      <w:pPr>
        <w:numPr>
          <w:ilvl w:val="0"/>
          <w:numId w:val="8"/>
        </w:numPr>
        <w:spacing w:after="160" w:line="360" w:lineRule="auto"/>
        <w:jc w:val="both"/>
        <w:outlineLvl w:val="0"/>
        <w:rPr>
          <w:sz w:val="24"/>
          <w:szCs w:val="24"/>
        </w:rPr>
      </w:pPr>
      <w:r w:rsidRPr="00BC77C8">
        <w:rPr>
          <w:sz w:val="24"/>
          <w:szCs w:val="24"/>
          <w:lang w:eastAsia="en-US"/>
        </w:rPr>
        <w:t xml:space="preserve">Oliver Araujo, J. (2014), “España en la encrucijada”, </w:t>
      </w:r>
      <w:r w:rsidRPr="00BC77C8">
        <w:rPr>
          <w:i/>
          <w:sz w:val="24"/>
          <w:szCs w:val="24"/>
          <w:lang w:eastAsia="en-US"/>
        </w:rPr>
        <w:t xml:space="preserve">El futuro territorial del Estado español; ¿centralización, </w:t>
      </w:r>
      <w:bookmarkStart w:id="0" w:name="_GoBack"/>
      <w:bookmarkEnd w:id="0"/>
      <w:r w:rsidRPr="00BC77C8">
        <w:rPr>
          <w:i/>
          <w:sz w:val="24"/>
          <w:szCs w:val="24"/>
          <w:lang w:eastAsia="en-US"/>
        </w:rPr>
        <w:t>autonomía, federalismo, confederación  o secesión?</w:t>
      </w:r>
      <w:r w:rsidRPr="00BC77C8">
        <w:rPr>
          <w:sz w:val="24"/>
          <w:szCs w:val="24"/>
          <w:lang w:eastAsia="en-US"/>
        </w:rPr>
        <w:t>, Valencia, Tirant lo Blanch.</w:t>
      </w:r>
    </w:p>
    <w:p w:rsidR="0038777B" w:rsidRPr="00BC77C8" w:rsidRDefault="0038777B" w:rsidP="00E67EAC">
      <w:pPr>
        <w:numPr>
          <w:ilvl w:val="0"/>
          <w:numId w:val="8"/>
        </w:numPr>
        <w:spacing w:after="160" w:line="360" w:lineRule="auto"/>
        <w:jc w:val="both"/>
        <w:outlineLvl w:val="0"/>
        <w:rPr>
          <w:sz w:val="24"/>
          <w:szCs w:val="24"/>
        </w:rPr>
      </w:pPr>
      <w:r w:rsidRPr="00BC77C8">
        <w:rPr>
          <w:sz w:val="24"/>
          <w:szCs w:val="24"/>
          <w:lang w:eastAsia="en-US"/>
        </w:rPr>
        <w:t xml:space="preserve">Pérez Infante, J.I. (2009). “La Concertación y el Diálogo Social en España: 1977-2007”, </w:t>
      </w:r>
      <w:r w:rsidRPr="00BC77C8">
        <w:rPr>
          <w:i/>
          <w:sz w:val="24"/>
          <w:szCs w:val="24"/>
          <w:lang w:eastAsia="en-US"/>
        </w:rPr>
        <w:t>Revista del Ministerio de Trabajo e Inmigración, núm. 81</w:t>
      </w:r>
      <w:r w:rsidRPr="00BC77C8">
        <w:rPr>
          <w:sz w:val="24"/>
          <w:szCs w:val="24"/>
          <w:lang w:eastAsia="en-US"/>
        </w:rPr>
        <w:t>.</w:t>
      </w:r>
    </w:p>
    <w:p w:rsidR="0038777B" w:rsidRPr="00BC77C8" w:rsidRDefault="0038777B" w:rsidP="00E67EAC">
      <w:pPr>
        <w:numPr>
          <w:ilvl w:val="0"/>
          <w:numId w:val="8"/>
        </w:numPr>
        <w:spacing w:after="160" w:line="360" w:lineRule="auto"/>
        <w:jc w:val="both"/>
        <w:outlineLvl w:val="0"/>
        <w:rPr>
          <w:sz w:val="24"/>
          <w:szCs w:val="24"/>
          <w:lang w:eastAsia="en-US"/>
        </w:rPr>
      </w:pPr>
      <w:r w:rsidRPr="00BC77C8">
        <w:rPr>
          <w:sz w:val="24"/>
          <w:szCs w:val="24"/>
          <w:lang w:eastAsia="en-US"/>
        </w:rPr>
        <w:lastRenderedPageBreak/>
        <w:t xml:space="preserve">Peris Riera, J. (2015). “Delitos contra el orden público y la comunidad internacional”. </w:t>
      </w:r>
      <w:r w:rsidRPr="00C3474F">
        <w:rPr>
          <w:i/>
          <w:sz w:val="24"/>
          <w:szCs w:val="24"/>
          <w:lang w:eastAsia="en-US"/>
        </w:rPr>
        <w:t>Estudios sobre el Código Penal Reformado (Leyes Orgánicas 1/2015 y 2/2015)</w:t>
      </w:r>
      <w:r w:rsidRPr="00BC77C8">
        <w:rPr>
          <w:sz w:val="24"/>
          <w:szCs w:val="24"/>
          <w:lang w:eastAsia="en-US"/>
        </w:rPr>
        <w:t xml:space="preserve">. Madrid, Dykinson. </w:t>
      </w:r>
    </w:p>
    <w:p w:rsidR="001B2CB7" w:rsidRPr="002F1BB5" w:rsidRDefault="001B2CB7" w:rsidP="001B2CB7">
      <w:pPr>
        <w:numPr>
          <w:ilvl w:val="0"/>
          <w:numId w:val="8"/>
        </w:numPr>
        <w:spacing w:after="160" w:line="360" w:lineRule="auto"/>
        <w:jc w:val="both"/>
        <w:outlineLvl w:val="0"/>
        <w:rPr>
          <w:sz w:val="24"/>
          <w:szCs w:val="24"/>
        </w:rPr>
      </w:pPr>
      <w:r w:rsidRPr="002F1BB5">
        <w:rPr>
          <w:sz w:val="24"/>
          <w:szCs w:val="24"/>
        </w:rPr>
        <w:t xml:space="preserve">Rodao i Martín, J. (2014). “La juridificación del derecho a decidir en España”. </w:t>
      </w:r>
      <w:r w:rsidRPr="001B2CB7">
        <w:rPr>
          <w:i/>
          <w:sz w:val="24"/>
          <w:szCs w:val="24"/>
        </w:rPr>
        <w:t>Revista de Derecho Político, núm. 91</w:t>
      </w:r>
      <w:r w:rsidRPr="002F1BB5">
        <w:rPr>
          <w:sz w:val="24"/>
          <w:szCs w:val="24"/>
        </w:rPr>
        <w:t xml:space="preserve">. </w:t>
      </w:r>
    </w:p>
    <w:p w:rsidR="0038777B" w:rsidRDefault="0038777B" w:rsidP="00E67EAC">
      <w:pPr>
        <w:numPr>
          <w:ilvl w:val="0"/>
          <w:numId w:val="8"/>
        </w:numPr>
        <w:spacing w:after="160" w:line="360" w:lineRule="auto"/>
        <w:jc w:val="both"/>
        <w:outlineLvl w:val="0"/>
        <w:rPr>
          <w:sz w:val="24"/>
          <w:szCs w:val="24"/>
        </w:rPr>
      </w:pPr>
      <w:r w:rsidRPr="00BC77C8">
        <w:rPr>
          <w:sz w:val="24"/>
          <w:szCs w:val="24"/>
          <w:lang w:eastAsia="en-US"/>
        </w:rPr>
        <w:t xml:space="preserve">Rojo Salgado, A. (2005). “Reflexiones y propuestas ante un estado autonómico en crisis: la apertura al federalismo”, </w:t>
      </w:r>
      <w:r w:rsidRPr="00BC77C8">
        <w:rPr>
          <w:i/>
          <w:sz w:val="24"/>
          <w:szCs w:val="24"/>
          <w:lang w:eastAsia="en-US"/>
        </w:rPr>
        <w:t>VII Congreso Español de Ciencia Política y de la Administración: Democracia y Buen Gobierno</w:t>
      </w:r>
      <w:r w:rsidRPr="00BC77C8">
        <w:rPr>
          <w:sz w:val="24"/>
          <w:szCs w:val="24"/>
          <w:lang w:eastAsia="en-US"/>
        </w:rPr>
        <w:t>.</w:t>
      </w:r>
    </w:p>
    <w:p w:rsidR="0038777B" w:rsidRPr="00BC77C8" w:rsidRDefault="0038777B" w:rsidP="00E67EAC">
      <w:pPr>
        <w:numPr>
          <w:ilvl w:val="0"/>
          <w:numId w:val="8"/>
        </w:numPr>
        <w:spacing w:after="160" w:line="360" w:lineRule="auto"/>
        <w:jc w:val="both"/>
        <w:outlineLvl w:val="0"/>
        <w:rPr>
          <w:b/>
          <w:sz w:val="24"/>
          <w:szCs w:val="24"/>
          <w:lang w:eastAsia="en-US"/>
        </w:rPr>
      </w:pPr>
      <w:r w:rsidRPr="00BC77C8">
        <w:rPr>
          <w:sz w:val="24"/>
          <w:szCs w:val="24"/>
          <w:lang w:eastAsia="en-US"/>
        </w:rPr>
        <w:t>Sieyès, E.J. (1789). “¿Qué es el Tercer Estado?”</w:t>
      </w:r>
    </w:p>
    <w:p w:rsidR="002F1BB5" w:rsidRPr="002F1BB5" w:rsidRDefault="002F1BB5" w:rsidP="002F1BB5">
      <w:pPr>
        <w:numPr>
          <w:ilvl w:val="0"/>
          <w:numId w:val="8"/>
        </w:numPr>
        <w:spacing w:after="160" w:line="360" w:lineRule="auto"/>
        <w:jc w:val="both"/>
        <w:outlineLvl w:val="0"/>
        <w:rPr>
          <w:i/>
          <w:sz w:val="24"/>
          <w:szCs w:val="24"/>
        </w:rPr>
      </w:pPr>
      <w:r w:rsidRPr="002F1BB5">
        <w:rPr>
          <w:sz w:val="24"/>
          <w:szCs w:val="24"/>
        </w:rPr>
        <w:t xml:space="preserve">Tajadura Tejada, J. (2009). “Referéndum en el País Vasco (comentario a la STC 103/2008, de 11 de septiembre)”. </w:t>
      </w:r>
      <w:r w:rsidRPr="002F1BB5">
        <w:rPr>
          <w:i/>
          <w:sz w:val="24"/>
          <w:szCs w:val="24"/>
        </w:rPr>
        <w:t>Teoría y Realidad Constitucional, núm. 23</w:t>
      </w:r>
      <w:r>
        <w:rPr>
          <w:sz w:val="24"/>
          <w:szCs w:val="24"/>
        </w:rPr>
        <w:t>.</w:t>
      </w:r>
    </w:p>
    <w:p w:rsidR="0038777B" w:rsidRPr="002F1BB5" w:rsidRDefault="0038777B" w:rsidP="002F1BB5">
      <w:pPr>
        <w:numPr>
          <w:ilvl w:val="0"/>
          <w:numId w:val="8"/>
        </w:numPr>
        <w:spacing w:after="160" w:line="360" w:lineRule="auto"/>
        <w:jc w:val="both"/>
        <w:outlineLvl w:val="0"/>
        <w:rPr>
          <w:i/>
          <w:sz w:val="24"/>
          <w:szCs w:val="24"/>
        </w:rPr>
      </w:pPr>
      <w:r w:rsidRPr="002F1BB5">
        <w:rPr>
          <w:sz w:val="24"/>
          <w:szCs w:val="24"/>
        </w:rPr>
        <w:t xml:space="preserve">Varios (2016). “Encuesta sobre la cuestión catalana”. </w:t>
      </w:r>
      <w:r w:rsidRPr="002F1BB5">
        <w:rPr>
          <w:i/>
          <w:sz w:val="24"/>
          <w:szCs w:val="24"/>
        </w:rPr>
        <w:t>Teoría y Realidad Constitucional núm. 37.</w:t>
      </w:r>
    </w:p>
    <w:p w:rsidR="0038777B" w:rsidRPr="00BC77C8" w:rsidRDefault="0038777B" w:rsidP="00E67EAC">
      <w:pPr>
        <w:numPr>
          <w:ilvl w:val="0"/>
          <w:numId w:val="9"/>
        </w:numPr>
        <w:spacing w:after="160" w:line="360" w:lineRule="auto"/>
        <w:jc w:val="both"/>
        <w:outlineLvl w:val="0"/>
        <w:rPr>
          <w:sz w:val="24"/>
          <w:szCs w:val="24"/>
          <w:lang w:eastAsia="en-US"/>
        </w:rPr>
      </w:pPr>
      <w:r w:rsidRPr="00BC77C8">
        <w:rPr>
          <w:sz w:val="24"/>
          <w:szCs w:val="24"/>
          <w:lang w:eastAsia="en-US"/>
        </w:rPr>
        <w:t xml:space="preserve">Vilajosana, J.M. (2014) “Principi democràtic i justificació del dret a decidir”. </w:t>
      </w:r>
      <w:r w:rsidRPr="00BC77C8">
        <w:rPr>
          <w:i/>
          <w:sz w:val="24"/>
          <w:szCs w:val="24"/>
          <w:lang w:eastAsia="en-US"/>
        </w:rPr>
        <w:t>Revista d’Estudis Autonòmics i Federals núm. 19</w:t>
      </w:r>
      <w:r w:rsidRPr="00BC77C8">
        <w:rPr>
          <w:sz w:val="24"/>
          <w:szCs w:val="24"/>
          <w:lang w:eastAsia="en-US"/>
        </w:rPr>
        <w:t xml:space="preserve">. </w:t>
      </w:r>
    </w:p>
    <w:p w:rsidR="002F1BB5" w:rsidRPr="002F1BB5" w:rsidRDefault="002F1BB5" w:rsidP="002F1BB5">
      <w:pPr>
        <w:numPr>
          <w:ilvl w:val="0"/>
          <w:numId w:val="9"/>
        </w:numPr>
        <w:spacing w:after="160" w:line="360" w:lineRule="auto"/>
        <w:jc w:val="both"/>
        <w:outlineLvl w:val="0"/>
        <w:rPr>
          <w:sz w:val="24"/>
          <w:szCs w:val="24"/>
          <w:lang w:val="en-GB"/>
        </w:rPr>
      </w:pPr>
      <w:r w:rsidRPr="002F1BB5">
        <w:rPr>
          <w:sz w:val="24"/>
          <w:szCs w:val="24"/>
        </w:rPr>
        <w:t xml:space="preserve">Vintró Castells, J.: “El Tribunal Constitucional y el derecho a decidir de Cataluña: una reflexión sobre la STC de 25 de marzo de 2014”. Blog de la Revista Catalana de Dret Públic, 2 de abril de 2014. </w:t>
      </w:r>
      <w:r w:rsidRPr="002F1BB5">
        <w:rPr>
          <w:sz w:val="24"/>
          <w:szCs w:val="24"/>
          <w:lang w:val="en-GB"/>
        </w:rPr>
        <w:t>Disponible on line: https://eapc-rcdp.blog.gencat.cat/2014/04/02/el-tribunal-constitucional-y-el-derecho-a-decidir-de-cataluna-una-reflexion-sobre-la-stc-de-25-de-marzo-de-2014-joan-vintro/.</w:t>
      </w:r>
    </w:p>
    <w:p w:rsidR="0038777B" w:rsidRPr="00BC77C8" w:rsidRDefault="0038777B" w:rsidP="00E67EAC">
      <w:pPr>
        <w:numPr>
          <w:ilvl w:val="0"/>
          <w:numId w:val="9"/>
        </w:numPr>
        <w:spacing w:after="160" w:line="360" w:lineRule="auto"/>
        <w:jc w:val="both"/>
        <w:outlineLvl w:val="0"/>
        <w:rPr>
          <w:sz w:val="24"/>
          <w:szCs w:val="24"/>
          <w:lang w:eastAsia="en-US"/>
        </w:rPr>
      </w:pPr>
      <w:r w:rsidRPr="00BC77C8">
        <w:rPr>
          <w:sz w:val="24"/>
          <w:szCs w:val="24"/>
          <w:lang w:eastAsia="en-US"/>
        </w:rPr>
        <w:t xml:space="preserve">Vírgala Foruria, E. (2005) “La coacción estatal del artículo 155 de la Constitución”. </w:t>
      </w:r>
      <w:r w:rsidRPr="00BC77C8">
        <w:rPr>
          <w:i/>
          <w:sz w:val="24"/>
          <w:szCs w:val="24"/>
          <w:lang w:eastAsia="en-US"/>
        </w:rPr>
        <w:t>Revista española de Derecho Constitucional, núm. 73</w:t>
      </w:r>
    </w:p>
    <w:p w:rsidR="0038777B" w:rsidRPr="00BC77C8" w:rsidRDefault="0038777B" w:rsidP="00E67EAC">
      <w:pPr>
        <w:numPr>
          <w:ilvl w:val="0"/>
          <w:numId w:val="9"/>
        </w:numPr>
        <w:spacing w:after="160" w:line="360" w:lineRule="auto"/>
        <w:jc w:val="both"/>
        <w:outlineLvl w:val="0"/>
        <w:rPr>
          <w:sz w:val="24"/>
          <w:szCs w:val="24"/>
        </w:rPr>
      </w:pPr>
      <w:r w:rsidRPr="00BC77C8">
        <w:rPr>
          <w:sz w:val="24"/>
          <w:szCs w:val="24"/>
          <w:lang w:eastAsia="en-US"/>
        </w:rPr>
        <w:t xml:space="preserve">Viver Pi-Sunyer. “Cataluña; reflexiones del derecho a decidir”, </w:t>
      </w:r>
      <w:r w:rsidRPr="00BC77C8">
        <w:rPr>
          <w:i/>
          <w:sz w:val="24"/>
          <w:szCs w:val="24"/>
          <w:lang w:eastAsia="en-US"/>
        </w:rPr>
        <w:t>El futuro territorial</w:t>
      </w:r>
      <w:r>
        <w:rPr>
          <w:i/>
          <w:sz w:val="24"/>
          <w:szCs w:val="24"/>
          <w:lang w:eastAsia="en-US"/>
        </w:rPr>
        <w:t xml:space="preserve"> del Estado español;</w:t>
      </w:r>
      <w:r>
        <w:rPr>
          <w:sz w:val="24"/>
          <w:szCs w:val="24"/>
          <w:lang w:eastAsia="en-US"/>
        </w:rPr>
        <w:t xml:space="preserve"> </w:t>
      </w:r>
      <w:r w:rsidRPr="00BC77C8">
        <w:rPr>
          <w:i/>
          <w:sz w:val="24"/>
          <w:szCs w:val="24"/>
          <w:lang w:eastAsia="en-US"/>
        </w:rPr>
        <w:t>¿centralización, autonomía, federalismo, confederación  o secesión?</w:t>
      </w:r>
      <w:r w:rsidRPr="00BC77C8">
        <w:rPr>
          <w:sz w:val="24"/>
          <w:szCs w:val="24"/>
          <w:lang w:eastAsia="en-US"/>
        </w:rPr>
        <w:t>, Valencia, Tirant lo Blanch</w:t>
      </w:r>
      <w:r>
        <w:rPr>
          <w:sz w:val="24"/>
          <w:szCs w:val="24"/>
          <w:lang w:eastAsia="en-US"/>
        </w:rPr>
        <w:t>.</w:t>
      </w:r>
    </w:p>
    <w:p w:rsidR="0038777B" w:rsidRDefault="0038777B" w:rsidP="00E67EAC">
      <w:pPr>
        <w:spacing w:line="360" w:lineRule="auto"/>
        <w:jc w:val="both"/>
        <w:outlineLvl w:val="0"/>
        <w:rPr>
          <w:sz w:val="24"/>
          <w:szCs w:val="24"/>
        </w:rPr>
      </w:pPr>
    </w:p>
    <w:p w:rsidR="0038777B" w:rsidRPr="006C3DC5" w:rsidRDefault="0038777B" w:rsidP="00E67EAC">
      <w:pPr>
        <w:spacing w:line="360" w:lineRule="auto"/>
        <w:jc w:val="both"/>
        <w:outlineLvl w:val="0"/>
        <w:rPr>
          <w:b/>
          <w:sz w:val="24"/>
          <w:szCs w:val="24"/>
        </w:rPr>
      </w:pPr>
      <w:r w:rsidRPr="00E0542A">
        <w:rPr>
          <w:b/>
          <w:sz w:val="24"/>
          <w:szCs w:val="24"/>
        </w:rPr>
        <w:t>Índice de jurisprudencia</w:t>
      </w:r>
    </w:p>
    <w:p w:rsidR="001B2CB7" w:rsidRPr="001B2CB7" w:rsidRDefault="001B2CB7" w:rsidP="001B2CB7">
      <w:pPr>
        <w:numPr>
          <w:ilvl w:val="0"/>
          <w:numId w:val="6"/>
        </w:numPr>
        <w:spacing w:line="360" w:lineRule="auto"/>
        <w:jc w:val="both"/>
        <w:outlineLvl w:val="0"/>
        <w:rPr>
          <w:sz w:val="24"/>
          <w:szCs w:val="24"/>
        </w:rPr>
      </w:pPr>
      <w:r w:rsidRPr="001B2CB7">
        <w:rPr>
          <w:sz w:val="24"/>
          <w:szCs w:val="24"/>
        </w:rPr>
        <w:t xml:space="preserve">España. Tribunal Constitucional. Pleno. (2008). “Sentencia 103/2008, de 10 de octubre”. </w:t>
      </w:r>
      <w:r w:rsidRPr="00C3474F">
        <w:rPr>
          <w:i/>
          <w:sz w:val="24"/>
          <w:szCs w:val="24"/>
        </w:rPr>
        <w:t>Boletín Oficial del Estado, núm. 245</w:t>
      </w:r>
      <w:r w:rsidRPr="001B2CB7">
        <w:rPr>
          <w:sz w:val="24"/>
          <w:szCs w:val="24"/>
        </w:rPr>
        <w:t>. 10 de octubre de 2008</w:t>
      </w:r>
      <w:r>
        <w:rPr>
          <w:sz w:val="24"/>
          <w:szCs w:val="24"/>
        </w:rPr>
        <w:t>.</w:t>
      </w:r>
    </w:p>
    <w:p w:rsidR="0038777B" w:rsidRPr="00642C3E" w:rsidRDefault="0038777B" w:rsidP="00E67EAC">
      <w:pPr>
        <w:numPr>
          <w:ilvl w:val="0"/>
          <w:numId w:val="6"/>
        </w:numPr>
        <w:spacing w:line="360" w:lineRule="auto"/>
        <w:jc w:val="both"/>
        <w:outlineLvl w:val="0"/>
        <w:rPr>
          <w:sz w:val="24"/>
          <w:szCs w:val="24"/>
        </w:rPr>
      </w:pPr>
      <w:r>
        <w:rPr>
          <w:sz w:val="24"/>
          <w:szCs w:val="24"/>
          <w:lang w:val="es-ES_tradnl"/>
        </w:rPr>
        <w:lastRenderedPageBreak/>
        <w:t xml:space="preserve">España. Tribunal Constitucional. </w:t>
      </w:r>
      <w:r w:rsidR="001B2CB7">
        <w:rPr>
          <w:sz w:val="24"/>
          <w:szCs w:val="24"/>
          <w:lang w:val="es-ES_tradnl"/>
        </w:rPr>
        <w:t xml:space="preserve">Pleno. </w:t>
      </w:r>
      <w:r>
        <w:rPr>
          <w:sz w:val="24"/>
          <w:szCs w:val="24"/>
          <w:lang w:val="es-ES_tradnl"/>
        </w:rPr>
        <w:t>(2010). “</w:t>
      </w:r>
      <w:r w:rsidRPr="00FC7CAA">
        <w:rPr>
          <w:sz w:val="24"/>
          <w:szCs w:val="24"/>
          <w:lang w:val="es-ES_tradnl"/>
        </w:rPr>
        <w:t>Sentencia 31/2010, de 28 de junio de 2010</w:t>
      </w:r>
      <w:r>
        <w:rPr>
          <w:sz w:val="24"/>
          <w:szCs w:val="24"/>
          <w:lang w:val="es-ES_tradnl"/>
        </w:rPr>
        <w:t>”</w:t>
      </w:r>
      <w:r w:rsidRPr="00FC7CAA">
        <w:rPr>
          <w:sz w:val="24"/>
          <w:szCs w:val="24"/>
          <w:lang w:val="es-ES_tradnl"/>
        </w:rPr>
        <w:t xml:space="preserve">. </w:t>
      </w:r>
      <w:r w:rsidRPr="00BD6DA1">
        <w:rPr>
          <w:i/>
          <w:sz w:val="24"/>
          <w:szCs w:val="24"/>
          <w:lang w:val="es-ES_tradnl"/>
        </w:rPr>
        <w:t>Bolet</w:t>
      </w:r>
      <w:r>
        <w:rPr>
          <w:i/>
          <w:sz w:val="24"/>
          <w:szCs w:val="24"/>
          <w:lang w:val="es-ES_tradnl"/>
        </w:rPr>
        <w:t>ín Oficial del Estad</w:t>
      </w:r>
      <w:r w:rsidR="001B2CB7">
        <w:rPr>
          <w:i/>
          <w:sz w:val="24"/>
          <w:szCs w:val="24"/>
          <w:lang w:val="es-ES_tradnl"/>
        </w:rPr>
        <w:t>o</w:t>
      </w:r>
      <w:r w:rsidRPr="00BD6DA1">
        <w:rPr>
          <w:i/>
          <w:sz w:val="24"/>
          <w:szCs w:val="24"/>
          <w:lang w:val="es-ES_tradnl"/>
        </w:rPr>
        <w:t>, núm. 172</w:t>
      </w:r>
      <w:r>
        <w:rPr>
          <w:sz w:val="24"/>
          <w:szCs w:val="24"/>
          <w:lang w:val="es-ES_tradnl"/>
        </w:rPr>
        <w:t xml:space="preserve">. </w:t>
      </w:r>
      <w:r w:rsidRPr="00FC7CAA">
        <w:rPr>
          <w:sz w:val="24"/>
          <w:szCs w:val="24"/>
          <w:lang w:val="es-ES_tradnl"/>
        </w:rPr>
        <w:t>16 de julio de 2010.</w:t>
      </w:r>
    </w:p>
    <w:p w:rsidR="001B2CB7" w:rsidRDefault="001B2CB7" w:rsidP="001B2CB7">
      <w:pPr>
        <w:numPr>
          <w:ilvl w:val="0"/>
          <w:numId w:val="6"/>
        </w:numPr>
        <w:spacing w:line="360" w:lineRule="auto"/>
        <w:jc w:val="both"/>
        <w:outlineLvl w:val="0"/>
        <w:rPr>
          <w:sz w:val="24"/>
          <w:szCs w:val="24"/>
        </w:rPr>
      </w:pPr>
      <w:r w:rsidRPr="001B2CB7">
        <w:rPr>
          <w:sz w:val="24"/>
          <w:szCs w:val="24"/>
        </w:rPr>
        <w:t xml:space="preserve">España. Tribunal Constitucional. Pleno. (2014). “Sentencia 42/2014, de 25 de marzo de 2014”. </w:t>
      </w:r>
      <w:r w:rsidRPr="001B2CB7">
        <w:rPr>
          <w:i/>
          <w:sz w:val="24"/>
          <w:szCs w:val="24"/>
        </w:rPr>
        <w:t>Boletín Oficial del Estado núm. 87</w:t>
      </w:r>
      <w:r>
        <w:rPr>
          <w:sz w:val="24"/>
          <w:szCs w:val="24"/>
        </w:rPr>
        <w:t>. 10 de abril de 2014.</w:t>
      </w:r>
    </w:p>
    <w:p w:rsidR="0038777B" w:rsidRDefault="0038777B" w:rsidP="00E67EAC">
      <w:pPr>
        <w:numPr>
          <w:ilvl w:val="0"/>
          <w:numId w:val="6"/>
        </w:numPr>
        <w:spacing w:line="360" w:lineRule="auto"/>
        <w:jc w:val="both"/>
        <w:outlineLvl w:val="0"/>
        <w:rPr>
          <w:sz w:val="24"/>
          <w:szCs w:val="24"/>
        </w:rPr>
      </w:pPr>
      <w:r w:rsidRPr="00377477">
        <w:rPr>
          <w:sz w:val="24"/>
          <w:szCs w:val="24"/>
        </w:rPr>
        <w:t>España. Tribunal Constitucional.</w:t>
      </w:r>
      <w:r w:rsidR="001B2CB7">
        <w:rPr>
          <w:sz w:val="24"/>
          <w:szCs w:val="24"/>
        </w:rPr>
        <w:t xml:space="preserve"> Pleno.</w:t>
      </w:r>
      <w:r w:rsidRPr="00377477">
        <w:rPr>
          <w:sz w:val="24"/>
          <w:szCs w:val="24"/>
        </w:rPr>
        <w:t xml:space="preserve"> (2016). “Sentencia del Tribunal Constitucional 185/2016, de 3 de noviembre”. </w:t>
      </w:r>
      <w:r w:rsidRPr="00E1584D">
        <w:rPr>
          <w:i/>
          <w:sz w:val="24"/>
          <w:szCs w:val="24"/>
        </w:rPr>
        <w:t>Boletín Oficial del Estado núm. 299</w:t>
      </w:r>
      <w:r w:rsidRPr="00377477">
        <w:rPr>
          <w:sz w:val="24"/>
          <w:szCs w:val="24"/>
        </w:rPr>
        <w:t xml:space="preserve">. 12 de diciembre de 2016. </w:t>
      </w:r>
    </w:p>
    <w:p w:rsidR="00C3474F" w:rsidRDefault="00063DC0" w:rsidP="001B2CB7">
      <w:pPr>
        <w:numPr>
          <w:ilvl w:val="0"/>
          <w:numId w:val="6"/>
        </w:numPr>
        <w:spacing w:line="360" w:lineRule="auto"/>
        <w:jc w:val="both"/>
        <w:outlineLvl w:val="0"/>
        <w:rPr>
          <w:sz w:val="24"/>
          <w:szCs w:val="24"/>
        </w:rPr>
      </w:pPr>
      <w:r w:rsidRPr="00063DC0">
        <w:rPr>
          <w:sz w:val="24"/>
          <w:szCs w:val="24"/>
        </w:rPr>
        <w:t xml:space="preserve">España. Tribunal Supremo. Sala de lo Penal. (2017). “Sentencia 972/2017, de 22 de marzo”. </w:t>
      </w:r>
      <w:r w:rsidRPr="00063DC0">
        <w:rPr>
          <w:i/>
          <w:sz w:val="24"/>
          <w:szCs w:val="24"/>
        </w:rPr>
        <w:t>Boletín Oficial del Estado núm. 96</w:t>
      </w:r>
      <w:r w:rsidRPr="00063DC0">
        <w:rPr>
          <w:sz w:val="24"/>
          <w:szCs w:val="24"/>
        </w:rPr>
        <w:t>.</w:t>
      </w:r>
      <w:r w:rsidR="001B2CB7" w:rsidRPr="001B2CB7">
        <w:rPr>
          <w:sz w:val="24"/>
          <w:szCs w:val="24"/>
        </w:rPr>
        <w:t xml:space="preserve">  </w:t>
      </w:r>
    </w:p>
    <w:p w:rsidR="001B2CB7" w:rsidRPr="001B2CB7" w:rsidRDefault="001B2CB7" w:rsidP="001B2CB7">
      <w:pPr>
        <w:numPr>
          <w:ilvl w:val="0"/>
          <w:numId w:val="6"/>
        </w:numPr>
        <w:spacing w:line="360" w:lineRule="auto"/>
        <w:jc w:val="both"/>
        <w:outlineLvl w:val="0"/>
        <w:rPr>
          <w:sz w:val="24"/>
          <w:szCs w:val="24"/>
        </w:rPr>
      </w:pPr>
      <w:r w:rsidRPr="001B2CB7">
        <w:rPr>
          <w:sz w:val="24"/>
          <w:szCs w:val="24"/>
        </w:rPr>
        <w:t xml:space="preserve">España. Tribunal Constitucional. Sala Primera. (2003). “Sentencia 40/2003, de 27 de febrero”. </w:t>
      </w:r>
      <w:r w:rsidRPr="00C3474F">
        <w:rPr>
          <w:i/>
          <w:sz w:val="24"/>
          <w:szCs w:val="24"/>
        </w:rPr>
        <w:t>Boletín Oficial del Estado núm. 63</w:t>
      </w:r>
      <w:r w:rsidRPr="001B2CB7">
        <w:rPr>
          <w:sz w:val="24"/>
          <w:szCs w:val="24"/>
        </w:rPr>
        <w:t>. 14 de marzo de 2003. Pp. 120- 160.</w:t>
      </w:r>
    </w:p>
    <w:p w:rsidR="001B2CB7" w:rsidRDefault="001B2CB7" w:rsidP="001B2CB7">
      <w:pPr>
        <w:numPr>
          <w:ilvl w:val="0"/>
          <w:numId w:val="6"/>
        </w:numPr>
        <w:spacing w:line="360" w:lineRule="auto"/>
        <w:jc w:val="both"/>
        <w:outlineLvl w:val="0"/>
        <w:rPr>
          <w:sz w:val="24"/>
          <w:szCs w:val="24"/>
        </w:rPr>
      </w:pPr>
      <w:r w:rsidRPr="001B2CB7">
        <w:rPr>
          <w:sz w:val="24"/>
          <w:szCs w:val="24"/>
        </w:rPr>
        <w:t xml:space="preserve">España. Tribunal Constitucional. Pleno. (2017). “Recurso de inconstitucionalidad nº 1638/2017, contra la disposición adicional 40, apartados uno y dos, de la Ley 4/2017, de 28 de marzo, del Parlamento de Cataluña de Presupuestos de la Generalitat de Cataluña para el ejercicio 2017 y diversas partidas presupuestarias”. </w:t>
      </w:r>
      <w:r w:rsidRPr="001B2CB7">
        <w:rPr>
          <w:i/>
          <w:sz w:val="24"/>
          <w:szCs w:val="24"/>
        </w:rPr>
        <w:t>Boletín Oficial del Estado, núm. 81</w:t>
      </w:r>
      <w:r w:rsidRPr="001B2CB7">
        <w:rPr>
          <w:sz w:val="24"/>
          <w:szCs w:val="24"/>
        </w:rPr>
        <w:t xml:space="preserve">. 5 de abril de 2017. </w:t>
      </w:r>
    </w:p>
    <w:p w:rsidR="00F75775" w:rsidRDefault="00F75775" w:rsidP="00F75775">
      <w:pPr>
        <w:numPr>
          <w:ilvl w:val="0"/>
          <w:numId w:val="6"/>
        </w:numPr>
        <w:spacing w:line="360" w:lineRule="auto"/>
        <w:jc w:val="both"/>
        <w:outlineLvl w:val="0"/>
        <w:rPr>
          <w:sz w:val="24"/>
          <w:szCs w:val="24"/>
        </w:rPr>
      </w:pPr>
      <w:r w:rsidRPr="00F75775">
        <w:rPr>
          <w:sz w:val="24"/>
          <w:szCs w:val="24"/>
        </w:rPr>
        <w:t xml:space="preserve">Catalunya. Tribunal Superior de Justicia de Catalunya. Sala Civil i Penal. (2017). “Sentencia 1/2017, de 13 de marzo”. </w:t>
      </w:r>
      <w:r w:rsidRPr="00F75775">
        <w:rPr>
          <w:i/>
          <w:sz w:val="24"/>
          <w:szCs w:val="24"/>
        </w:rPr>
        <w:t>Diari Oficial de la Generalitat de Catalunya núm. 70338</w:t>
      </w:r>
      <w:r>
        <w:rPr>
          <w:sz w:val="24"/>
          <w:szCs w:val="24"/>
        </w:rPr>
        <w:t>. 14 de marzo de 2017</w:t>
      </w:r>
      <w:r w:rsidRPr="00F75775">
        <w:rPr>
          <w:sz w:val="24"/>
          <w:szCs w:val="24"/>
        </w:rPr>
        <w:t>.</w:t>
      </w:r>
    </w:p>
    <w:p w:rsidR="0038777B" w:rsidRPr="00F75775" w:rsidRDefault="00F75775" w:rsidP="00E67EAC">
      <w:pPr>
        <w:numPr>
          <w:ilvl w:val="0"/>
          <w:numId w:val="6"/>
        </w:numPr>
        <w:spacing w:line="360" w:lineRule="auto"/>
        <w:jc w:val="both"/>
        <w:outlineLvl w:val="0"/>
        <w:rPr>
          <w:sz w:val="24"/>
          <w:szCs w:val="24"/>
        </w:rPr>
      </w:pPr>
      <w:r w:rsidRPr="00F75775">
        <w:rPr>
          <w:sz w:val="24"/>
          <w:szCs w:val="24"/>
        </w:rPr>
        <w:t xml:space="preserve">España. Tribunal Supremo. Sala de lo Penal. (2017). “Sentencia 972/2017, de 22 de marzo”. </w:t>
      </w:r>
      <w:r w:rsidRPr="00F75775">
        <w:rPr>
          <w:i/>
          <w:sz w:val="24"/>
          <w:szCs w:val="24"/>
        </w:rPr>
        <w:t>Boletín Oficial del Estado núm. 96</w:t>
      </w:r>
      <w:r w:rsidRPr="00F75775">
        <w:rPr>
          <w:sz w:val="24"/>
          <w:szCs w:val="24"/>
        </w:rPr>
        <w:t xml:space="preserve">. </w:t>
      </w:r>
      <w:r w:rsidR="00C3474F">
        <w:rPr>
          <w:sz w:val="24"/>
          <w:szCs w:val="24"/>
        </w:rPr>
        <w:t>10 de abril de 2017.</w:t>
      </w:r>
    </w:p>
    <w:p w:rsidR="0038777B" w:rsidRPr="00E0542A" w:rsidRDefault="0038777B" w:rsidP="00E67EAC">
      <w:pPr>
        <w:spacing w:line="360" w:lineRule="auto"/>
        <w:jc w:val="both"/>
        <w:outlineLvl w:val="0"/>
        <w:rPr>
          <w:b/>
          <w:sz w:val="24"/>
          <w:szCs w:val="24"/>
        </w:rPr>
      </w:pPr>
      <w:r w:rsidRPr="00E0542A">
        <w:rPr>
          <w:b/>
          <w:sz w:val="24"/>
          <w:szCs w:val="24"/>
        </w:rPr>
        <w:t>Índice de legislación y resoluciones parlamentarias</w:t>
      </w:r>
    </w:p>
    <w:p w:rsidR="0038777B" w:rsidRDefault="0038777B" w:rsidP="00E67EAC">
      <w:pPr>
        <w:spacing w:line="360" w:lineRule="auto"/>
        <w:jc w:val="both"/>
        <w:outlineLvl w:val="0"/>
        <w:rPr>
          <w:sz w:val="24"/>
          <w:szCs w:val="24"/>
        </w:rPr>
      </w:pPr>
    </w:p>
    <w:p w:rsidR="0038777B" w:rsidRPr="006C3DC5" w:rsidRDefault="0038777B" w:rsidP="00E67EAC">
      <w:pPr>
        <w:spacing w:line="360" w:lineRule="auto"/>
        <w:jc w:val="both"/>
        <w:outlineLvl w:val="0"/>
        <w:rPr>
          <w:b/>
          <w:sz w:val="24"/>
          <w:szCs w:val="24"/>
        </w:rPr>
      </w:pPr>
      <w:r w:rsidRPr="00E0542A">
        <w:rPr>
          <w:b/>
          <w:sz w:val="24"/>
          <w:szCs w:val="24"/>
        </w:rPr>
        <w:tab/>
        <w:t>Legislación</w:t>
      </w:r>
    </w:p>
    <w:p w:rsidR="0038777B" w:rsidRPr="00377477" w:rsidRDefault="0038777B" w:rsidP="00E67EAC">
      <w:pPr>
        <w:numPr>
          <w:ilvl w:val="0"/>
          <w:numId w:val="6"/>
        </w:numPr>
        <w:spacing w:line="360" w:lineRule="auto"/>
        <w:jc w:val="both"/>
        <w:outlineLvl w:val="0"/>
        <w:rPr>
          <w:sz w:val="24"/>
          <w:szCs w:val="24"/>
        </w:rPr>
      </w:pPr>
      <w:r w:rsidRPr="00377477">
        <w:rPr>
          <w:sz w:val="24"/>
          <w:szCs w:val="24"/>
        </w:rPr>
        <w:t xml:space="preserve">Alemania. Deutscher Bundestag. (1949). “Ley Fundamental de la República Federal Alemana”. 23 de mayo de 1949. </w:t>
      </w:r>
    </w:p>
    <w:p w:rsidR="0038777B" w:rsidRDefault="0038777B" w:rsidP="00E67EAC">
      <w:pPr>
        <w:numPr>
          <w:ilvl w:val="0"/>
          <w:numId w:val="6"/>
        </w:numPr>
        <w:spacing w:line="360" w:lineRule="auto"/>
        <w:jc w:val="both"/>
        <w:outlineLvl w:val="0"/>
        <w:rPr>
          <w:sz w:val="24"/>
          <w:szCs w:val="24"/>
        </w:rPr>
      </w:pPr>
      <w:r w:rsidRPr="00FC7CAA">
        <w:rPr>
          <w:sz w:val="24"/>
          <w:szCs w:val="24"/>
        </w:rPr>
        <w:t xml:space="preserve">Viena. Organización de las Naciones Unidas. (1969). “Convención de Viena sobre el Derecho de los Tratados”. </w:t>
      </w:r>
      <w:r w:rsidRPr="00972971">
        <w:rPr>
          <w:i/>
          <w:sz w:val="24"/>
          <w:szCs w:val="24"/>
        </w:rPr>
        <w:t>Boletín Oficial del Estado núm. 142</w:t>
      </w:r>
      <w:r w:rsidRPr="00FC7CAA">
        <w:rPr>
          <w:sz w:val="24"/>
          <w:szCs w:val="24"/>
        </w:rPr>
        <w:t xml:space="preserve">. 13 de junio de 1980. </w:t>
      </w:r>
    </w:p>
    <w:p w:rsidR="0038777B" w:rsidRPr="00FC7CAA" w:rsidRDefault="0038777B" w:rsidP="00E67EAC">
      <w:pPr>
        <w:numPr>
          <w:ilvl w:val="0"/>
          <w:numId w:val="6"/>
        </w:numPr>
        <w:spacing w:line="360" w:lineRule="auto"/>
        <w:jc w:val="both"/>
        <w:outlineLvl w:val="0"/>
        <w:rPr>
          <w:sz w:val="24"/>
          <w:szCs w:val="24"/>
        </w:rPr>
      </w:pPr>
      <w:r w:rsidRPr="00FC7CAA">
        <w:rPr>
          <w:sz w:val="24"/>
          <w:szCs w:val="24"/>
        </w:rPr>
        <w:t xml:space="preserve">España. </w:t>
      </w:r>
      <w:r>
        <w:rPr>
          <w:sz w:val="24"/>
          <w:szCs w:val="24"/>
        </w:rPr>
        <w:t>(1978). “</w:t>
      </w:r>
      <w:r w:rsidRPr="00FC7CAA">
        <w:rPr>
          <w:sz w:val="24"/>
          <w:szCs w:val="24"/>
        </w:rPr>
        <w:t>Constitución Española</w:t>
      </w:r>
      <w:r>
        <w:rPr>
          <w:sz w:val="24"/>
          <w:szCs w:val="24"/>
        </w:rPr>
        <w:t>”</w:t>
      </w:r>
      <w:r w:rsidRPr="00FC7CAA">
        <w:rPr>
          <w:sz w:val="24"/>
          <w:szCs w:val="24"/>
        </w:rPr>
        <w:t xml:space="preserve">. </w:t>
      </w:r>
      <w:r w:rsidRPr="0018519E">
        <w:rPr>
          <w:i/>
          <w:sz w:val="24"/>
          <w:szCs w:val="24"/>
        </w:rPr>
        <w:t>Boletín Oficial del Estado, núm. 311</w:t>
      </w:r>
      <w:r>
        <w:rPr>
          <w:sz w:val="24"/>
          <w:szCs w:val="24"/>
        </w:rPr>
        <w:t xml:space="preserve">. </w:t>
      </w:r>
      <w:r w:rsidRPr="00FC7CAA">
        <w:rPr>
          <w:sz w:val="24"/>
          <w:szCs w:val="24"/>
        </w:rPr>
        <w:t>29 de diciembre de 1978</w:t>
      </w:r>
      <w:r>
        <w:rPr>
          <w:sz w:val="24"/>
          <w:szCs w:val="24"/>
        </w:rPr>
        <w:t>.</w:t>
      </w:r>
    </w:p>
    <w:p w:rsidR="0038777B" w:rsidRPr="00377477" w:rsidRDefault="0038777B" w:rsidP="00E67EAC">
      <w:pPr>
        <w:numPr>
          <w:ilvl w:val="0"/>
          <w:numId w:val="6"/>
        </w:numPr>
        <w:spacing w:line="360" w:lineRule="auto"/>
        <w:ind w:left="714" w:hanging="357"/>
        <w:jc w:val="both"/>
        <w:outlineLvl w:val="0"/>
        <w:rPr>
          <w:sz w:val="24"/>
          <w:szCs w:val="24"/>
        </w:rPr>
      </w:pPr>
      <w:r w:rsidRPr="00377477">
        <w:rPr>
          <w:sz w:val="24"/>
          <w:szCs w:val="24"/>
        </w:rPr>
        <w:lastRenderedPageBreak/>
        <w:t xml:space="preserve">España. Congreso de los Diputados. (1979). “Ley Orgánica 2/1979, de 3 de octubre, del Tribunal Constitucional”. </w:t>
      </w:r>
      <w:r w:rsidRPr="00377477">
        <w:rPr>
          <w:i/>
          <w:sz w:val="24"/>
          <w:szCs w:val="24"/>
        </w:rPr>
        <w:t>Boletín Oficial del Estado núm. 239</w:t>
      </w:r>
      <w:r w:rsidRPr="00377477">
        <w:rPr>
          <w:sz w:val="24"/>
          <w:szCs w:val="24"/>
        </w:rPr>
        <w:t xml:space="preserve">. 5 de octubre de 1979. </w:t>
      </w:r>
    </w:p>
    <w:p w:rsidR="0038777B" w:rsidRPr="00616EB2" w:rsidRDefault="0038777B" w:rsidP="00E67EAC">
      <w:pPr>
        <w:numPr>
          <w:ilvl w:val="0"/>
          <w:numId w:val="6"/>
        </w:numPr>
        <w:spacing w:line="360" w:lineRule="auto"/>
        <w:jc w:val="both"/>
        <w:outlineLvl w:val="0"/>
        <w:rPr>
          <w:sz w:val="24"/>
          <w:szCs w:val="24"/>
        </w:rPr>
      </w:pPr>
      <w:r w:rsidRPr="00616EB2">
        <w:rPr>
          <w:sz w:val="24"/>
          <w:szCs w:val="24"/>
        </w:rPr>
        <w:t>España. Congreso de los Diputados. (1981). “Ley Orgánica 4/198.1, de 1 de junio, del estado de alarma, excepción y sitio</w:t>
      </w:r>
      <w:r>
        <w:rPr>
          <w:sz w:val="24"/>
          <w:szCs w:val="24"/>
        </w:rPr>
        <w:t>”</w:t>
      </w:r>
      <w:r w:rsidRPr="00616EB2">
        <w:rPr>
          <w:sz w:val="24"/>
          <w:szCs w:val="24"/>
        </w:rPr>
        <w:t xml:space="preserve">. </w:t>
      </w:r>
      <w:r w:rsidRPr="0018519E">
        <w:rPr>
          <w:i/>
          <w:sz w:val="24"/>
          <w:szCs w:val="24"/>
        </w:rPr>
        <w:t>Boletín Oficial del Estado núm. 134</w:t>
      </w:r>
      <w:r w:rsidRPr="00616EB2">
        <w:rPr>
          <w:sz w:val="24"/>
          <w:szCs w:val="24"/>
        </w:rPr>
        <w:t>. 5 de junio de 1981.</w:t>
      </w:r>
    </w:p>
    <w:p w:rsidR="0038777B" w:rsidRPr="00377477" w:rsidRDefault="0038777B" w:rsidP="00E67EAC">
      <w:pPr>
        <w:numPr>
          <w:ilvl w:val="0"/>
          <w:numId w:val="6"/>
        </w:numPr>
        <w:spacing w:line="360" w:lineRule="auto"/>
        <w:jc w:val="both"/>
        <w:outlineLvl w:val="0"/>
        <w:rPr>
          <w:sz w:val="24"/>
          <w:szCs w:val="24"/>
        </w:rPr>
      </w:pPr>
      <w:r w:rsidRPr="00377477">
        <w:rPr>
          <w:sz w:val="24"/>
          <w:szCs w:val="24"/>
        </w:rPr>
        <w:t xml:space="preserve">España. Senado. (1994). “Texto Refundido del Reglamento del Senado aprobado por la Mesa del Senado, oída la Junta de Portavoces, en su reunión del día 3 de mayo de 1994”. </w:t>
      </w:r>
      <w:r>
        <w:rPr>
          <w:i/>
          <w:sz w:val="24"/>
          <w:szCs w:val="24"/>
        </w:rPr>
        <w:t>Boletín Of</w:t>
      </w:r>
      <w:r w:rsidRPr="00377477">
        <w:rPr>
          <w:i/>
          <w:sz w:val="24"/>
          <w:szCs w:val="24"/>
        </w:rPr>
        <w:t>icial del Estado núm. 114</w:t>
      </w:r>
      <w:r w:rsidRPr="00377477">
        <w:rPr>
          <w:sz w:val="24"/>
          <w:szCs w:val="24"/>
        </w:rPr>
        <w:t xml:space="preserve">. 13 de mayo de 1994. </w:t>
      </w:r>
    </w:p>
    <w:p w:rsidR="0038777B" w:rsidRPr="00616EB2" w:rsidRDefault="0038777B" w:rsidP="00E67EAC">
      <w:pPr>
        <w:numPr>
          <w:ilvl w:val="0"/>
          <w:numId w:val="6"/>
        </w:numPr>
        <w:spacing w:line="360" w:lineRule="auto"/>
        <w:jc w:val="both"/>
        <w:outlineLvl w:val="0"/>
        <w:rPr>
          <w:sz w:val="24"/>
          <w:szCs w:val="24"/>
        </w:rPr>
      </w:pPr>
      <w:r w:rsidRPr="00616EB2">
        <w:rPr>
          <w:sz w:val="24"/>
          <w:szCs w:val="24"/>
        </w:rPr>
        <w:t xml:space="preserve">España. </w:t>
      </w:r>
      <w:r>
        <w:rPr>
          <w:sz w:val="24"/>
          <w:szCs w:val="24"/>
        </w:rPr>
        <w:t xml:space="preserve">(1995) </w:t>
      </w:r>
      <w:r w:rsidRPr="00616EB2">
        <w:rPr>
          <w:sz w:val="24"/>
          <w:szCs w:val="24"/>
        </w:rPr>
        <w:t>“Ley Orgánica 10/1995, de 23 de noviembre, del Código Penal</w:t>
      </w:r>
      <w:r>
        <w:rPr>
          <w:sz w:val="24"/>
          <w:szCs w:val="24"/>
        </w:rPr>
        <w:t>”</w:t>
      </w:r>
      <w:r w:rsidRPr="00616EB2">
        <w:rPr>
          <w:sz w:val="24"/>
          <w:szCs w:val="24"/>
        </w:rPr>
        <w:t xml:space="preserve">. </w:t>
      </w:r>
      <w:r>
        <w:rPr>
          <w:i/>
          <w:sz w:val="24"/>
          <w:szCs w:val="24"/>
        </w:rPr>
        <w:t>Boletín Oficial del Estado núm. 281</w:t>
      </w:r>
      <w:r>
        <w:rPr>
          <w:sz w:val="24"/>
          <w:szCs w:val="24"/>
        </w:rPr>
        <w:t>.</w:t>
      </w:r>
      <w:r>
        <w:rPr>
          <w:i/>
          <w:sz w:val="24"/>
          <w:szCs w:val="24"/>
        </w:rPr>
        <w:t xml:space="preserve"> </w:t>
      </w:r>
      <w:r>
        <w:rPr>
          <w:sz w:val="24"/>
          <w:szCs w:val="24"/>
        </w:rPr>
        <w:t>24 de noviembre.</w:t>
      </w:r>
      <w:r>
        <w:rPr>
          <w:i/>
          <w:sz w:val="24"/>
          <w:szCs w:val="24"/>
        </w:rPr>
        <w:t xml:space="preserve"> </w:t>
      </w:r>
    </w:p>
    <w:p w:rsidR="0038777B" w:rsidRPr="00377477" w:rsidRDefault="0038777B" w:rsidP="00E67EAC">
      <w:pPr>
        <w:numPr>
          <w:ilvl w:val="0"/>
          <w:numId w:val="6"/>
        </w:numPr>
        <w:spacing w:line="360" w:lineRule="auto"/>
        <w:jc w:val="both"/>
        <w:outlineLvl w:val="0"/>
        <w:rPr>
          <w:sz w:val="24"/>
          <w:szCs w:val="24"/>
        </w:rPr>
      </w:pPr>
      <w:r w:rsidRPr="00377477">
        <w:rPr>
          <w:sz w:val="24"/>
          <w:szCs w:val="24"/>
        </w:rPr>
        <w:t xml:space="preserve">España. Congreso de los Diputados. (2006). “Ley Orgánica 6/2006, de 19 de julio, de reforma del Estatuto de Autonomía de Cataluña”. </w:t>
      </w:r>
      <w:r w:rsidRPr="006C3DC5">
        <w:rPr>
          <w:i/>
          <w:sz w:val="24"/>
          <w:szCs w:val="24"/>
        </w:rPr>
        <w:t>Boletín Oficial del Estado núm. 172</w:t>
      </w:r>
      <w:r w:rsidRPr="00377477">
        <w:rPr>
          <w:sz w:val="24"/>
          <w:szCs w:val="24"/>
        </w:rPr>
        <w:t xml:space="preserve">. 20 de julio de 2006. </w:t>
      </w:r>
    </w:p>
    <w:p w:rsidR="0038777B" w:rsidRPr="00014133" w:rsidRDefault="0038777B" w:rsidP="00E67EAC">
      <w:pPr>
        <w:numPr>
          <w:ilvl w:val="0"/>
          <w:numId w:val="6"/>
        </w:numPr>
        <w:spacing w:line="360" w:lineRule="auto"/>
        <w:jc w:val="both"/>
        <w:outlineLvl w:val="0"/>
        <w:rPr>
          <w:sz w:val="24"/>
          <w:szCs w:val="24"/>
        </w:rPr>
      </w:pPr>
      <w:r w:rsidRPr="00014133">
        <w:rPr>
          <w:color w:val="000000"/>
          <w:sz w:val="24"/>
          <w:szCs w:val="24"/>
          <w:shd w:val="clear" w:color="auto" w:fill="FFFFFF"/>
        </w:rPr>
        <w:t>Organización de las Naciones Unidas. (2008).</w:t>
      </w:r>
      <w:r w:rsidRPr="00014133">
        <w:rPr>
          <w:rStyle w:val="apple-converted-space"/>
          <w:color w:val="000000"/>
          <w:sz w:val="24"/>
          <w:szCs w:val="24"/>
          <w:shd w:val="clear" w:color="auto" w:fill="FFFFFF"/>
        </w:rPr>
        <w:t> </w:t>
      </w:r>
      <w:r w:rsidR="006C3DC5">
        <w:rPr>
          <w:rStyle w:val="apple-converted-space"/>
          <w:color w:val="000000"/>
          <w:sz w:val="24"/>
          <w:szCs w:val="24"/>
          <w:shd w:val="clear" w:color="auto" w:fill="FFFFFF"/>
        </w:rPr>
        <w:t>“</w:t>
      </w:r>
      <w:r w:rsidRPr="006C3DC5">
        <w:rPr>
          <w:iCs/>
          <w:color w:val="000000"/>
          <w:sz w:val="24"/>
          <w:szCs w:val="24"/>
          <w:shd w:val="clear" w:color="auto" w:fill="FFFFFF"/>
        </w:rPr>
        <w:t>Declaración Universal de los Derechos Humanos</w:t>
      </w:r>
      <w:r w:rsidR="006C3DC5">
        <w:rPr>
          <w:iCs/>
          <w:color w:val="000000"/>
          <w:sz w:val="24"/>
          <w:szCs w:val="24"/>
          <w:shd w:val="clear" w:color="auto" w:fill="FFFFFF"/>
        </w:rPr>
        <w:t>”</w:t>
      </w:r>
      <w:r w:rsidRPr="00014133">
        <w:rPr>
          <w:color w:val="000000"/>
          <w:sz w:val="24"/>
          <w:szCs w:val="24"/>
          <w:shd w:val="clear" w:color="auto" w:fill="FFFFFF"/>
        </w:rPr>
        <w:t xml:space="preserve">. Recuperada en </w:t>
      </w:r>
      <w:r>
        <w:rPr>
          <w:color w:val="000000"/>
          <w:sz w:val="24"/>
          <w:szCs w:val="24"/>
          <w:shd w:val="clear" w:color="auto" w:fill="FFFFFF"/>
        </w:rPr>
        <w:t>15 de junio</w:t>
      </w:r>
      <w:r w:rsidRPr="00014133">
        <w:rPr>
          <w:color w:val="000000"/>
          <w:sz w:val="24"/>
          <w:szCs w:val="24"/>
          <w:shd w:val="clear" w:color="auto" w:fill="FFFFFF"/>
        </w:rPr>
        <w:t xml:space="preserve"> 2009, del sitio Web</w:t>
      </w:r>
      <w:r>
        <w:rPr>
          <w:color w:val="000000"/>
          <w:sz w:val="24"/>
          <w:szCs w:val="24"/>
          <w:shd w:val="clear" w:color="auto" w:fill="FFFFFF"/>
        </w:rPr>
        <w:t xml:space="preserve">: </w:t>
      </w:r>
      <w:r w:rsidRPr="00014133">
        <w:rPr>
          <w:color w:val="000000"/>
          <w:sz w:val="24"/>
          <w:szCs w:val="24"/>
          <w:shd w:val="clear" w:color="auto" w:fill="FFFFFF"/>
        </w:rPr>
        <w:t>http://www.temoa.info/es/node/19618</w:t>
      </w:r>
      <w:r>
        <w:rPr>
          <w:color w:val="000000"/>
          <w:sz w:val="24"/>
          <w:szCs w:val="24"/>
          <w:shd w:val="clear" w:color="auto" w:fill="FFFFFF"/>
        </w:rPr>
        <w:t>.</w:t>
      </w:r>
    </w:p>
    <w:p w:rsidR="0038777B" w:rsidRPr="00FC7CAA" w:rsidRDefault="0038777B" w:rsidP="00E67EAC">
      <w:pPr>
        <w:numPr>
          <w:ilvl w:val="0"/>
          <w:numId w:val="6"/>
        </w:numPr>
        <w:spacing w:line="360" w:lineRule="auto"/>
        <w:jc w:val="both"/>
        <w:outlineLvl w:val="0"/>
        <w:rPr>
          <w:sz w:val="24"/>
          <w:szCs w:val="24"/>
        </w:rPr>
      </w:pPr>
      <w:r w:rsidRPr="00FC7CAA">
        <w:rPr>
          <w:sz w:val="24"/>
          <w:szCs w:val="24"/>
        </w:rPr>
        <w:t xml:space="preserve">Euskadi. </w:t>
      </w:r>
      <w:r>
        <w:rPr>
          <w:sz w:val="24"/>
          <w:szCs w:val="24"/>
        </w:rPr>
        <w:t>Eusko Legebiltzarra. (2008). “</w:t>
      </w:r>
      <w:r w:rsidRPr="00FC7CAA">
        <w:rPr>
          <w:sz w:val="24"/>
          <w:szCs w:val="24"/>
        </w:rPr>
        <w:t>Ley 9/2008, de 27 de junio, de convocatoria y regulación de una consulta popular al objeto de recabar la opinión ciudadana en la Comunidad Autónoma del País Vasco sobre la apertura de un proceso de negociación para alcanzar la paz y la normalización política</w:t>
      </w:r>
      <w:r>
        <w:rPr>
          <w:sz w:val="24"/>
          <w:szCs w:val="24"/>
        </w:rPr>
        <w:t>”</w:t>
      </w:r>
      <w:r w:rsidRPr="00FC7CAA">
        <w:rPr>
          <w:sz w:val="24"/>
          <w:szCs w:val="24"/>
        </w:rPr>
        <w:t xml:space="preserve">. </w:t>
      </w:r>
      <w:r w:rsidRPr="00377477">
        <w:rPr>
          <w:i/>
          <w:sz w:val="24"/>
          <w:szCs w:val="24"/>
        </w:rPr>
        <w:t>Boletín Oficial del País Vasco, núm. 134</w:t>
      </w:r>
      <w:r>
        <w:rPr>
          <w:sz w:val="24"/>
          <w:szCs w:val="24"/>
        </w:rPr>
        <w:t>.</w:t>
      </w:r>
      <w:r w:rsidRPr="00FC7CAA">
        <w:rPr>
          <w:sz w:val="24"/>
          <w:szCs w:val="24"/>
        </w:rPr>
        <w:t xml:space="preserve"> 15 de julio de 2008.</w:t>
      </w:r>
    </w:p>
    <w:p w:rsidR="0038777B" w:rsidRDefault="0038777B" w:rsidP="00E67EAC">
      <w:pPr>
        <w:numPr>
          <w:ilvl w:val="0"/>
          <w:numId w:val="6"/>
        </w:numPr>
        <w:spacing w:line="360" w:lineRule="auto"/>
        <w:jc w:val="both"/>
        <w:outlineLvl w:val="0"/>
        <w:rPr>
          <w:sz w:val="24"/>
          <w:szCs w:val="24"/>
        </w:rPr>
      </w:pPr>
      <w:r w:rsidRPr="00377477">
        <w:rPr>
          <w:sz w:val="24"/>
          <w:szCs w:val="24"/>
        </w:rPr>
        <w:t>Catalunya. Parlament de Catalunya. (2014). “Llei 10/2014 de consultes populars no refrendàries i d’altres formes de participación ciudadana</w:t>
      </w:r>
      <w:r w:rsidRPr="006C3DC5">
        <w:rPr>
          <w:i/>
          <w:sz w:val="24"/>
          <w:szCs w:val="24"/>
        </w:rPr>
        <w:t>”. Butlletí Oficial del Parlament de Catalunya núm. 395</w:t>
      </w:r>
      <w:r w:rsidRPr="00377477">
        <w:rPr>
          <w:sz w:val="24"/>
          <w:szCs w:val="24"/>
        </w:rPr>
        <w:t xml:space="preserve">. Barcelona. 27 de septiembre de 2014. </w:t>
      </w:r>
      <w:r w:rsidRPr="006C3DC5">
        <w:rPr>
          <w:i/>
          <w:sz w:val="24"/>
          <w:szCs w:val="24"/>
        </w:rPr>
        <w:t>Diari Oficial de la Generalitat de Catalunya núm. 6715</w:t>
      </w:r>
      <w:r w:rsidRPr="00377477">
        <w:rPr>
          <w:sz w:val="24"/>
          <w:szCs w:val="24"/>
        </w:rPr>
        <w:t xml:space="preserve">. Barcelona. 27 de septiembre de 2014. </w:t>
      </w:r>
    </w:p>
    <w:p w:rsidR="0038777B" w:rsidRPr="00377477" w:rsidRDefault="0038777B" w:rsidP="00E67EAC">
      <w:pPr>
        <w:numPr>
          <w:ilvl w:val="0"/>
          <w:numId w:val="6"/>
        </w:numPr>
        <w:spacing w:line="360" w:lineRule="auto"/>
        <w:jc w:val="both"/>
        <w:outlineLvl w:val="0"/>
        <w:rPr>
          <w:sz w:val="24"/>
          <w:szCs w:val="24"/>
        </w:rPr>
      </w:pPr>
      <w:r w:rsidRPr="00377477">
        <w:rPr>
          <w:sz w:val="24"/>
          <w:szCs w:val="24"/>
        </w:rPr>
        <w:t>Catalunya. Presidència de la Generalitat de Catalunya. (2014). “Decret 129/2014, de 27 de setembre, de convocatòria de la consulta popular no referendària sobre el futur polític de Catalunya”.</w:t>
      </w:r>
      <w:r w:rsidRPr="006C3DC5">
        <w:rPr>
          <w:i/>
          <w:sz w:val="24"/>
          <w:szCs w:val="24"/>
        </w:rPr>
        <w:t xml:space="preserve"> Diari Oficial de la Gen</w:t>
      </w:r>
      <w:r w:rsidR="006C3DC5" w:rsidRPr="006C3DC5">
        <w:rPr>
          <w:i/>
          <w:sz w:val="24"/>
          <w:szCs w:val="24"/>
        </w:rPr>
        <w:t>eralitat de Catalunya núm. 6715</w:t>
      </w:r>
      <w:r w:rsidRPr="00377477">
        <w:rPr>
          <w:sz w:val="24"/>
          <w:szCs w:val="24"/>
        </w:rPr>
        <w:t xml:space="preserve">. 27 de septiembre de 2014. </w:t>
      </w:r>
    </w:p>
    <w:p w:rsidR="0038777B" w:rsidRPr="00377477" w:rsidRDefault="0038777B" w:rsidP="00E67EAC">
      <w:pPr>
        <w:numPr>
          <w:ilvl w:val="0"/>
          <w:numId w:val="6"/>
        </w:numPr>
        <w:spacing w:line="360" w:lineRule="auto"/>
        <w:jc w:val="both"/>
        <w:outlineLvl w:val="0"/>
        <w:rPr>
          <w:sz w:val="24"/>
          <w:szCs w:val="24"/>
        </w:rPr>
      </w:pPr>
      <w:r w:rsidRPr="00377477">
        <w:rPr>
          <w:sz w:val="24"/>
          <w:szCs w:val="24"/>
        </w:rPr>
        <w:lastRenderedPageBreak/>
        <w:t xml:space="preserve">Catalunya. Parlament de Catalunya. </w:t>
      </w:r>
      <w:r>
        <w:rPr>
          <w:sz w:val="24"/>
          <w:szCs w:val="24"/>
        </w:rPr>
        <w:t>(2014). “</w:t>
      </w:r>
      <w:r w:rsidRPr="00377477">
        <w:rPr>
          <w:sz w:val="24"/>
          <w:szCs w:val="24"/>
        </w:rPr>
        <w:t>Llei 16/2014, del 4 de desembre, d'acció exterior i de relacions amb la Unió Europea</w:t>
      </w:r>
      <w:r>
        <w:rPr>
          <w:sz w:val="24"/>
          <w:szCs w:val="24"/>
        </w:rPr>
        <w:t>”</w:t>
      </w:r>
      <w:r w:rsidRPr="00377477">
        <w:rPr>
          <w:sz w:val="24"/>
          <w:szCs w:val="24"/>
        </w:rPr>
        <w:t xml:space="preserve">. </w:t>
      </w:r>
      <w:r w:rsidRPr="00014133">
        <w:rPr>
          <w:i/>
          <w:sz w:val="24"/>
          <w:szCs w:val="24"/>
        </w:rPr>
        <w:t>Butlletí Oficial del Parlament de Catalunya</w:t>
      </w:r>
      <w:r w:rsidRPr="00377477">
        <w:rPr>
          <w:sz w:val="24"/>
          <w:szCs w:val="24"/>
        </w:rPr>
        <w:t xml:space="preserve">. 4 de diciembre de 2014. </w:t>
      </w:r>
    </w:p>
    <w:p w:rsidR="0038777B" w:rsidRPr="00377477" w:rsidRDefault="0038777B" w:rsidP="00E67EAC">
      <w:pPr>
        <w:numPr>
          <w:ilvl w:val="0"/>
          <w:numId w:val="6"/>
        </w:numPr>
        <w:spacing w:line="360" w:lineRule="auto"/>
        <w:jc w:val="both"/>
        <w:outlineLvl w:val="0"/>
        <w:rPr>
          <w:sz w:val="24"/>
          <w:szCs w:val="24"/>
        </w:rPr>
      </w:pPr>
      <w:r w:rsidRPr="00377477">
        <w:rPr>
          <w:sz w:val="24"/>
          <w:szCs w:val="24"/>
        </w:rPr>
        <w:t xml:space="preserve">Catalunya. Departament de la Presidència. (2014). </w:t>
      </w:r>
      <w:r w:rsidR="006C3DC5">
        <w:rPr>
          <w:sz w:val="24"/>
          <w:szCs w:val="24"/>
        </w:rPr>
        <w:t>“</w:t>
      </w:r>
      <w:r w:rsidRPr="00377477">
        <w:rPr>
          <w:sz w:val="24"/>
          <w:szCs w:val="24"/>
        </w:rPr>
        <w:t>Decret 168/2014, de 23 de desembre, de creació de la Delegació del Govern de la Generalitat de Catalunya a Itàlia</w:t>
      </w:r>
      <w:r w:rsidR="006C3DC5">
        <w:rPr>
          <w:sz w:val="24"/>
          <w:szCs w:val="24"/>
        </w:rPr>
        <w:t>”</w:t>
      </w:r>
      <w:r w:rsidRPr="00377477">
        <w:rPr>
          <w:sz w:val="24"/>
          <w:szCs w:val="24"/>
        </w:rPr>
        <w:t xml:space="preserve">. </w:t>
      </w:r>
      <w:r w:rsidRPr="006C3DC5">
        <w:rPr>
          <w:i/>
          <w:sz w:val="24"/>
          <w:szCs w:val="24"/>
        </w:rPr>
        <w:t>Diari Oficial de la Generalitat de Catalunya</w:t>
      </w:r>
      <w:r w:rsidRPr="00377477">
        <w:rPr>
          <w:sz w:val="24"/>
          <w:szCs w:val="24"/>
        </w:rPr>
        <w:t xml:space="preserve">. 24 de diciembre de 2014. </w:t>
      </w:r>
    </w:p>
    <w:p w:rsidR="0038777B" w:rsidRPr="006C3DC5" w:rsidRDefault="0038777B" w:rsidP="006C3DC5">
      <w:pPr>
        <w:numPr>
          <w:ilvl w:val="0"/>
          <w:numId w:val="6"/>
        </w:numPr>
        <w:spacing w:line="360" w:lineRule="auto"/>
        <w:jc w:val="both"/>
        <w:outlineLvl w:val="0"/>
        <w:rPr>
          <w:sz w:val="24"/>
          <w:szCs w:val="24"/>
        </w:rPr>
      </w:pPr>
      <w:r w:rsidRPr="00377477">
        <w:rPr>
          <w:sz w:val="24"/>
          <w:szCs w:val="24"/>
        </w:rPr>
        <w:t xml:space="preserve">Catalunya. Departament de la Presidència. (2014). </w:t>
      </w:r>
      <w:r w:rsidR="006C3DC5">
        <w:rPr>
          <w:sz w:val="24"/>
          <w:szCs w:val="24"/>
        </w:rPr>
        <w:t>“</w:t>
      </w:r>
      <w:r w:rsidRPr="006C3DC5">
        <w:rPr>
          <w:sz w:val="24"/>
          <w:szCs w:val="24"/>
        </w:rPr>
        <w:t>Decret 167/2014, de 23 de desembre, de creació de la Delegació del Govern de la Generalitat de Catalunya a Àustria</w:t>
      </w:r>
      <w:r w:rsidR="006C3DC5">
        <w:rPr>
          <w:sz w:val="24"/>
          <w:szCs w:val="24"/>
        </w:rPr>
        <w:t>”</w:t>
      </w:r>
      <w:r w:rsidRPr="006C3DC5">
        <w:rPr>
          <w:sz w:val="24"/>
          <w:szCs w:val="24"/>
        </w:rPr>
        <w:t xml:space="preserve">. </w:t>
      </w:r>
      <w:r w:rsidRPr="006C3DC5">
        <w:rPr>
          <w:i/>
          <w:sz w:val="24"/>
          <w:szCs w:val="24"/>
        </w:rPr>
        <w:t>Diari Oficial de la Generalitat de Catalunya</w:t>
      </w:r>
      <w:r w:rsidRPr="006C3DC5">
        <w:rPr>
          <w:sz w:val="24"/>
          <w:szCs w:val="24"/>
        </w:rPr>
        <w:t xml:space="preserve">. 24 de diciembre de 2014. </w:t>
      </w:r>
    </w:p>
    <w:p w:rsidR="0038777B" w:rsidRPr="00377477" w:rsidRDefault="0038777B" w:rsidP="00E67EAC">
      <w:pPr>
        <w:numPr>
          <w:ilvl w:val="0"/>
          <w:numId w:val="6"/>
        </w:numPr>
        <w:spacing w:line="360" w:lineRule="auto"/>
        <w:jc w:val="both"/>
        <w:outlineLvl w:val="0"/>
        <w:rPr>
          <w:sz w:val="24"/>
          <w:szCs w:val="24"/>
        </w:rPr>
      </w:pPr>
      <w:r w:rsidRPr="00377477">
        <w:rPr>
          <w:sz w:val="24"/>
          <w:szCs w:val="24"/>
        </w:rPr>
        <w:t xml:space="preserve">España. Congreso de los Diputados. (2015). “Ley Orgánica 15/2015, de 16 de octubre, de reforma de la Ley Orgánica 2/1979, de 3 de octubre, del Tribunal Constitucional, para la ejecución de las resoluciones del Tribunal Constitucional como garantía del Estado de Derecho”. </w:t>
      </w:r>
      <w:r w:rsidRPr="00377477">
        <w:rPr>
          <w:i/>
          <w:sz w:val="24"/>
          <w:szCs w:val="24"/>
        </w:rPr>
        <w:t>Boletín Oficial del Estado núm. 249</w:t>
      </w:r>
      <w:r w:rsidRPr="00377477">
        <w:rPr>
          <w:sz w:val="24"/>
          <w:szCs w:val="24"/>
        </w:rPr>
        <w:t xml:space="preserve">. 17 de octubre de 2015. </w:t>
      </w:r>
    </w:p>
    <w:p w:rsidR="0038777B" w:rsidRPr="00377477" w:rsidRDefault="0038777B" w:rsidP="00E67EAC">
      <w:pPr>
        <w:numPr>
          <w:ilvl w:val="0"/>
          <w:numId w:val="6"/>
        </w:numPr>
        <w:spacing w:line="360" w:lineRule="auto"/>
        <w:jc w:val="both"/>
        <w:outlineLvl w:val="0"/>
        <w:rPr>
          <w:sz w:val="24"/>
          <w:szCs w:val="24"/>
        </w:rPr>
      </w:pPr>
      <w:r w:rsidRPr="00377477">
        <w:rPr>
          <w:sz w:val="24"/>
          <w:szCs w:val="24"/>
        </w:rPr>
        <w:t xml:space="preserve">Catalunya. Departament de la Presidència. (2015). </w:t>
      </w:r>
      <w:r w:rsidR="006C3DC5">
        <w:rPr>
          <w:sz w:val="24"/>
          <w:szCs w:val="24"/>
        </w:rPr>
        <w:t>“</w:t>
      </w:r>
      <w:r w:rsidRPr="00377477">
        <w:rPr>
          <w:sz w:val="24"/>
          <w:szCs w:val="24"/>
        </w:rPr>
        <w:t>Decret 104/2015, de 16 de juny, de creació de la Delegació del Govern de la Generalitat de Catalunya a la Santa Seu</w:t>
      </w:r>
      <w:r w:rsidR="006C3DC5">
        <w:rPr>
          <w:sz w:val="24"/>
          <w:szCs w:val="24"/>
        </w:rPr>
        <w:t>”</w:t>
      </w:r>
      <w:r w:rsidRPr="00377477">
        <w:rPr>
          <w:sz w:val="24"/>
          <w:szCs w:val="24"/>
        </w:rPr>
        <w:t xml:space="preserve">. </w:t>
      </w:r>
      <w:r w:rsidRPr="006C3DC5">
        <w:rPr>
          <w:i/>
          <w:sz w:val="24"/>
          <w:szCs w:val="24"/>
        </w:rPr>
        <w:t>Diari Oficial de la Generalitat de Catalunya</w:t>
      </w:r>
      <w:r w:rsidRPr="00377477">
        <w:rPr>
          <w:sz w:val="24"/>
          <w:szCs w:val="24"/>
        </w:rPr>
        <w:t xml:space="preserve">. 18 de junio de 2015. </w:t>
      </w:r>
    </w:p>
    <w:p w:rsidR="0038777B" w:rsidRPr="00377477" w:rsidRDefault="0038777B" w:rsidP="00E67EAC">
      <w:pPr>
        <w:numPr>
          <w:ilvl w:val="0"/>
          <w:numId w:val="6"/>
        </w:numPr>
        <w:spacing w:line="360" w:lineRule="auto"/>
        <w:jc w:val="both"/>
        <w:outlineLvl w:val="0"/>
        <w:rPr>
          <w:sz w:val="24"/>
          <w:szCs w:val="24"/>
        </w:rPr>
      </w:pPr>
      <w:r w:rsidRPr="00377477">
        <w:rPr>
          <w:sz w:val="24"/>
          <w:szCs w:val="24"/>
        </w:rPr>
        <w:t xml:space="preserve">Catalunya. Departament de la Presidència. (2015). </w:t>
      </w:r>
      <w:r w:rsidR="00C3474F">
        <w:rPr>
          <w:sz w:val="24"/>
          <w:szCs w:val="24"/>
        </w:rPr>
        <w:t>“</w:t>
      </w:r>
      <w:r w:rsidRPr="00377477">
        <w:rPr>
          <w:sz w:val="24"/>
          <w:szCs w:val="24"/>
        </w:rPr>
        <w:t>Decret 103/2015, de 16 de juny, de creació de la Delegació del Govern de la Generalitat de Catalunya al Marroc</w:t>
      </w:r>
      <w:r w:rsidR="00C3474F">
        <w:rPr>
          <w:sz w:val="24"/>
          <w:szCs w:val="24"/>
        </w:rPr>
        <w:t>”</w:t>
      </w:r>
      <w:r w:rsidRPr="00377477">
        <w:rPr>
          <w:sz w:val="24"/>
          <w:szCs w:val="24"/>
        </w:rPr>
        <w:t xml:space="preserve">. </w:t>
      </w:r>
      <w:r w:rsidRPr="00C3474F">
        <w:rPr>
          <w:i/>
          <w:sz w:val="24"/>
          <w:szCs w:val="24"/>
        </w:rPr>
        <w:t>Diari Oficial de la Generalitat de Catalunya</w:t>
      </w:r>
      <w:r w:rsidRPr="00377477">
        <w:rPr>
          <w:sz w:val="24"/>
          <w:szCs w:val="24"/>
        </w:rPr>
        <w:t xml:space="preserve">. 18 de junio de 2015. </w:t>
      </w:r>
    </w:p>
    <w:p w:rsidR="0038777B" w:rsidRPr="00377477" w:rsidRDefault="0038777B" w:rsidP="00E67EAC">
      <w:pPr>
        <w:numPr>
          <w:ilvl w:val="0"/>
          <w:numId w:val="6"/>
        </w:numPr>
        <w:spacing w:line="360" w:lineRule="auto"/>
        <w:jc w:val="both"/>
        <w:outlineLvl w:val="0"/>
        <w:rPr>
          <w:sz w:val="24"/>
          <w:szCs w:val="24"/>
        </w:rPr>
      </w:pPr>
      <w:r w:rsidRPr="00377477">
        <w:rPr>
          <w:sz w:val="24"/>
          <w:szCs w:val="24"/>
        </w:rPr>
        <w:t xml:space="preserve">Catalunya. Departament de la Presidència. (2015). </w:t>
      </w:r>
      <w:r w:rsidR="00C3474F">
        <w:rPr>
          <w:sz w:val="24"/>
          <w:szCs w:val="24"/>
        </w:rPr>
        <w:t>“</w:t>
      </w:r>
      <w:r w:rsidRPr="00377477">
        <w:rPr>
          <w:sz w:val="24"/>
          <w:szCs w:val="24"/>
        </w:rPr>
        <w:t>Decret 105/2015, de 16 de juny, de creació de la Delegació del Govern de la Generalitat de Catalunya a Portugal</w:t>
      </w:r>
      <w:r w:rsidR="00C3474F">
        <w:rPr>
          <w:sz w:val="24"/>
          <w:szCs w:val="24"/>
        </w:rPr>
        <w:t>”</w:t>
      </w:r>
      <w:r w:rsidRPr="00377477">
        <w:rPr>
          <w:sz w:val="24"/>
          <w:szCs w:val="24"/>
        </w:rPr>
        <w:t xml:space="preserve">. </w:t>
      </w:r>
      <w:r w:rsidRPr="00C3474F">
        <w:rPr>
          <w:i/>
          <w:sz w:val="24"/>
          <w:szCs w:val="24"/>
        </w:rPr>
        <w:t>Diari Oficial de la Generalitat de Catalunya</w:t>
      </w:r>
      <w:r w:rsidRPr="00377477">
        <w:rPr>
          <w:sz w:val="24"/>
          <w:szCs w:val="24"/>
        </w:rPr>
        <w:t xml:space="preserve">. 18 de junio de 2015. </w:t>
      </w:r>
    </w:p>
    <w:p w:rsidR="0038777B" w:rsidRPr="00FC7CAA" w:rsidRDefault="0038777B" w:rsidP="00E67EAC">
      <w:pPr>
        <w:numPr>
          <w:ilvl w:val="0"/>
          <w:numId w:val="6"/>
        </w:numPr>
        <w:spacing w:line="360" w:lineRule="auto"/>
        <w:jc w:val="both"/>
        <w:outlineLvl w:val="0"/>
        <w:rPr>
          <w:sz w:val="24"/>
          <w:szCs w:val="24"/>
          <w:lang w:val="en-GB"/>
        </w:rPr>
      </w:pPr>
      <w:r>
        <w:rPr>
          <w:sz w:val="24"/>
          <w:szCs w:val="24"/>
          <w:lang w:val="en-US"/>
        </w:rPr>
        <w:t>La Haya. International Court of Justice. (2010). “</w:t>
      </w:r>
      <w:r w:rsidRPr="00FC7CAA">
        <w:rPr>
          <w:sz w:val="24"/>
          <w:szCs w:val="24"/>
          <w:lang w:val="en-US"/>
        </w:rPr>
        <w:t>Accordance with International Law of the Unilateral Declaration of Independence in Respect of  Kosovo</w:t>
      </w:r>
      <w:r>
        <w:rPr>
          <w:sz w:val="24"/>
          <w:szCs w:val="24"/>
          <w:lang w:val="en-US"/>
        </w:rPr>
        <w:t xml:space="preserve">”. </w:t>
      </w:r>
      <w:r w:rsidRPr="00E67EAC">
        <w:rPr>
          <w:i/>
          <w:sz w:val="24"/>
          <w:szCs w:val="24"/>
          <w:lang w:val="en-US"/>
        </w:rPr>
        <w:t>I.C.J. Reports 2010</w:t>
      </w:r>
      <w:r>
        <w:rPr>
          <w:sz w:val="24"/>
          <w:szCs w:val="24"/>
          <w:lang w:val="en-US"/>
        </w:rPr>
        <w:t xml:space="preserve">. Advisory Opinion of 22 July, 2010. </w:t>
      </w:r>
    </w:p>
    <w:p w:rsidR="0038777B" w:rsidRDefault="0038777B" w:rsidP="00E67EAC">
      <w:pPr>
        <w:numPr>
          <w:ilvl w:val="0"/>
          <w:numId w:val="6"/>
        </w:numPr>
        <w:spacing w:line="360" w:lineRule="auto"/>
        <w:jc w:val="both"/>
        <w:outlineLvl w:val="0"/>
        <w:rPr>
          <w:sz w:val="24"/>
          <w:szCs w:val="24"/>
        </w:rPr>
      </w:pPr>
      <w:r w:rsidRPr="00377477">
        <w:rPr>
          <w:sz w:val="24"/>
          <w:szCs w:val="24"/>
        </w:rPr>
        <w:t xml:space="preserve">Catalunya. Departament de la Presidència. (2017). </w:t>
      </w:r>
      <w:r>
        <w:rPr>
          <w:sz w:val="24"/>
          <w:szCs w:val="24"/>
        </w:rPr>
        <w:t>“</w:t>
      </w:r>
      <w:r w:rsidRPr="00377477">
        <w:rPr>
          <w:sz w:val="24"/>
          <w:szCs w:val="24"/>
        </w:rPr>
        <w:t>Llei 4/2017, del 28 de març, de pressupostos de la Generalitat de Catalunya per al 2017</w:t>
      </w:r>
      <w:r>
        <w:rPr>
          <w:sz w:val="24"/>
          <w:szCs w:val="24"/>
        </w:rPr>
        <w:t>”</w:t>
      </w:r>
      <w:r w:rsidRPr="00377477">
        <w:rPr>
          <w:sz w:val="24"/>
          <w:szCs w:val="24"/>
        </w:rPr>
        <w:t xml:space="preserve">. </w:t>
      </w:r>
      <w:r w:rsidRPr="00642C3E">
        <w:rPr>
          <w:i/>
          <w:sz w:val="24"/>
          <w:szCs w:val="24"/>
        </w:rPr>
        <w:t>Diari Oficial de la Generalitat de Catalunya</w:t>
      </w:r>
      <w:r w:rsidRPr="00377477">
        <w:rPr>
          <w:sz w:val="24"/>
          <w:szCs w:val="24"/>
        </w:rPr>
        <w:t>. 30 de marzo de 2017</w:t>
      </w:r>
      <w:r>
        <w:rPr>
          <w:sz w:val="24"/>
          <w:szCs w:val="24"/>
        </w:rPr>
        <w:t>.</w:t>
      </w:r>
    </w:p>
    <w:p w:rsidR="0038777B" w:rsidRDefault="0038777B" w:rsidP="00E67EAC">
      <w:pPr>
        <w:spacing w:line="360" w:lineRule="auto"/>
        <w:jc w:val="both"/>
        <w:outlineLvl w:val="0"/>
        <w:rPr>
          <w:sz w:val="24"/>
          <w:szCs w:val="24"/>
        </w:rPr>
      </w:pPr>
    </w:p>
    <w:p w:rsidR="0038777B" w:rsidRPr="0058085A" w:rsidRDefault="0038777B" w:rsidP="00E67EAC">
      <w:pPr>
        <w:spacing w:line="360" w:lineRule="auto"/>
        <w:jc w:val="both"/>
        <w:outlineLvl w:val="0"/>
        <w:rPr>
          <w:b/>
          <w:sz w:val="24"/>
          <w:szCs w:val="24"/>
        </w:rPr>
      </w:pPr>
      <w:r w:rsidRPr="00E0542A">
        <w:rPr>
          <w:b/>
          <w:sz w:val="24"/>
          <w:szCs w:val="24"/>
        </w:rPr>
        <w:tab/>
        <w:t>Resoluciones parlamentarias</w:t>
      </w:r>
    </w:p>
    <w:p w:rsidR="0038777B" w:rsidRPr="00FC7CAA" w:rsidRDefault="0038777B" w:rsidP="00E67EAC">
      <w:pPr>
        <w:numPr>
          <w:ilvl w:val="0"/>
          <w:numId w:val="6"/>
        </w:numPr>
        <w:spacing w:line="360" w:lineRule="auto"/>
        <w:jc w:val="both"/>
        <w:outlineLvl w:val="0"/>
        <w:rPr>
          <w:sz w:val="24"/>
          <w:szCs w:val="24"/>
        </w:rPr>
      </w:pPr>
      <w:r w:rsidRPr="00FC7CAA">
        <w:rPr>
          <w:sz w:val="24"/>
          <w:szCs w:val="24"/>
        </w:rPr>
        <w:lastRenderedPageBreak/>
        <w:t xml:space="preserve">Catalunya. Parlament de Catalunya. (1989). </w:t>
      </w:r>
      <w:r w:rsidR="006C3DC5">
        <w:rPr>
          <w:sz w:val="24"/>
          <w:szCs w:val="24"/>
        </w:rPr>
        <w:t>“</w:t>
      </w:r>
      <w:r w:rsidRPr="00FC7CAA">
        <w:rPr>
          <w:sz w:val="24"/>
          <w:szCs w:val="24"/>
        </w:rPr>
        <w:t>Resolució 98/III del Parlament de Catalunya, sobre el dret d’autodeterminación de la nació catalana</w:t>
      </w:r>
      <w:r w:rsidR="006C3DC5">
        <w:rPr>
          <w:sz w:val="24"/>
          <w:szCs w:val="24"/>
        </w:rPr>
        <w:t>”</w:t>
      </w:r>
      <w:r w:rsidRPr="00FC7CAA">
        <w:rPr>
          <w:sz w:val="24"/>
          <w:szCs w:val="24"/>
        </w:rPr>
        <w:t xml:space="preserve">. </w:t>
      </w:r>
      <w:r w:rsidRPr="006C3DC5">
        <w:rPr>
          <w:i/>
          <w:sz w:val="24"/>
          <w:szCs w:val="24"/>
        </w:rPr>
        <w:t>Butlletí Oficial del Parlamente de Catalunya</w:t>
      </w:r>
      <w:r w:rsidRPr="00FC7CAA">
        <w:rPr>
          <w:sz w:val="24"/>
          <w:szCs w:val="24"/>
        </w:rPr>
        <w:t>.</w:t>
      </w:r>
      <w:r w:rsidR="006C3DC5">
        <w:rPr>
          <w:sz w:val="24"/>
          <w:szCs w:val="24"/>
        </w:rPr>
        <w:t xml:space="preserve"> </w:t>
      </w:r>
      <w:r w:rsidRPr="00FC7CAA">
        <w:rPr>
          <w:sz w:val="24"/>
          <w:szCs w:val="24"/>
        </w:rPr>
        <w:t xml:space="preserve">18 de diciembre de 1989. </w:t>
      </w:r>
    </w:p>
    <w:p w:rsidR="0038777B" w:rsidRPr="00FC7CAA" w:rsidRDefault="0038777B" w:rsidP="00E67EAC">
      <w:pPr>
        <w:numPr>
          <w:ilvl w:val="0"/>
          <w:numId w:val="6"/>
        </w:numPr>
        <w:spacing w:line="360" w:lineRule="auto"/>
        <w:jc w:val="both"/>
        <w:outlineLvl w:val="0"/>
        <w:rPr>
          <w:sz w:val="24"/>
          <w:szCs w:val="24"/>
        </w:rPr>
      </w:pPr>
      <w:r w:rsidRPr="00FC7CAA">
        <w:rPr>
          <w:sz w:val="24"/>
          <w:szCs w:val="24"/>
        </w:rPr>
        <w:t xml:space="preserve">Catalunya. Parlament de Catalunya (1991). </w:t>
      </w:r>
      <w:r w:rsidR="006C3DC5">
        <w:rPr>
          <w:sz w:val="24"/>
          <w:szCs w:val="24"/>
        </w:rPr>
        <w:t>“</w:t>
      </w:r>
      <w:r w:rsidRPr="00FC7CAA">
        <w:rPr>
          <w:sz w:val="24"/>
          <w:szCs w:val="24"/>
        </w:rPr>
        <w:t>Resolució 229/11 del Parlament de Catalunya, sobre l’orientación política general del Consell Executiu</w:t>
      </w:r>
      <w:r w:rsidR="006C3DC5">
        <w:rPr>
          <w:sz w:val="24"/>
          <w:szCs w:val="24"/>
        </w:rPr>
        <w:t>”</w:t>
      </w:r>
      <w:r w:rsidRPr="00FC7CAA">
        <w:rPr>
          <w:sz w:val="24"/>
          <w:szCs w:val="24"/>
        </w:rPr>
        <w:t xml:space="preserve">. </w:t>
      </w:r>
      <w:r w:rsidRPr="006C3DC5">
        <w:rPr>
          <w:i/>
          <w:sz w:val="24"/>
          <w:szCs w:val="24"/>
        </w:rPr>
        <w:t>Butlletí Oficial del Parlament de Catalunya</w:t>
      </w:r>
      <w:r w:rsidRPr="00FC7CAA">
        <w:rPr>
          <w:sz w:val="24"/>
          <w:szCs w:val="24"/>
        </w:rPr>
        <w:t xml:space="preserve">. 7 de octubre de 1991. </w:t>
      </w:r>
    </w:p>
    <w:p w:rsidR="0038777B" w:rsidRDefault="0038777B" w:rsidP="00E67EAC">
      <w:pPr>
        <w:numPr>
          <w:ilvl w:val="0"/>
          <w:numId w:val="6"/>
        </w:numPr>
        <w:spacing w:line="360" w:lineRule="auto"/>
        <w:jc w:val="both"/>
        <w:outlineLvl w:val="0"/>
        <w:rPr>
          <w:sz w:val="24"/>
          <w:szCs w:val="24"/>
        </w:rPr>
      </w:pPr>
      <w:r w:rsidRPr="00FC7CAA">
        <w:rPr>
          <w:sz w:val="24"/>
          <w:szCs w:val="24"/>
        </w:rPr>
        <w:t xml:space="preserve">Catalunya. Parlament de Catalunya (1998). </w:t>
      </w:r>
      <w:r w:rsidR="006C3DC5">
        <w:rPr>
          <w:sz w:val="24"/>
          <w:szCs w:val="24"/>
        </w:rPr>
        <w:t>“</w:t>
      </w:r>
      <w:r w:rsidRPr="00FC7CAA">
        <w:rPr>
          <w:sz w:val="24"/>
          <w:szCs w:val="24"/>
        </w:rPr>
        <w:t>Resolució 679/V del Parlament de Catalunya sobre l’orientació política general del Consell Executiu</w:t>
      </w:r>
      <w:r w:rsidR="006C3DC5">
        <w:rPr>
          <w:sz w:val="24"/>
          <w:szCs w:val="24"/>
        </w:rPr>
        <w:t>”</w:t>
      </w:r>
      <w:r w:rsidRPr="00FC7CAA">
        <w:rPr>
          <w:sz w:val="24"/>
          <w:szCs w:val="24"/>
        </w:rPr>
        <w:t xml:space="preserve">. </w:t>
      </w:r>
      <w:r w:rsidRPr="006C3DC5">
        <w:rPr>
          <w:i/>
          <w:sz w:val="24"/>
          <w:szCs w:val="24"/>
        </w:rPr>
        <w:t>Butlletí Ofi</w:t>
      </w:r>
      <w:r w:rsidR="006C3DC5" w:rsidRPr="006C3DC5">
        <w:rPr>
          <w:i/>
          <w:sz w:val="24"/>
          <w:szCs w:val="24"/>
        </w:rPr>
        <w:t>cial del Parlament de Catalunya</w:t>
      </w:r>
      <w:r w:rsidRPr="00FC7CAA">
        <w:rPr>
          <w:sz w:val="24"/>
          <w:szCs w:val="24"/>
        </w:rPr>
        <w:t xml:space="preserve">. 9 de diciembre de 1998. </w:t>
      </w:r>
    </w:p>
    <w:p w:rsidR="0038777B" w:rsidRPr="00FC7CAA" w:rsidRDefault="0038777B" w:rsidP="00E67EAC">
      <w:pPr>
        <w:numPr>
          <w:ilvl w:val="0"/>
          <w:numId w:val="6"/>
        </w:numPr>
        <w:spacing w:line="360" w:lineRule="auto"/>
        <w:jc w:val="both"/>
        <w:outlineLvl w:val="0"/>
        <w:rPr>
          <w:sz w:val="24"/>
          <w:szCs w:val="24"/>
        </w:rPr>
      </w:pPr>
      <w:r w:rsidRPr="00FC7CAA">
        <w:rPr>
          <w:sz w:val="24"/>
          <w:szCs w:val="24"/>
        </w:rPr>
        <w:t xml:space="preserve">Catalunya. Parlament de Catalunya. (2003). </w:t>
      </w:r>
      <w:r w:rsidR="006C3DC5">
        <w:rPr>
          <w:sz w:val="24"/>
          <w:szCs w:val="24"/>
        </w:rPr>
        <w:t>“</w:t>
      </w:r>
      <w:r w:rsidRPr="00FC7CAA">
        <w:rPr>
          <w:sz w:val="24"/>
          <w:szCs w:val="24"/>
        </w:rPr>
        <w:t xml:space="preserve">Resolució 1978/VI del Parlament de Catalunya, per la qual s’acorda de presentar a la Mesa del Congrés dels Diputats la Proposició de llei orgànica, per via de l’article 150.2 de la Constitució, de transferència a la Generalitat de Catalunya de les competències en matèria d’autorització per a la convocatòria de </w:t>
      </w:r>
      <w:r w:rsidR="006C3DC5">
        <w:rPr>
          <w:sz w:val="24"/>
          <w:szCs w:val="24"/>
        </w:rPr>
        <w:t>referéndum”</w:t>
      </w:r>
      <w:r w:rsidRPr="00FC7CAA">
        <w:rPr>
          <w:sz w:val="24"/>
          <w:szCs w:val="24"/>
        </w:rPr>
        <w:t xml:space="preserve">. </w:t>
      </w:r>
      <w:r w:rsidRPr="006C3DC5">
        <w:rPr>
          <w:i/>
          <w:sz w:val="24"/>
          <w:szCs w:val="24"/>
        </w:rPr>
        <w:t>Butlletí Oficial del Parlament de Catalunya</w:t>
      </w:r>
      <w:r w:rsidRPr="00FC7CAA">
        <w:rPr>
          <w:sz w:val="24"/>
          <w:szCs w:val="24"/>
        </w:rPr>
        <w:t xml:space="preserve">. 9 de julio de 2003. </w:t>
      </w:r>
    </w:p>
    <w:p w:rsidR="0038777B" w:rsidRPr="00FC7CAA" w:rsidRDefault="0038777B" w:rsidP="00E67EAC">
      <w:pPr>
        <w:numPr>
          <w:ilvl w:val="0"/>
          <w:numId w:val="6"/>
        </w:numPr>
        <w:spacing w:line="360" w:lineRule="auto"/>
        <w:jc w:val="both"/>
        <w:outlineLvl w:val="0"/>
        <w:rPr>
          <w:sz w:val="24"/>
          <w:szCs w:val="24"/>
        </w:rPr>
      </w:pPr>
      <w:r w:rsidRPr="00FC7CAA">
        <w:rPr>
          <w:sz w:val="24"/>
          <w:szCs w:val="24"/>
        </w:rPr>
        <w:t xml:space="preserve">Catalunya. Parlament de Catalunya. (2012). </w:t>
      </w:r>
      <w:r w:rsidR="006C3DC5">
        <w:rPr>
          <w:sz w:val="24"/>
          <w:szCs w:val="24"/>
        </w:rPr>
        <w:t>“</w:t>
      </w:r>
      <w:r w:rsidRPr="00FC7CAA">
        <w:rPr>
          <w:sz w:val="24"/>
          <w:szCs w:val="24"/>
        </w:rPr>
        <w:t>Resolució 742/IX del Parlament de Catalunya, sobre l’orientació política general del Govern</w:t>
      </w:r>
      <w:r w:rsidR="006C3DC5">
        <w:rPr>
          <w:sz w:val="24"/>
          <w:szCs w:val="24"/>
        </w:rPr>
        <w:t>”</w:t>
      </w:r>
      <w:r w:rsidRPr="00FC7CAA">
        <w:rPr>
          <w:sz w:val="24"/>
          <w:szCs w:val="24"/>
        </w:rPr>
        <w:t xml:space="preserve">. </w:t>
      </w:r>
      <w:r w:rsidRPr="006C3DC5">
        <w:rPr>
          <w:i/>
          <w:sz w:val="24"/>
          <w:szCs w:val="24"/>
        </w:rPr>
        <w:t>Butlletí Ofi</w:t>
      </w:r>
      <w:r w:rsidR="006C3DC5" w:rsidRPr="006C3DC5">
        <w:rPr>
          <w:i/>
          <w:sz w:val="24"/>
          <w:szCs w:val="24"/>
        </w:rPr>
        <w:t>cial del Parlament de Catalunya</w:t>
      </w:r>
      <w:r w:rsidRPr="006C3DC5">
        <w:rPr>
          <w:i/>
          <w:sz w:val="24"/>
          <w:szCs w:val="24"/>
        </w:rPr>
        <w:t xml:space="preserve">. </w:t>
      </w:r>
      <w:r w:rsidRPr="00FC7CAA">
        <w:rPr>
          <w:sz w:val="24"/>
          <w:szCs w:val="24"/>
        </w:rPr>
        <w:t>2 de octubre de 2012.</w:t>
      </w:r>
    </w:p>
    <w:p w:rsidR="0038777B" w:rsidRPr="00FC7CAA" w:rsidRDefault="0038777B" w:rsidP="00E67EAC">
      <w:pPr>
        <w:numPr>
          <w:ilvl w:val="0"/>
          <w:numId w:val="6"/>
        </w:numPr>
        <w:spacing w:line="360" w:lineRule="auto"/>
        <w:jc w:val="both"/>
        <w:outlineLvl w:val="0"/>
        <w:rPr>
          <w:sz w:val="24"/>
          <w:szCs w:val="24"/>
        </w:rPr>
      </w:pPr>
      <w:r w:rsidRPr="00FC7CAA">
        <w:rPr>
          <w:sz w:val="24"/>
          <w:szCs w:val="24"/>
        </w:rPr>
        <w:t xml:space="preserve">Catalunya. Parlament de Catalunya. (2013). </w:t>
      </w:r>
      <w:r w:rsidR="006C3DC5">
        <w:rPr>
          <w:sz w:val="24"/>
          <w:szCs w:val="24"/>
        </w:rPr>
        <w:t>“</w:t>
      </w:r>
      <w:r w:rsidRPr="00FC7CAA">
        <w:rPr>
          <w:sz w:val="24"/>
          <w:szCs w:val="24"/>
        </w:rPr>
        <w:t>Resolució 5/X del Parlament de Catalunya, per la qual s’aprova la Declaració de sobirania i del dret a decidir del poble de Catalunya</w:t>
      </w:r>
      <w:r w:rsidR="006C3DC5">
        <w:rPr>
          <w:sz w:val="24"/>
          <w:szCs w:val="24"/>
        </w:rPr>
        <w:t>”</w:t>
      </w:r>
      <w:r w:rsidRPr="00FC7CAA">
        <w:rPr>
          <w:sz w:val="24"/>
          <w:szCs w:val="24"/>
        </w:rPr>
        <w:t>.</w:t>
      </w:r>
      <w:r w:rsidR="006C3DC5">
        <w:rPr>
          <w:sz w:val="24"/>
          <w:szCs w:val="24"/>
        </w:rPr>
        <w:t xml:space="preserve"> </w:t>
      </w:r>
      <w:r w:rsidR="006C3DC5">
        <w:rPr>
          <w:i/>
          <w:sz w:val="24"/>
          <w:szCs w:val="24"/>
        </w:rPr>
        <w:t>Butlletí Oficial del Parlament de Catalunya.</w:t>
      </w:r>
      <w:r w:rsidRPr="00FC7CAA">
        <w:rPr>
          <w:sz w:val="24"/>
          <w:szCs w:val="24"/>
        </w:rPr>
        <w:t xml:space="preserve"> 23 de enero de 2013. </w:t>
      </w:r>
    </w:p>
    <w:p w:rsidR="0038777B" w:rsidRPr="00377477" w:rsidRDefault="0038777B" w:rsidP="00E67EAC">
      <w:pPr>
        <w:numPr>
          <w:ilvl w:val="0"/>
          <w:numId w:val="6"/>
        </w:numPr>
        <w:spacing w:line="360" w:lineRule="auto"/>
        <w:jc w:val="both"/>
        <w:outlineLvl w:val="0"/>
        <w:rPr>
          <w:sz w:val="24"/>
          <w:szCs w:val="24"/>
        </w:rPr>
      </w:pPr>
      <w:r w:rsidRPr="00377477">
        <w:rPr>
          <w:sz w:val="24"/>
          <w:szCs w:val="24"/>
        </w:rPr>
        <w:t xml:space="preserve">Catalunya. Parlament de Catalunya. (2013). </w:t>
      </w:r>
      <w:r w:rsidR="006C3DC5">
        <w:rPr>
          <w:sz w:val="24"/>
          <w:szCs w:val="24"/>
        </w:rPr>
        <w:t>“</w:t>
      </w:r>
      <w:r w:rsidRPr="00377477">
        <w:rPr>
          <w:sz w:val="24"/>
          <w:szCs w:val="24"/>
        </w:rPr>
        <w:t>Resolució 17/X del Parlament de Catalunya, sobre la iniciación d’un diàleg amb el Govern de l’Estat per a fer possible la celebración d’una consulta sobre el futur de Catalunya</w:t>
      </w:r>
      <w:r w:rsidR="006C3DC5">
        <w:rPr>
          <w:sz w:val="24"/>
          <w:szCs w:val="24"/>
        </w:rPr>
        <w:t>”</w:t>
      </w:r>
      <w:r w:rsidRPr="00377477">
        <w:rPr>
          <w:sz w:val="24"/>
          <w:szCs w:val="24"/>
        </w:rPr>
        <w:t xml:space="preserve">. </w:t>
      </w:r>
      <w:r w:rsidRPr="006C3DC5">
        <w:rPr>
          <w:i/>
          <w:sz w:val="24"/>
          <w:szCs w:val="24"/>
        </w:rPr>
        <w:t>Butlletí Oficial del Parlament de Catalunya</w:t>
      </w:r>
      <w:r w:rsidRPr="00377477">
        <w:rPr>
          <w:sz w:val="24"/>
          <w:szCs w:val="24"/>
        </w:rPr>
        <w:t xml:space="preserve">. 13 de marzo de 2013. </w:t>
      </w:r>
    </w:p>
    <w:p w:rsidR="0038777B" w:rsidRPr="00377477" w:rsidRDefault="0038777B" w:rsidP="00E67EAC">
      <w:pPr>
        <w:numPr>
          <w:ilvl w:val="0"/>
          <w:numId w:val="6"/>
        </w:numPr>
        <w:spacing w:line="360" w:lineRule="auto"/>
        <w:jc w:val="both"/>
        <w:outlineLvl w:val="0"/>
        <w:rPr>
          <w:sz w:val="24"/>
          <w:szCs w:val="24"/>
        </w:rPr>
      </w:pPr>
      <w:r w:rsidRPr="00377477">
        <w:rPr>
          <w:sz w:val="24"/>
          <w:szCs w:val="24"/>
        </w:rPr>
        <w:t xml:space="preserve">Catalunya. Parlament de Catalunya. (2014). </w:t>
      </w:r>
      <w:r w:rsidR="006C3DC5">
        <w:rPr>
          <w:sz w:val="24"/>
          <w:szCs w:val="24"/>
        </w:rPr>
        <w:t>“</w:t>
      </w:r>
      <w:r w:rsidRPr="00377477">
        <w:rPr>
          <w:sz w:val="24"/>
          <w:szCs w:val="24"/>
        </w:rPr>
        <w:t>Resolució 479/X del Parlament de Catalunya, per la qual s’acorda de presentar a la Mesa del Congrés dels Diputats la Proposició de llei orgànica de delegació a la Generalitat de Catalunya de la competència per a autoritzar, convocar i celebrar un referèndum sobre el futur polític de Catalunya</w:t>
      </w:r>
      <w:r w:rsidR="006C3DC5" w:rsidRPr="006C3DC5">
        <w:rPr>
          <w:i/>
          <w:sz w:val="24"/>
          <w:szCs w:val="24"/>
        </w:rPr>
        <w:t>”</w:t>
      </w:r>
      <w:r w:rsidRPr="006C3DC5">
        <w:rPr>
          <w:i/>
          <w:sz w:val="24"/>
          <w:szCs w:val="24"/>
        </w:rPr>
        <w:t>. Butlletí Oficial del Parlament de Catalunya</w:t>
      </w:r>
      <w:r w:rsidRPr="00377477">
        <w:rPr>
          <w:sz w:val="24"/>
          <w:szCs w:val="24"/>
        </w:rPr>
        <w:t xml:space="preserve">. 17 de enero de 2014. </w:t>
      </w:r>
    </w:p>
    <w:p w:rsidR="0038777B" w:rsidRPr="00377477" w:rsidRDefault="0038777B" w:rsidP="00E67EAC">
      <w:pPr>
        <w:numPr>
          <w:ilvl w:val="0"/>
          <w:numId w:val="6"/>
        </w:numPr>
        <w:spacing w:line="360" w:lineRule="auto"/>
        <w:jc w:val="both"/>
        <w:outlineLvl w:val="0"/>
        <w:rPr>
          <w:sz w:val="24"/>
          <w:szCs w:val="24"/>
        </w:rPr>
      </w:pPr>
      <w:r w:rsidRPr="00377477">
        <w:rPr>
          <w:sz w:val="24"/>
          <w:szCs w:val="24"/>
        </w:rPr>
        <w:t xml:space="preserve">Catalunya. Parlament de Catalunya. (2015). </w:t>
      </w:r>
      <w:r w:rsidR="006C3DC5">
        <w:rPr>
          <w:sz w:val="24"/>
          <w:szCs w:val="24"/>
        </w:rPr>
        <w:t>“</w:t>
      </w:r>
      <w:r w:rsidRPr="00377477">
        <w:rPr>
          <w:sz w:val="24"/>
          <w:szCs w:val="24"/>
        </w:rPr>
        <w:t xml:space="preserve">Resolució 1129/X del Parlament de Catalunya, d’agraïment al Parlament de Dinamarca per l’acord adoptat sobre </w:t>
      </w:r>
      <w:r w:rsidRPr="00377477">
        <w:rPr>
          <w:sz w:val="24"/>
          <w:szCs w:val="24"/>
        </w:rPr>
        <w:lastRenderedPageBreak/>
        <w:t>el futur polític de Catalunya</w:t>
      </w:r>
      <w:r w:rsidR="006C3DC5" w:rsidRPr="006C3DC5">
        <w:rPr>
          <w:i/>
          <w:sz w:val="24"/>
          <w:szCs w:val="24"/>
        </w:rPr>
        <w:t>”</w:t>
      </w:r>
      <w:r w:rsidRPr="006C3DC5">
        <w:rPr>
          <w:i/>
          <w:sz w:val="24"/>
          <w:szCs w:val="24"/>
        </w:rPr>
        <w:t>. Butlletí Oficial del Parlament de Catalunya</w:t>
      </w:r>
      <w:r w:rsidRPr="00377477">
        <w:rPr>
          <w:sz w:val="24"/>
          <w:szCs w:val="24"/>
        </w:rPr>
        <w:t xml:space="preserve">. 17 de julio de 2015. </w:t>
      </w:r>
    </w:p>
    <w:p w:rsidR="0038777B" w:rsidRPr="00377477" w:rsidRDefault="0038777B" w:rsidP="00E67EAC">
      <w:pPr>
        <w:numPr>
          <w:ilvl w:val="0"/>
          <w:numId w:val="6"/>
        </w:numPr>
        <w:spacing w:line="360" w:lineRule="auto"/>
        <w:jc w:val="both"/>
        <w:outlineLvl w:val="0"/>
        <w:rPr>
          <w:sz w:val="24"/>
          <w:szCs w:val="24"/>
        </w:rPr>
      </w:pPr>
      <w:r w:rsidRPr="00377477">
        <w:rPr>
          <w:sz w:val="24"/>
          <w:szCs w:val="24"/>
        </w:rPr>
        <w:t xml:space="preserve">Catalunya. Parlament de Catalunya. (2015). </w:t>
      </w:r>
      <w:r w:rsidR="006C3DC5">
        <w:rPr>
          <w:sz w:val="24"/>
          <w:szCs w:val="24"/>
        </w:rPr>
        <w:t>“</w:t>
      </w:r>
      <w:r w:rsidRPr="00377477">
        <w:rPr>
          <w:sz w:val="24"/>
          <w:szCs w:val="24"/>
        </w:rPr>
        <w:t>Resolució 1/XI del Parlament de Catalunya, sobre l’inici del procés polític a Catalunya com a conseqüència dels resultats electorals del 27 de setembre de 2015</w:t>
      </w:r>
      <w:r w:rsidR="006C3DC5">
        <w:rPr>
          <w:sz w:val="24"/>
          <w:szCs w:val="24"/>
        </w:rPr>
        <w:t>”</w:t>
      </w:r>
      <w:r w:rsidRPr="00377477">
        <w:rPr>
          <w:sz w:val="24"/>
          <w:szCs w:val="24"/>
        </w:rPr>
        <w:t xml:space="preserve">. </w:t>
      </w:r>
      <w:r w:rsidRPr="006C3DC5">
        <w:rPr>
          <w:i/>
          <w:sz w:val="24"/>
          <w:szCs w:val="24"/>
        </w:rPr>
        <w:t>Butlletí Oficial del Parlament de Catalunya</w:t>
      </w:r>
      <w:r w:rsidRPr="00377477">
        <w:rPr>
          <w:sz w:val="24"/>
          <w:szCs w:val="24"/>
        </w:rPr>
        <w:t xml:space="preserve">. 9 de noviembre de 2015. </w:t>
      </w:r>
    </w:p>
    <w:p w:rsidR="0038777B" w:rsidRPr="00377477" w:rsidRDefault="0038777B" w:rsidP="00E67EAC">
      <w:pPr>
        <w:numPr>
          <w:ilvl w:val="0"/>
          <w:numId w:val="6"/>
        </w:numPr>
        <w:spacing w:line="360" w:lineRule="auto"/>
        <w:jc w:val="both"/>
        <w:outlineLvl w:val="0"/>
        <w:rPr>
          <w:sz w:val="24"/>
          <w:szCs w:val="24"/>
        </w:rPr>
      </w:pPr>
      <w:r w:rsidRPr="00377477">
        <w:rPr>
          <w:sz w:val="24"/>
          <w:szCs w:val="24"/>
        </w:rPr>
        <w:t xml:space="preserve">Catalunya. Parlament de Catalunya. (2016). </w:t>
      </w:r>
      <w:r w:rsidR="006C3DC5">
        <w:rPr>
          <w:sz w:val="24"/>
          <w:szCs w:val="24"/>
        </w:rPr>
        <w:t>“</w:t>
      </w:r>
      <w:r w:rsidRPr="00377477">
        <w:rPr>
          <w:sz w:val="24"/>
          <w:szCs w:val="24"/>
        </w:rPr>
        <w:t>Resolució 306/XI del Parlament de Catalunya, sobre l’orientació política general del Govern</w:t>
      </w:r>
      <w:r w:rsidR="006C3DC5">
        <w:rPr>
          <w:sz w:val="24"/>
          <w:szCs w:val="24"/>
        </w:rPr>
        <w:t>”</w:t>
      </w:r>
      <w:r w:rsidRPr="00377477">
        <w:rPr>
          <w:sz w:val="24"/>
          <w:szCs w:val="24"/>
        </w:rPr>
        <w:t xml:space="preserve">. </w:t>
      </w:r>
      <w:r w:rsidRPr="006C3DC5">
        <w:rPr>
          <w:i/>
          <w:sz w:val="24"/>
          <w:szCs w:val="24"/>
        </w:rPr>
        <w:t>Butlletí Oficial del Parlament de Catalunya</w:t>
      </w:r>
      <w:r w:rsidRPr="00377477">
        <w:rPr>
          <w:sz w:val="24"/>
          <w:szCs w:val="24"/>
        </w:rPr>
        <w:t xml:space="preserve">. 7 de octubre de 2016. </w:t>
      </w:r>
    </w:p>
    <w:p w:rsidR="0038777B" w:rsidRPr="00FC7CAA" w:rsidRDefault="0038777B" w:rsidP="00E67EAC">
      <w:pPr>
        <w:numPr>
          <w:ilvl w:val="0"/>
          <w:numId w:val="6"/>
        </w:numPr>
        <w:spacing w:line="360" w:lineRule="auto"/>
        <w:jc w:val="both"/>
        <w:outlineLvl w:val="0"/>
        <w:rPr>
          <w:sz w:val="24"/>
          <w:szCs w:val="24"/>
        </w:rPr>
      </w:pPr>
      <w:r w:rsidRPr="00FC7CAA">
        <w:rPr>
          <w:sz w:val="24"/>
          <w:szCs w:val="24"/>
        </w:rPr>
        <w:t xml:space="preserve">Catalunya. Parlament de Catalunya. (2016). </w:t>
      </w:r>
      <w:r w:rsidR="006C3DC5">
        <w:rPr>
          <w:sz w:val="24"/>
          <w:szCs w:val="24"/>
        </w:rPr>
        <w:t>“</w:t>
      </w:r>
      <w:r w:rsidRPr="00FC7CAA">
        <w:rPr>
          <w:sz w:val="24"/>
          <w:szCs w:val="24"/>
        </w:rPr>
        <w:t>Resolució 6/IX del Parlament de Catalunya per la qual s’aprova el dictamen sobre l’adequació al principi de subsidiarietat de la Proposta de directiva del Parlament Europeu i del Consell relativa a la utilització de dades del registre de noms dels passatgers per a la prevenció, la detecció, la investigació i d’enjudiciament de delictes terroristes i delictes greus</w:t>
      </w:r>
      <w:r w:rsidR="006C3DC5">
        <w:rPr>
          <w:sz w:val="24"/>
          <w:szCs w:val="24"/>
        </w:rPr>
        <w:t>”</w:t>
      </w:r>
      <w:r w:rsidRPr="00FC7CAA">
        <w:rPr>
          <w:sz w:val="24"/>
          <w:szCs w:val="24"/>
        </w:rPr>
        <w:t xml:space="preserve">. </w:t>
      </w:r>
      <w:r w:rsidRPr="006C3DC5">
        <w:rPr>
          <w:i/>
          <w:sz w:val="24"/>
          <w:szCs w:val="24"/>
        </w:rPr>
        <w:t>Butlletí Ofi</w:t>
      </w:r>
      <w:r w:rsidR="006C3DC5" w:rsidRPr="006C3DC5">
        <w:rPr>
          <w:i/>
          <w:sz w:val="24"/>
          <w:szCs w:val="24"/>
        </w:rPr>
        <w:t>cial del Parlament de Catalunya</w:t>
      </w:r>
      <w:r w:rsidRPr="00FC7CAA">
        <w:rPr>
          <w:sz w:val="24"/>
          <w:szCs w:val="24"/>
        </w:rPr>
        <w:t xml:space="preserve">. 19 de enero de 2016. </w:t>
      </w:r>
    </w:p>
    <w:p w:rsidR="0038777B" w:rsidRPr="00FC7CAA" w:rsidRDefault="0038777B" w:rsidP="00E67EAC">
      <w:pPr>
        <w:numPr>
          <w:ilvl w:val="0"/>
          <w:numId w:val="6"/>
        </w:numPr>
        <w:spacing w:line="360" w:lineRule="auto"/>
        <w:jc w:val="both"/>
        <w:outlineLvl w:val="0"/>
        <w:rPr>
          <w:sz w:val="24"/>
          <w:szCs w:val="24"/>
        </w:rPr>
      </w:pPr>
      <w:r w:rsidRPr="00FC7CAA">
        <w:rPr>
          <w:sz w:val="24"/>
          <w:szCs w:val="24"/>
        </w:rPr>
        <w:t xml:space="preserve">Catalunya. Parlament de Catalunya. (2010). </w:t>
      </w:r>
      <w:r w:rsidR="006C3DC5">
        <w:rPr>
          <w:sz w:val="24"/>
          <w:szCs w:val="24"/>
        </w:rPr>
        <w:t>“</w:t>
      </w:r>
      <w:r w:rsidRPr="00FC7CAA">
        <w:rPr>
          <w:sz w:val="24"/>
          <w:szCs w:val="24"/>
        </w:rPr>
        <w:t>Resolució 631/VIII del Parlament de Catalunya, sobre el dret a l’autodeterminación i sobre el reconeixement de les consultes populars sobre la independencia</w:t>
      </w:r>
      <w:r w:rsidR="006C3DC5">
        <w:rPr>
          <w:sz w:val="24"/>
          <w:szCs w:val="24"/>
        </w:rPr>
        <w:t>”</w:t>
      </w:r>
      <w:r w:rsidRPr="00FC7CAA">
        <w:rPr>
          <w:sz w:val="24"/>
          <w:szCs w:val="24"/>
        </w:rPr>
        <w:t xml:space="preserve">. </w:t>
      </w:r>
      <w:r w:rsidRPr="006C3DC5">
        <w:rPr>
          <w:i/>
          <w:sz w:val="24"/>
          <w:szCs w:val="24"/>
        </w:rPr>
        <w:t>Butlletí Oficial del Parlament de Catalunya</w:t>
      </w:r>
      <w:r w:rsidRPr="00FC7CAA">
        <w:rPr>
          <w:sz w:val="24"/>
          <w:szCs w:val="24"/>
        </w:rPr>
        <w:t xml:space="preserve">. 22 de marzo de 2010. </w:t>
      </w:r>
    </w:p>
    <w:p w:rsidR="002F1BB5" w:rsidRDefault="0038777B" w:rsidP="00E67EAC">
      <w:pPr>
        <w:numPr>
          <w:ilvl w:val="0"/>
          <w:numId w:val="6"/>
        </w:numPr>
        <w:spacing w:line="360" w:lineRule="auto"/>
        <w:jc w:val="both"/>
        <w:outlineLvl w:val="0"/>
        <w:rPr>
          <w:sz w:val="24"/>
          <w:szCs w:val="24"/>
        </w:rPr>
      </w:pPr>
      <w:r w:rsidRPr="00FC7CAA">
        <w:rPr>
          <w:sz w:val="24"/>
          <w:szCs w:val="24"/>
        </w:rPr>
        <w:t xml:space="preserve">Catalunya. Parlament de Catalunya. (1999). </w:t>
      </w:r>
      <w:r w:rsidR="006C3DC5">
        <w:rPr>
          <w:sz w:val="24"/>
          <w:szCs w:val="24"/>
        </w:rPr>
        <w:t>“</w:t>
      </w:r>
      <w:r w:rsidRPr="00FC7CAA">
        <w:rPr>
          <w:sz w:val="24"/>
          <w:szCs w:val="24"/>
        </w:rPr>
        <w:t xml:space="preserve">Resolució 944/V del Parlament de Catalunya, sobre els drets de Catalunya com a nacionalitat històrica i llurs formes d’expressió </w:t>
      </w:r>
      <w:r w:rsidR="006C3DC5">
        <w:rPr>
          <w:sz w:val="24"/>
          <w:szCs w:val="24"/>
        </w:rPr>
        <w:t>democrática”</w:t>
      </w:r>
      <w:r w:rsidRPr="00FC7CAA">
        <w:rPr>
          <w:sz w:val="24"/>
          <w:szCs w:val="24"/>
        </w:rPr>
        <w:t xml:space="preserve">. </w:t>
      </w:r>
      <w:r w:rsidRPr="006C3DC5">
        <w:rPr>
          <w:i/>
          <w:sz w:val="24"/>
          <w:szCs w:val="24"/>
        </w:rPr>
        <w:t>Butlletí Oficial del Parlament de Catalunya</w:t>
      </w:r>
      <w:r w:rsidRPr="00FC7CAA">
        <w:rPr>
          <w:sz w:val="24"/>
          <w:szCs w:val="24"/>
        </w:rPr>
        <w:t xml:space="preserve">. 17 de junio de 1999. </w:t>
      </w:r>
    </w:p>
    <w:p w:rsidR="002F1BB5" w:rsidRPr="002F1BB5" w:rsidRDefault="002F1BB5" w:rsidP="002F1BB5">
      <w:pPr>
        <w:rPr>
          <w:sz w:val="24"/>
          <w:szCs w:val="24"/>
        </w:rPr>
      </w:pPr>
    </w:p>
    <w:p w:rsidR="002F1BB5" w:rsidRPr="002F1BB5" w:rsidRDefault="002F1BB5" w:rsidP="002F1BB5">
      <w:pPr>
        <w:rPr>
          <w:sz w:val="24"/>
          <w:szCs w:val="24"/>
        </w:rPr>
      </w:pPr>
    </w:p>
    <w:p w:rsidR="002F1BB5" w:rsidRPr="002F1BB5" w:rsidRDefault="002F1BB5" w:rsidP="002F1BB5">
      <w:pPr>
        <w:rPr>
          <w:sz w:val="24"/>
          <w:szCs w:val="24"/>
        </w:rPr>
      </w:pPr>
    </w:p>
    <w:p w:rsidR="002F1BB5" w:rsidRPr="002F1BB5" w:rsidRDefault="002F1BB5" w:rsidP="002F1BB5">
      <w:pPr>
        <w:rPr>
          <w:sz w:val="24"/>
          <w:szCs w:val="24"/>
        </w:rPr>
      </w:pPr>
    </w:p>
    <w:p w:rsidR="002F1BB5" w:rsidRPr="002F1BB5" w:rsidRDefault="002F1BB5" w:rsidP="002F1BB5">
      <w:pPr>
        <w:rPr>
          <w:sz w:val="24"/>
          <w:szCs w:val="24"/>
        </w:rPr>
      </w:pPr>
    </w:p>
    <w:p w:rsidR="002F1BB5" w:rsidRPr="002F1BB5" w:rsidRDefault="002F1BB5" w:rsidP="002F1BB5">
      <w:pPr>
        <w:rPr>
          <w:sz w:val="24"/>
          <w:szCs w:val="24"/>
        </w:rPr>
      </w:pPr>
    </w:p>
    <w:p w:rsidR="002F1BB5" w:rsidRPr="002F1BB5" w:rsidRDefault="002F1BB5" w:rsidP="002F1BB5">
      <w:pPr>
        <w:rPr>
          <w:sz w:val="24"/>
          <w:szCs w:val="24"/>
        </w:rPr>
      </w:pPr>
    </w:p>
    <w:p w:rsidR="002F1BB5" w:rsidRDefault="002F1BB5" w:rsidP="002F1BB5">
      <w:pPr>
        <w:rPr>
          <w:sz w:val="24"/>
          <w:szCs w:val="24"/>
        </w:rPr>
      </w:pPr>
      <w:r w:rsidRPr="002F1BB5">
        <w:rPr>
          <w:sz w:val="24"/>
          <w:szCs w:val="24"/>
        </w:rPr>
        <w:t xml:space="preserve">  </w:t>
      </w:r>
    </w:p>
    <w:p w:rsidR="002F1BB5" w:rsidRPr="002F1BB5" w:rsidRDefault="002F1BB5" w:rsidP="002F1BB5">
      <w:pPr>
        <w:jc w:val="center"/>
        <w:rPr>
          <w:sz w:val="24"/>
          <w:szCs w:val="24"/>
        </w:rPr>
      </w:pPr>
    </w:p>
    <w:sectPr w:rsidR="002F1BB5" w:rsidRPr="002F1BB5" w:rsidSect="0058085A">
      <w:headerReference w:type="default" r:id="rId12"/>
      <w:footerReference w:type="default" r:id="rId13"/>
      <w:pgSz w:w="11906" w:h="16838"/>
      <w:pgMar w:top="1417" w:right="1701" w:bottom="1417" w:left="1701" w:header="720" w:footer="720" w:gutter="0"/>
      <w:pgNumType w:start="1"/>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7277" w:rsidRDefault="008E7277" w:rsidP="005130D6">
      <w:r>
        <w:separator/>
      </w:r>
    </w:p>
  </w:endnote>
  <w:endnote w:type="continuationSeparator" w:id="0">
    <w:p w:rsidR="008E7277" w:rsidRDefault="008E7277" w:rsidP="005130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43" w:usb2="00000009" w:usb3="00000000" w:csb0="000001FF" w:csb1="00000000"/>
  </w:font>
  <w:font w:name="Frutiger LT Std 55 Roman">
    <w:altName w:val="Frutiger LT Std 55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474F" w:rsidRDefault="00C3474F">
    <w:pPr>
      <w:pStyle w:val="Piedepgina"/>
      <w:jc w:val="right"/>
    </w:pPr>
    <w:r>
      <w:fldChar w:fldCharType="begin"/>
    </w:r>
    <w:r>
      <w:instrText>PAGE   \* MERGEFORMAT</w:instrText>
    </w:r>
    <w:r>
      <w:fldChar w:fldCharType="separate"/>
    </w:r>
    <w:r w:rsidR="00C71746">
      <w:rPr>
        <w:noProof/>
      </w:rPr>
      <w:t>48</w:t>
    </w:r>
    <w:r>
      <w:fldChar w:fldCharType="end"/>
    </w:r>
  </w:p>
  <w:p w:rsidR="00C3474F" w:rsidRDefault="00C3474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7277" w:rsidRDefault="008E7277" w:rsidP="005130D6">
      <w:r>
        <w:separator/>
      </w:r>
    </w:p>
  </w:footnote>
  <w:footnote w:type="continuationSeparator" w:id="0">
    <w:p w:rsidR="008E7277" w:rsidRDefault="008E7277" w:rsidP="005130D6">
      <w:r>
        <w:continuationSeparator/>
      </w:r>
    </w:p>
  </w:footnote>
  <w:footnote w:id="1">
    <w:p w:rsidR="00C3474F" w:rsidRDefault="00C3474F" w:rsidP="005130D6">
      <w:pPr>
        <w:pStyle w:val="Textonotapie"/>
        <w:spacing w:line="360" w:lineRule="auto"/>
        <w:jc w:val="both"/>
      </w:pPr>
      <w:r w:rsidRPr="00CC1B13">
        <w:rPr>
          <w:rStyle w:val="Refdenotaalpie"/>
        </w:rPr>
        <w:footnoteRef/>
      </w:r>
      <w:r w:rsidRPr="00CC1B13">
        <w:t xml:space="preserve"> Oliver Araujo, J. (2014), “España en la encrucijada”, </w:t>
      </w:r>
      <w:r w:rsidRPr="00CC1B13">
        <w:rPr>
          <w:i/>
        </w:rPr>
        <w:t>El futuro territorial del Estado español; ¿centralización, autonomía, federalismo, confederación  o secesión?</w:t>
      </w:r>
      <w:r w:rsidRPr="00CC1B13">
        <w:t>, Valencia, Tirant lo Blanch, p. 27.</w:t>
      </w:r>
    </w:p>
  </w:footnote>
  <w:footnote w:id="2">
    <w:p w:rsidR="00C3474F" w:rsidRDefault="00C3474F" w:rsidP="005130D6">
      <w:pPr>
        <w:pStyle w:val="Textonotapie"/>
        <w:spacing w:line="360" w:lineRule="auto"/>
        <w:jc w:val="both"/>
      </w:pPr>
      <w:r w:rsidRPr="00CC1B13">
        <w:rPr>
          <w:rStyle w:val="Refdenotaalpie"/>
        </w:rPr>
        <w:footnoteRef/>
      </w:r>
      <w:r w:rsidRPr="00CC1B13">
        <w:t xml:space="preserve"> Muñoz Machado, S. (2012), “Informe sobre España. R</w:t>
      </w:r>
      <w:r w:rsidR="00F66735">
        <w:t>epensar el Estado o destruirlo”.</w:t>
      </w:r>
      <w:r w:rsidRPr="00CC1B13">
        <w:t xml:space="preserve"> Barcelona, Editorial Cr</w:t>
      </w:r>
      <w:r w:rsidR="00F66735">
        <w:t>ítica. P</w:t>
      </w:r>
      <w:r w:rsidRPr="00CC1B13">
        <w:t>. 107.</w:t>
      </w:r>
    </w:p>
  </w:footnote>
  <w:footnote w:id="3">
    <w:p w:rsidR="00C3474F" w:rsidRDefault="00C3474F" w:rsidP="005130D6">
      <w:pPr>
        <w:pStyle w:val="Textonotapie"/>
        <w:spacing w:line="360" w:lineRule="auto"/>
        <w:jc w:val="both"/>
      </w:pPr>
      <w:r w:rsidRPr="00CC1B13">
        <w:rPr>
          <w:rStyle w:val="Refdenotaalpie"/>
        </w:rPr>
        <w:footnoteRef/>
      </w:r>
      <w:r w:rsidRPr="00CC1B13">
        <w:t xml:space="preserve"> España. </w:t>
      </w:r>
      <w:r>
        <w:t>“</w:t>
      </w:r>
      <w:r w:rsidRPr="00CC1B13">
        <w:t>Constitución Española</w:t>
      </w:r>
      <w:r>
        <w:t>”</w:t>
      </w:r>
      <w:r w:rsidRPr="00CC1B13">
        <w:t xml:space="preserve">. </w:t>
      </w:r>
      <w:r w:rsidRPr="009C4598">
        <w:rPr>
          <w:i/>
        </w:rPr>
        <w:t>Boletín Oficial del Estado núm. 311</w:t>
      </w:r>
      <w:r>
        <w:t>. 29 de diciembre de 1978. P</w:t>
      </w:r>
      <w:r w:rsidRPr="00CC1B13">
        <w:t>p. 29313-29424.</w:t>
      </w:r>
    </w:p>
  </w:footnote>
  <w:footnote w:id="4">
    <w:p w:rsidR="00C3474F" w:rsidRDefault="00C3474F" w:rsidP="005130D6">
      <w:pPr>
        <w:pStyle w:val="Textonotapie"/>
        <w:spacing w:line="360" w:lineRule="auto"/>
        <w:jc w:val="both"/>
      </w:pPr>
      <w:r w:rsidRPr="00CC1B13">
        <w:rPr>
          <w:rStyle w:val="Refdenotaalpie"/>
        </w:rPr>
        <w:footnoteRef/>
      </w:r>
      <w:r w:rsidRPr="00CC1B13">
        <w:t xml:space="preserve"> Pérez Infante, J.I.</w:t>
      </w:r>
      <w:r>
        <w:t xml:space="preserve"> (2009).</w:t>
      </w:r>
      <w:r w:rsidRPr="00CC1B13">
        <w:t xml:space="preserve"> “La Concertación y el Diálogo Social en España: 1977-</w:t>
      </w:r>
      <w:smartTag w:uri="urn:schemas-microsoft-com:office:smarttags" w:element="metricconverter">
        <w:smartTagPr>
          <w:attr w:name="ProductID" w:val="2007”"/>
        </w:smartTagPr>
        <w:r w:rsidRPr="00CC1B13">
          <w:t>2007”</w:t>
        </w:r>
      </w:smartTag>
      <w:r>
        <w:t>.</w:t>
      </w:r>
      <w:r w:rsidRPr="00CC1B13">
        <w:t xml:space="preserve"> </w:t>
      </w:r>
      <w:r w:rsidRPr="00CC1B13">
        <w:rPr>
          <w:i/>
        </w:rPr>
        <w:t>Revista del Ministerio de Trabajo e Inmigración</w:t>
      </w:r>
      <w:r>
        <w:t xml:space="preserve">, </w:t>
      </w:r>
      <w:r w:rsidRPr="009C4598">
        <w:rPr>
          <w:i/>
        </w:rPr>
        <w:t>núm. 81</w:t>
      </w:r>
      <w:r>
        <w:t>. P.</w:t>
      </w:r>
      <w:r w:rsidRPr="00CC1B13">
        <w:t xml:space="preserve"> 53</w:t>
      </w:r>
      <w:r>
        <w:t>.</w:t>
      </w:r>
    </w:p>
  </w:footnote>
  <w:footnote w:id="5">
    <w:p w:rsidR="00C3474F" w:rsidRDefault="00C3474F" w:rsidP="005130D6">
      <w:pPr>
        <w:pStyle w:val="Textonotapie"/>
        <w:spacing w:line="360" w:lineRule="auto"/>
        <w:jc w:val="both"/>
      </w:pPr>
      <w:r w:rsidRPr="002F54FB">
        <w:rPr>
          <w:rStyle w:val="Refdenotaalpie"/>
        </w:rPr>
        <w:footnoteRef/>
      </w:r>
      <w:r w:rsidRPr="002F54FB">
        <w:t xml:space="preserve"> Rojo Salgado, A. “Reflexiones y propuestas ante un estado autonómico en cris</w:t>
      </w:r>
      <w:r w:rsidR="00F66735">
        <w:t>is: la apertura al federalismo”.</w:t>
      </w:r>
      <w:r w:rsidRPr="002F54FB">
        <w:t xml:space="preserve"> </w:t>
      </w:r>
      <w:r w:rsidRPr="002F54FB">
        <w:rPr>
          <w:i/>
        </w:rPr>
        <w:t>VII Congreso Español de Ciencia Política y de la Administración: Democracia y Buen Gobierno</w:t>
      </w:r>
      <w:r>
        <w:t>. P</w:t>
      </w:r>
      <w:r w:rsidRPr="002F54FB">
        <w:t>. 27.</w:t>
      </w:r>
    </w:p>
  </w:footnote>
  <w:footnote w:id="6">
    <w:p w:rsidR="00C3474F" w:rsidRDefault="00C3474F" w:rsidP="005130D6">
      <w:pPr>
        <w:pStyle w:val="Textonotapie"/>
        <w:spacing w:line="360" w:lineRule="auto"/>
        <w:jc w:val="both"/>
      </w:pPr>
      <w:r w:rsidRPr="002F54FB">
        <w:rPr>
          <w:rStyle w:val="Refdenotaalpie"/>
        </w:rPr>
        <w:footnoteRef/>
      </w:r>
      <w:r w:rsidRPr="002F54FB">
        <w:t xml:space="preserve"> Conocido como Plan Ibarretxe</w:t>
      </w:r>
      <w:r w:rsidR="006D40B9">
        <w:t>.</w:t>
      </w:r>
    </w:p>
  </w:footnote>
  <w:footnote w:id="7">
    <w:p w:rsidR="00C3474F" w:rsidRDefault="00C3474F" w:rsidP="005130D6">
      <w:pPr>
        <w:pStyle w:val="Textonotapie"/>
        <w:spacing w:line="360" w:lineRule="auto"/>
        <w:jc w:val="both"/>
      </w:pPr>
      <w:r w:rsidRPr="002F54FB">
        <w:rPr>
          <w:rStyle w:val="Refdenotaalpie"/>
        </w:rPr>
        <w:footnoteRef/>
      </w:r>
      <w:r w:rsidRPr="002F54FB">
        <w:t xml:space="preserve"> Euskadi.</w:t>
      </w:r>
      <w:r w:rsidRPr="009C4598">
        <w:rPr>
          <w:sz w:val="24"/>
          <w:szCs w:val="24"/>
        </w:rPr>
        <w:t xml:space="preserve"> </w:t>
      </w:r>
      <w:proofErr w:type="spellStart"/>
      <w:r w:rsidRPr="009C4598">
        <w:t>Eusko</w:t>
      </w:r>
      <w:proofErr w:type="spellEnd"/>
      <w:r w:rsidRPr="009C4598">
        <w:t xml:space="preserve"> </w:t>
      </w:r>
      <w:proofErr w:type="spellStart"/>
      <w:r w:rsidRPr="009C4598">
        <w:t>Legebiltzarra</w:t>
      </w:r>
      <w:proofErr w:type="spellEnd"/>
      <w:r>
        <w:t>. (2008).</w:t>
      </w:r>
      <w:r w:rsidRPr="002F54FB">
        <w:t xml:space="preserve"> </w:t>
      </w:r>
      <w:r>
        <w:t>“</w:t>
      </w:r>
      <w:r w:rsidRPr="002F54FB">
        <w:t>Ley 9/2008, de 27 de junio, de convocatoria y regulación de una consulta popular al objeto de recabar la opinión ciudadana en la Comunidad Autónoma del País Vasco sobre la apertura de un proceso de negociación para alcanzar la paz y la normal</w:t>
      </w:r>
      <w:r>
        <w:t xml:space="preserve">ización política”. </w:t>
      </w:r>
      <w:r w:rsidRPr="00E97FB3">
        <w:rPr>
          <w:i/>
        </w:rPr>
        <w:t xml:space="preserve">Boletín Oficial del País Vasco, </w:t>
      </w:r>
      <w:proofErr w:type="spellStart"/>
      <w:r w:rsidRPr="00E97FB3">
        <w:rPr>
          <w:i/>
        </w:rPr>
        <w:t>núm</w:t>
      </w:r>
      <w:proofErr w:type="spellEnd"/>
      <w:r w:rsidRPr="00E97FB3">
        <w:rPr>
          <w:i/>
        </w:rPr>
        <w:t xml:space="preserve"> 134</w:t>
      </w:r>
      <w:r>
        <w:t>.</w:t>
      </w:r>
      <w:r w:rsidRPr="002F54FB">
        <w:t xml:space="preserve"> de 15 de julio de 2008</w:t>
      </w:r>
      <w:r>
        <w:t>.</w:t>
      </w:r>
      <w:r w:rsidRPr="002F54FB">
        <w:t xml:space="preserve"> </w:t>
      </w:r>
      <w:r>
        <w:t>Pp</w:t>
      </w:r>
      <w:r w:rsidRPr="002F54FB">
        <w:t>. 18558–18566.</w:t>
      </w:r>
    </w:p>
  </w:footnote>
  <w:footnote w:id="8">
    <w:p w:rsidR="00C3474F" w:rsidRDefault="00C3474F" w:rsidP="005130D6">
      <w:pPr>
        <w:pStyle w:val="Textonotapie"/>
        <w:spacing w:line="360" w:lineRule="auto"/>
        <w:jc w:val="both"/>
      </w:pPr>
      <w:r w:rsidRPr="002F54FB">
        <w:rPr>
          <w:rStyle w:val="Refdenotaalpie"/>
        </w:rPr>
        <w:footnoteRef/>
      </w:r>
      <w:r w:rsidRPr="002F54FB">
        <w:t xml:space="preserve"> Los Decretos de Nueva Planta. Ramón </w:t>
      </w:r>
      <w:proofErr w:type="spellStart"/>
      <w:r w:rsidRPr="002F54FB">
        <w:t>Bonell</w:t>
      </w:r>
      <w:proofErr w:type="spellEnd"/>
      <w:r w:rsidRPr="002F54FB">
        <w:t xml:space="preserve"> Colmenero. </w:t>
      </w:r>
      <w:r w:rsidRPr="002F54FB">
        <w:rPr>
          <w:i/>
        </w:rPr>
        <w:t>Revista de Estudios Jurídicos, Económicos y sociales</w:t>
      </w:r>
      <w:r>
        <w:t xml:space="preserve">, </w:t>
      </w:r>
      <w:r w:rsidRPr="00E97FB3">
        <w:rPr>
          <w:i/>
        </w:rPr>
        <w:t>núm. 8</w:t>
      </w:r>
      <w:r>
        <w:t>, 2010. P</w:t>
      </w:r>
      <w:r w:rsidRPr="002F54FB">
        <w:rPr>
          <w:lang w:val="es-ES_tradnl"/>
        </w:rPr>
        <w:t>p. 25-31.</w:t>
      </w:r>
    </w:p>
  </w:footnote>
  <w:footnote w:id="9">
    <w:p w:rsidR="00C3474F" w:rsidRDefault="00C3474F" w:rsidP="005130D6">
      <w:pPr>
        <w:pStyle w:val="Textonotapie"/>
        <w:spacing w:line="360" w:lineRule="auto"/>
        <w:jc w:val="both"/>
      </w:pPr>
      <w:r w:rsidRPr="002F54FB">
        <w:rPr>
          <w:rStyle w:val="Refdenotaalpie"/>
        </w:rPr>
        <w:footnoteRef/>
      </w:r>
      <w:r w:rsidRPr="002F54FB">
        <w:t xml:space="preserve"> </w:t>
      </w:r>
      <w:r w:rsidR="006D40B9">
        <w:t xml:space="preserve">España. </w:t>
      </w:r>
      <w:r w:rsidRPr="002F54FB">
        <w:rPr>
          <w:lang w:val="es-ES_tradnl"/>
        </w:rPr>
        <w:t>Tribunal Constitucional</w:t>
      </w:r>
      <w:r w:rsidR="006D40B9">
        <w:rPr>
          <w:lang w:val="es-ES_tradnl"/>
        </w:rPr>
        <w:t>. Pleno. “Sentencia</w:t>
      </w:r>
      <w:r w:rsidRPr="002F54FB">
        <w:rPr>
          <w:lang w:val="es-ES_tradnl"/>
        </w:rPr>
        <w:t xml:space="preserve"> 31/2010, de 28 de junio</w:t>
      </w:r>
      <w:r w:rsidR="006D40B9">
        <w:rPr>
          <w:lang w:val="es-ES_tradnl"/>
        </w:rPr>
        <w:t>”</w:t>
      </w:r>
      <w:r w:rsidRPr="00146A22">
        <w:rPr>
          <w:i/>
          <w:lang w:val="es-ES_tradnl"/>
        </w:rPr>
        <w:t>. Boletín Oficial del Estado, núm. 172</w:t>
      </w:r>
      <w:r>
        <w:rPr>
          <w:lang w:val="es-ES_tradnl"/>
        </w:rPr>
        <w:t>. 16 de julio de 2010. Pp.1-</w:t>
      </w:r>
      <w:r w:rsidRPr="002F54FB">
        <w:rPr>
          <w:lang w:val="es-ES_tradnl"/>
        </w:rPr>
        <w:t>491.</w:t>
      </w:r>
    </w:p>
  </w:footnote>
  <w:footnote w:id="10">
    <w:p w:rsidR="00C3474F" w:rsidRDefault="00C3474F" w:rsidP="005130D6">
      <w:pPr>
        <w:pStyle w:val="Textonotapie"/>
        <w:spacing w:line="360" w:lineRule="auto"/>
        <w:jc w:val="both"/>
      </w:pPr>
      <w:r w:rsidRPr="00CC1B13">
        <w:rPr>
          <w:rStyle w:val="Refdenotaalpie"/>
        </w:rPr>
        <w:footnoteRef/>
      </w:r>
      <w:r w:rsidRPr="00CC1B13">
        <w:t xml:space="preserve"> Oliver Araujo, “España en…” (</w:t>
      </w:r>
      <w:proofErr w:type="spellStart"/>
      <w:r w:rsidRPr="00CC1B13">
        <w:t>op</w:t>
      </w:r>
      <w:proofErr w:type="spellEnd"/>
      <w:r w:rsidRPr="00CC1B13">
        <w:t xml:space="preserve">. cit.), </w:t>
      </w:r>
      <w:r w:rsidRPr="00146A22">
        <w:rPr>
          <w:i/>
        </w:rPr>
        <w:t>El futuro territorial…</w:t>
      </w:r>
      <w:r w:rsidRPr="00CC1B13">
        <w:t xml:space="preserve"> (</w:t>
      </w:r>
      <w:proofErr w:type="spellStart"/>
      <w:r w:rsidRPr="00CC1B13">
        <w:t>op</w:t>
      </w:r>
      <w:proofErr w:type="spellEnd"/>
      <w:r w:rsidRPr="00CC1B13">
        <w:t xml:space="preserve">. </w:t>
      </w:r>
      <w:proofErr w:type="spellStart"/>
      <w:r w:rsidRPr="00CC1B13">
        <w:t>cit</w:t>
      </w:r>
      <w:proofErr w:type="spellEnd"/>
      <w:r w:rsidRPr="00CC1B13">
        <w:t>)</w:t>
      </w:r>
      <w:r>
        <w:t>. Pp</w:t>
      </w:r>
      <w:r w:rsidRPr="00CC1B13">
        <w:t>. 30-31.</w:t>
      </w:r>
    </w:p>
  </w:footnote>
  <w:footnote w:id="11">
    <w:p w:rsidR="00C3474F" w:rsidRDefault="00C3474F" w:rsidP="005130D6">
      <w:pPr>
        <w:pStyle w:val="Textonotapie"/>
        <w:spacing w:line="360" w:lineRule="auto"/>
        <w:jc w:val="both"/>
      </w:pPr>
      <w:r w:rsidRPr="00CC1B13">
        <w:rPr>
          <w:rStyle w:val="Refdenotaalpie"/>
        </w:rPr>
        <w:footnoteRef/>
      </w:r>
      <w:r w:rsidRPr="00CC1B13">
        <w:t xml:space="preserve"> Rey Martínez, F. “El Estado Autonómico en la encrucijada”, </w:t>
      </w:r>
      <w:r w:rsidRPr="00CC1B13">
        <w:rPr>
          <w:i/>
        </w:rPr>
        <w:t>El futuro territorial</w:t>
      </w:r>
      <w:r>
        <w:rPr>
          <w:i/>
        </w:rPr>
        <w:t>…</w:t>
      </w:r>
      <w:r>
        <w:t xml:space="preserve"> (</w:t>
      </w:r>
      <w:proofErr w:type="spellStart"/>
      <w:r>
        <w:t>op</w:t>
      </w:r>
      <w:proofErr w:type="spellEnd"/>
      <w:r>
        <w:t xml:space="preserve">. </w:t>
      </w:r>
      <w:proofErr w:type="spellStart"/>
      <w:r>
        <w:t>cit</w:t>
      </w:r>
      <w:proofErr w:type="spellEnd"/>
      <w:r>
        <w:t>). P</w:t>
      </w:r>
      <w:r w:rsidRPr="00CC1B13">
        <w:t>p. 141-142.</w:t>
      </w:r>
    </w:p>
  </w:footnote>
  <w:footnote w:id="12">
    <w:p w:rsidR="00C3474F" w:rsidRPr="00146A22" w:rsidRDefault="00C3474F" w:rsidP="005130D6">
      <w:pPr>
        <w:pStyle w:val="Textonotapie"/>
        <w:spacing w:line="360" w:lineRule="auto"/>
        <w:jc w:val="both"/>
      </w:pPr>
      <w:r w:rsidRPr="00CC1B13">
        <w:rPr>
          <w:rStyle w:val="Refdenotaalpie"/>
        </w:rPr>
        <w:footnoteRef/>
      </w:r>
      <w:r w:rsidRPr="00CC1B13">
        <w:t xml:space="preserve"> Del Real Alcalá, J. A. “Derecho a la autonomía del artículo 2 de la Constitución, autodeterminación y secesión”, </w:t>
      </w:r>
      <w:r w:rsidRPr="00CC1B13">
        <w:rPr>
          <w:i/>
        </w:rPr>
        <w:t>El futuro territorial</w:t>
      </w:r>
      <w:r>
        <w:t xml:space="preserve">… </w:t>
      </w:r>
      <w:r w:rsidRPr="00146A22">
        <w:t>(</w:t>
      </w:r>
      <w:proofErr w:type="spellStart"/>
      <w:r w:rsidRPr="00146A22">
        <w:t>ibid</w:t>
      </w:r>
      <w:proofErr w:type="spellEnd"/>
      <w:r w:rsidRPr="00146A22">
        <w:t>.). P. 202.</w:t>
      </w:r>
    </w:p>
  </w:footnote>
  <w:footnote w:id="13">
    <w:p w:rsidR="00C3474F" w:rsidRPr="000C7EDB" w:rsidRDefault="00C3474F" w:rsidP="005130D6">
      <w:pPr>
        <w:pStyle w:val="Textonotapie"/>
        <w:spacing w:line="360" w:lineRule="auto"/>
        <w:jc w:val="both"/>
      </w:pPr>
      <w:r w:rsidRPr="00CC1B13">
        <w:rPr>
          <w:rStyle w:val="Refdenotaalpie"/>
        </w:rPr>
        <w:footnoteRef/>
      </w:r>
      <w:r>
        <w:t xml:space="preserve"> </w:t>
      </w:r>
      <w:r w:rsidRPr="000C7EDB">
        <w:t>Organización de las Naciones Unidas. (2008). “Declaración Universal de los Derechos Humanos”. Recuperada en 15 de junio 2009, del sitio Web: http://www.temoa.info/es/node/19618</w:t>
      </w:r>
      <w:r>
        <w:t>.</w:t>
      </w:r>
    </w:p>
  </w:footnote>
  <w:footnote w:id="14">
    <w:p w:rsidR="00C3474F" w:rsidRPr="00402F7D" w:rsidRDefault="00C3474F" w:rsidP="005130D6">
      <w:pPr>
        <w:pStyle w:val="Textonotapie"/>
        <w:spacing w:line="360" w:lineRule="auto"/>
        <w:jc w:val="both"/>
        <w:rPr>
          <w:lang w:val="en-GB"/>
        </w:rPr>
      </w:pPr>
      <w:r w:rsidRPr="00CC1B13">
        <w:rPr>
          <w:rStyle w:val="Refdenotaalpie"/>
        </w:rPr>
        <w:footnoteRef/>
      </w:r>
      <w:r w:rsidRPr="00CC1B13">
        <w:rPr>
          <w:lang w:val="en-US"/>
        </w:rPr>
        <w:t xml:space="preserve"> </w:t>
      </w:r>
      <w:r w:rsidRPr="009B01A0">
        <w:rPr>
          <w:lang w:val="en-US"/>
        </w:rPr>
        <w:t xml:space="preserve">La </w:t>
      </w:r>
      <w:proofErr w:type="spellStart"/>
      <w:r w:rsidRPr="009B01A0">
        <w:rPr>
          <w:lang w:val="en-US"/>
        </w:rPr>
        <w:t>Haya</w:t>
      </w:r>
      <w:proofErr w:type="spellEnd"/>
      <w:r w:rsidRPr="009B01A0">
        <w:rPr>
          <w:lang w:val="en-US"/>
        </w:rPr>
        <w:t xml:space="preserve">. </w:t>
      </w:r>
      <w:proofErr w:type="gramStart"/>
      <w:r w:rsidRPr="009B01A0">
        <w:rPr>
          <w:lang w:val="en-US"/>
        </w:rPr>
        <w:t>International Court of Justice.</w:t>
      </w:r>
      <w:proofErr w:type="gramEnd"/>
      <w:r w:rsidRPr="009B01A0">
        <w:rPr>
          <w:lang w:val="en-US"/>
        </w:rPr>
        <w:t xml:space="preserve"> (2010). “Accordance with International Law of the Unilateral Declaration of Independence in Respect </w:t>
      </w:r>
      <w:proofErr w:type="gramStart"/>
      <w:r w:rsidRPr="009B01A0">
        <w:rPr>
          <w:lang w:val="en-US"/>
        </w:rPr>
        <w:t>of  Kosovo</w:t>
      </w:r>
      <w:proofErr w:type="gramEnd"/>
      <w:r w:rsidRPr="009B01A0">
        <w:rPr>
          <w:lang w:val="en-US"/>
        </w:rPr>
        <w:t xml:space="preserve">”. </w:t>
      </w:r>
      <w:r w:rsidRPr="00402F7D">
        <w:rPr>
          <w:i/>
          <w:lang w:val="en-GB"/>
        </w:rPr>
        <w:t>I.C.J. Reports 2010</w:t>
      </w:r>
      <w:r w:rsidRPr="00402F7D">
        <w:rPr>
          <w:lang w:val="en-GB"/>
        </w:rPr>
        <w:t xml:space="preserve">. Advisory Opinion of 22 July, 2010. </w:t>
      </w:r>
      <w:proofErr w:type="gramStart"/>
      <w:r w:rsidRPr="00402F7D">
        <w:rPr>
          <w:lang w:val="en-GB"/>
        </w:rPr>
        <w:t>P. 403.</w:t>
      </w:r>
      <w:proofErr w:type="gramEnd"/>
    </w:p>
  </w:footnote>
  <w:footnote w:id="15">
    <w:p w:rsidR="00C3474F" w:rsidRPr="00402F7D" w:rsidRDefault="00C3474F" w:rsidP="006D40B9">
      <w:pPr>
        <w:pStyle w:val="Textonotapie"/>
        <w:spacing w:line="360" w:lineRule="auto"/>
        <w:jc w:val="both"/>
      </w:pPr>
      <w:r>
        <w:rPr>
          <w:rStyle w:val="Refdenotaalpie"/>
        </w:rPr>
        <w:footnoteRef/>
      </w:r>
      <w:r w:rsidRPr="00402F7D">
        <w:rPr>
          <w:lang w:val="en-GB"/>
        </w:rPr>
        <w:t xml:space="preserve"> </w:t>
      </w:r>
      <w:proofErr w:type="spellStart"/>
      <w:proofErr w:type="gramStart"/>
      <w:r w:rsidRPr="00402F7D">
        <w:rPr>
          <w:lang w:val="en-GB"/>
        </w:rPr>
        <w:t>Arbòs</w:t>
      </w:r>
      <w:proofErr w:type="spellEnd"/>
      <w:r w:rsidRPr="00402F7D">
        <w:rPr>
          <w:lang w:val="en-GB"/>
        </w:rPr>
        <w:t xml:space="preserve"> </w:t>
      </w:r>
      <w:proofErr w:type="spellStart"/>
      <w:r w:rsidRPr="00402F7D">
        <w:rPr>
          <w:lang w:val="en-GB"/>
        </w:rPr>
        <w:t>Marín</w:t>
      </w:r>
      <w:proofErr w:type="spellEnd"/>
      <w:r w:rsidRPr="00402F7D">
        <w:rPr>
          <w:lang w:val="en-GB"/>
        </w:rPr>
        <w:t>, X. (2014).</w:t>
      </w:r>
      <w:proofErr w:type="gramEnd"/>
      <w:r w:rsidRPr="00402F7D">
        <w:rPr>
          <w:lang w:val="en-GB"/>
        </w:rPr>
        <w:t xml:space="preserve"> </w:t>
      </w:r>
      <w:r w:rsidRPr="00146A22">
        <w:t xml:space="preserve">“El proceso soberanista en Catalunya; demasiado confuso y unilateral”. </w:t>
      </w:r>
      <w:r w:rsidRPr="000717E0">
        <w:rPr>
          <w:i/>
        </w:rPr>
        <w:t xml:space="preserve">Diario </w:t>
      </w:r>
      <w:proofErr w:type="spellStart"/>
      <w:r w:rsidRPr="000717E0">
        <w:rPr>
          <w:i/>
        </w:rPr>
        <w:t>elPeriódico</w:t>
      </w:r>
      <w:proofErr w:type="spellEnd"/>
      <w:r w:rsidRPr="00146A22">
        <w:t xml:space="preserve">. 28 de octubre de 2014. </w:t>
      </w:r>
      <w:r w:rsidRPr="00402F7D">
        <w:t xml:space="preserve">Disponible </w:t>
      </w:r>
      <w:proofErr w:type="spellStart"/>
      <w:r w:rsidRPr="00402F7D">
        <w:t>on</w:t>
      </w:r>
      <w:proofErr w:type="spellEnd"/>
      <w:r w:rsidRPr="00402F7D">
        <w:t xml:space="preserve"> line: </w:t>
      </w:r>
      <w:hyperlink r:id="rId1" w:history="1">
        <w:r w:rsidRPr="00402F7D">
          <w:rPr>
            <w:rStyle w:val="Hipervnculo"/>
          </w:rPr>
          <w:t>http://www.elperiodico.com/es/noticias/opinion/demasiado-confuso-unilateral-3637964</w:t>
        </w:r>
      </w:hyperlink>
      <w:r w:rsidRPr="00402F7D">
        <w:t xml:space="preserve">.          </w:t>
      </w:r>
    </w:p>
  </w:footnote>
  <w:footnote w:id="16">
    <w:p w:rsidR="00C3474F" w:rsidRDefault="00C3474F" w:rsidP="005130D6">
      <w:pPr>
        <w:pStyle w:val="Textonotapie"/>
        <w:spacing w:line="360" w:lineRule="auto"/>
        <w:jc w:val="both"/>
      </w:pPr>
      <w:r w:rsidRPr="00CC1B13">
        <w:rPr>
          <w:rStyle w:val="Refdenotaalpie"/>
        </w:rPr>
        <w:footnoteRef/>
      </w:r>
      <w:r w:rsidRPr="00CC1B13">
        <w:t xml:space="preserve"> De Vega, P. (1985) “La reforma constitucional y la problemática del poder c</w:t>
      </w:r>
      <w:r w:rsidR="006D40B9">
        <w:t>onstituyente”.</w:t>
      </w:r>
      <w:r>
        <w:t xml:space="preserve"> Madrid, </w:t>
      </w:r>
      <w:proofErr w:type="spellStart"/>
      <w:r>
        <w:t>Tecnos</w:t>
      </w:r>
      <w:proofErr w:type="spellEnd"/>
      <w:r>
        <w:t>. P</w:t>
      </w:r>
      <w:r w:rsidRPr="00CC1B13">
        <w:t>. 148.</w:t>
      </w:r>
    </w:p>
  </w:footnote>
  <w:footnote w:id="17">
    <w:p w:rsidR="00C3474F" w:rsidRDefault="00C3474F" w:rsidP="009E5A24">
      <w:pPr>
        <w:pStyle w:val="Textonotapie"/>
        <w:spacing w:line="360" w:lineRule="auto"/>
        <w:jc w:val="both"/>
      </w:pPr>
      <w:r w:rsidRPr="00CC1B13">
        <w:rPr>
          <w:rStyle w:val="Refdenotaalpie"/>
        </w:rPr>
        <w:footnoteRef/>
      </w:r>
      <w:r w:rsidRPr="00CC1B13">
        <w:t xml:space="preserve"> Véanse por todos </w:t>
      </w:r>
      <w:proofErr w:type="spellStart"/>
      <w:r w:rsidRPr="00CC1B13">
        <w:t>Gagnon</w:t>
      </w:r>
      <w:proofErr w:type="spellEnd"/>
      <w:r w:rsidRPr="00CC1B13">
        <w:t xml:space="preserve"> A.G. y </w:t>
      </w:r>
      <w:proofErr w:type="spellStart"/>
      <w:r w:rsidRPr="00CC1B13">
        <w:t>Sanjaume</w:t>
      </w:r>
      <w:proofErr w:type="spellEnd"/>
      <w:r w:rsidRPr="00CC1B13">
        <w:t xml:space="preserve"> Calvet, M. (2013) “Cataluña: Federalismo y derecho a decidir</w:t>
      </w:r>
      <w:r w:rsidRPr="00C4150D">
        <w:rPr>
          <w:i/>
        </w:rPr>
        <w:t xml:space="preserve">”, </w:t>
      </w:r>
      <w:proofErr w:type="spellStart"/>
      <w:r w:rsidRPr="00C4150D">
        <w:rPr>
          <w:i/>
        </w:rPr>
        <w:t>Anuari</w:t>
      </w:r>
      <w:proofErr w:type="spellEnd"/>
      <w:r w:rsidRPr="00C4150D">
        <w:rPr>
          <w:i/>
        </w:rPr>
        <w:t xml:space="preserve"> del </w:t>
      </w:r>
      <w:proofErr w:type="spellStart"/>
      <w:r w:rsidRPr="00C4150D">
        <w:rPr>
          <w:i/>
        </w:rPr>
        <w:t>Conflicte</w:t>
      </w:r>
      <w:proofErr w:type="spellEnd"/>
      <w:r w:rsidRPr="00C4150D">
        <w:rPr>
          <w:i/>
        </w:rPr>
        <w:t xml:space="preserve"> Social 2013</w:t>
      </w:r>
      <w:r>
        <w:t>. P</w:t>
      </w:r>
      <w:r w:rsidRPr="00CC1B13">
        <w:t>p. 432-456</w:t>
      </w:r>
      <w:r>
        <w:t>.</w:t>
      </w:r>
    </w:p>
  </w:footnote>
  <w:footnote w:id="18">
    <w:p w:rsidR="00C3474F" w:rsidRDefault="00C3474F" w:rsidP="009E5A24">
      <w:pPr>
        <w:pStyle w:val="Textonotapie"/>
        <w:spacing w:line="360" w:lineRule="auto"/>
        <w:jc w:val="both"/>
      </w:pPr>
      <w:r>
        <w:rPr>
          <w:rStyle w:val="Refdenotaalpie"/>
        </w:rPr>
        <w:footnoteRef/>
      </w:r>
      <w:r>
        <w:t xml:space="preserve"> </w:t>
      </w:r>
      <w:proofErr w:type="spellStart"/>
      <w:r w:rsidRPr="00E95B7F">
        <w:t>Arbòs</w:t>
      </w:r>
      <w:proofErr w:type="spellEnd"/>
      <w:r w:rsidRPr="00E95B7F">
        <w:t xml:space="preserve"> Marín. X. (2017). “Un referéndum vinculante imposible”. </w:t>
      </w:r>
      <w:r w:rsidRPr="000717E0">
        <w:rPr>
          <w:i/>
        </w:rPr>
        <w:t xml:space="preserve">Diario </w:t>
      </w:r>
      <w:proofErr w:type="spellStart"/>
      <w:r w:rsidRPr="000717E0">
        <w:rPr>
          <w:i/>
        </w:rPr>
        <w:t>elPeriódico</w:t>
      </w:r>
      <w:proofErr w:type="spellEnd"/>
      <w:r w:rsidRPr="00E95B7F">
        <w:t xml:space="preserve">. 7 de febrero de 2017. Disponible </w:t>
      </w:r>
      <w:proofErr w:type="spellStart"/>
      <w:r w:rsidRPr="00E95B7F">
        <w:t>on</w:t>
      </w:r>
      <w:proofErr w:type="spellEnd"/>
      <w:r w:rsidRPr="00E95B7F">
        <w:t xml:space="preserve"> line:</w:t>
      </w:r>
      <w:r>
        <w:t xml:space="preserve"> </w:t>
      </w:r>
      <w:r w:rsidRPr="00E95B7F">
        <w:t>http://www.elperiodico.com/es/noticias/opinion/referendum-vinculante-imposible-xavier-arbos-5791866.</w:t>
      </w:r>
    </w:p>
  </w:footnote>
  <w:footnote w:id="19">
    <w:p w:rsidR="00C3474F" w:rsidRDefault="00C3474F" w:rsidP="005130D6">
      <w:pPr>
        <w:pStyle w:val="Textonotapie"/>
        <w:spacing w:line="360" w:lineRule="auto"/>
        <w:jc w:val="both"/>
      </w:pPr>
      <w:r>
        <w:rPr>
          <w:rStyle w:val="Refdenotaalpie"/>
        </w:rPr>
        <w:footnoteRef/>
      </w:r>
      <w:r>
        <w:t xml:space="preserve"> </w:t>
      </w:r>
      <w:r w:rsidRPr="003278D7">
        <w:t xml:space="preserve">García Belaunde, </w:t>
      </w:r>
      <w:r>
        <w:t>D. (2006). “</w:t>
      </w:r>
      <w:r w:rsidRPr="003278D7">
        <w:t>Implantación de las Constituciones</w:t>
      </w:r>
      <w:r>
        <w:t xml:space="preserve">”. </w:t>
      </w:r>
      <w:r w:rsidRPr="003278D7">
        <w:rPr>
          <w:i/>
        </w:rPr>
        <w:t>La Constitución y su dinámica</w:t>
      </w:r>
      <w:r w:rsidRPr="003278D7">
        <w:t>.</w:t>
      </w:r>
      <w:r>
        <w:t xml:space="preserve"> Lima, Palestra Editores. P</w:t>
      </w:r>
      <w:r w:rsidRPr="003278D7">
        <w:t>p</w:t>
      </w:r>
      <w:r>
        <w:t>. 272-280.</w:t>
      </w:r>
    </w:p>
  </w:footnote>
  <w:footnote w:id="20">
    <w:p w:rsidR="00C3474F" w:rsidRDefault="00C3474F" w:rsidP="005130D6">
      <w:pPr>
        <w:pStyle w:val="Textonotapie"/>
        <w:spacing w:line="360" w:lineRule="auto"/>
        <w:jc w:val="both"/>
      </w:pPr>
      <w:r w:rsidRPr="004F1313">
        <w:rPr>
          <w:rStyle w:val="Refdenotaalpie"/>
        </w:rPr>
        <w:footnoteRef/>
      </w:r>
      <w:r w:rsidRPr="004F1313">
        <w:t xml:space="preserve"> </w:t>
      </w:r>
      <w:proofErr w:type="spellStart"/>
      <w:r w:rsidRPr="004F1313">
        <w:t>Sieyès</w:t>
      </w:r>
      <w:proofErr w:type="spellEnd"/>
      <w:r w:rsidRPr="004F1313">
        <w:t>, E.J. (1789). “¿Qué es el Tercer Estado?” 170 pp.</w:t>
      </w:r>
    </w:p>
  </w:footnote>
  <w:footnote w:id="21">
    <w:p w:rsidR="00C3474F" w:rsidRDefault="00C3474F" w:rsidP="005130D6">
      <w:pPr>
        <w:pStyle w:val="Textonotapie"/>
        <w:spacing w:line="360" w:lineRule="auto"/>
        <w:jc w:val="both"/>
      </w:pPr>
      <w:r w:rsidRPr="004F1313">
        <w:rPr>
          <w:rStyle w:val="Refdenotaalpie"/>
        </w:rPr>
        <w:footnoteRef/>
      </w:r>
      <w:r w:rsidRPr="004F1313">
        <w:t xml:space="preserve"> De </w:t>
      </w:r>
      <w:proofErr w:type="spellStart"/>
      <w:r w:rsidRPr="004F1313">
        <w:t>Secondat</w:t>
      </w:r>
      <w:proofErr w:type="spellEnd"/>
      <w:r w:rsidRPr="004F1313">
        <w:t>, C.L. (1747). “El Espíritu de las Leyes”. 554 pp.</w:t>
      </w:r>
    </w:p>
  </w:footnote>
  <w:footnote w:id="22">
    <w:p w:rsidR="00C3474F" w:rsidRDefault="00C3474F" w:rsidP="005130D6">
      <w:pPr>
        <w:pStyle w:val="Textonotapie"/>
        <w:spacing w:line="360" w:lineRule="auto"/>
        <w:jc w:val="both"/>
      </w:pPr>
      <w:r w:rsidRPr="00254E01">
        <w:rPr>
          <w:rStyle w:val="Refdenotaalpie"/>
        </w:rPr>
        <w:footnoteRef/>
      </w:r>
      <w:r w:rsidRPr="00254E01">
        <w:t xml:space="preserve"> García </w:t>
      </w:r>
      <w:proofErr w:type="spellStart"/>
      <w:r w:rsidRPr="00254E01">
        <w:t>Belande</w:t>
      </w:r>
      <w:proofErr w:type="spellEnd"/>
      <w:r w:rsidRPr="00254E01">
        <w:t>. “La implantación de…”</w:t>
      </w:r>
      <w:r>
        <w:t xml:space="preserve"> </w:t>
      </w:r>
      <w:r w:rsidRPr="00254E01">
        <w:t>(</w:t>
      </w:r>
      <w:proofErr w:type="spellStart"/>
      <w:r w:rsidRPr="00254E01">
        <w:t>op</w:t>
      </w:r>
      <w:proofErr w:type="spellEnd"/>
      <w:r w:rsidRPr="00254E01">
        <w:t>. cit.).</w:t>
      </w:r>
      <w:r>
        <w:t xml:space="preserve"> P</w:t>
      </w:r>
      <w:r w:rsidRPr="00254E01">
        <w:t>. 274</w:t>
      </w:r>
      <w:r>
        <w:t>.</w:t>
      </w:r>
      <w:r w:rsidRPr="00254E01">
        <w:t xml:space="preserve"> </w:t>
      </w:r>
    </w:p>
  </w:footnote>
  <w:footnote w:id="23">
    <w:p w:rsidR="00C3474F" w:rsidRDefault="00C3474F" w:rsidP="005130D6">
      <w:pPr>
        <w:pStyle w:val="Textonotapie"/>
        <w:spacing w:line="360" w:lineRule="auto"/>
        <w:jc w:val="both"/>
      </w:pPr>
      <w:r w:rsidRPr="00254E01">
        <w:rPr>
          <w:rStyle w:val="Refdenotaalpie"/>
        </w:rPr>
        <w:footnoteRef/>
      </w:r>
      <w:r w:rsidRPr="00254E01">
        <w:t xml:space="preserve"> Viena. Organización de las Naciones Unidas. (1969). “Convención de Viena sobre el Derecho de los Tratados”. </w:t>
      </w:r>
      <w:r w:rsidRPr="009C4598">
        <w:rPr>
          <w:i/>
        </w:rPr>
        <w:t>Boletín Oficial del Estado núm. 142</w:t>
      </w:r>
      <w:r w:rsidRPr="00254E01">
        <w:t>. 13 de junio de 1980. Pp.  13099-13110.</w:t>
      </w:r>
    </w:p>
  </w:footnote>
  <w:footnote w:id="24">
    <w:p w:rsidR="00C3474F" w:rsidRDefault="00C3474F" w:rsidP="005130D6">
      <w:pPr>
        <w:pStyle w:val="Textonotapie"/>
        <w:spacing w:line="360" w:lineRule="auto"/>
        <w:jc w:val="both"/>
      </w:pPr>
      <w:r w:rsidRPr="00254E01">
        <w:rPr>
          <w:rStyle w:val="Refdenotaalpie"/>
        </w:rPr>
        <w:footnoteRef/>
      </w:r>
      <w:r w:rsidRPr="00254E01">
        <w:t xml:space="preserve"> Díez Picazo, l. M. (2006). “Límites internacionales al poder constituyente”. </w:t>
      </w:r>
      <w:r w:rsidRPr="006D40B9">
        <w:rPr>
          <w:i/>
        </w:rPr>
        <w:t>Revista Española de Derecho Constitucional, núm. 76</w:t>
      </w:r>
      <w:r w:rsidRPr="00254E01">
        <w:t>. Pp. 9-32</w:t>
      </w:r>
      <w:r>
        <w:t>.</w:t>
      </w:r>
    </w:p>
  </w:footnote>
  <w:footnote w:id="25">
    <w:p w:rsidR="00C3474F" w:rsidRDefault="00C3474F" w:rsidP="005130D6">
      <w:pPr>
        <w:pStyle w:val="Textonotapie"/>
        <w:spacing w:line="360" w:lineRule="auto"/>
        <w:jc w:val="both"/>
      </w:pPr>
      <w:r w:rsidRPr="00254E01">
        <w:rPr>
          <w:rStyle w:val="Refdenotaalpie"/>
        </w:rPr>
        <w:footnoteRef/>
      </w:r>
      <w:r w:rsidRPr="00254E01">
        <w:t xml:space="preserve"> </w:t>
      </w:r>
      <w:proofErr w:type="spellStart"/>
      <w:r w:rsidRPr="00254E01">
        <w:t>Loewenstein</w:t>
      </w:r>
      <w:proofErr w:type="spellEnd"/>
      <w:r w:rsidRPr="00254E01">
        <w:t>, K. (1989). “Teoría de la Constitución”. Madrid, Ariel. 628 pp.</w:t>
      </w:r>
      <w:r>
        <w:t xml:space="preserve"> </w:t>
      </w:r>
    </w:p>
  </w:footnote>
  <w:footnote w:id="26">
    <w:p w:rsidR="00C3474F" w:rsidRDefault="00C3474F" w:rsidP="005130D6">
      <w:pPr>
        <w:pStyle w:val="Textonotapie"/>
        <w:spacing w:line="360" w:lineRule="auto"/>
        <w:jc w:val="both"/>
      </w:pPr>
      <w:r w:rsidRPr="00B452F2">
        <w:rPr>
          <w:rStyle w:val="Refdenotaalpie"/>
        </w:rPr>
        <w:footnoteRef/>
      </w:r>
      <w:r w:rsidRPr="00B452F2">
        <w:t xml:space="preserve"> De </w:t>
      </w:r>
      <w:r>
        <w:t>Otto y Pardo, I. (1987). “Derecho Constitucional: Sistema de Fuentes”. Madrid, Ariel. P. 55.</w:t>
      </w:r>
    </w:p>
  </w:footnote>
  <w:footnote w:id="27">
    <w:p w:rsidR="00C3474F" w:rsidRDefault="00C3474F" w:rsidP="005130D6">
      <w:pPr>
        <w:pStyle w:val="Textonotapie"/>
        <w:spacing w:line="360" w:lineRule="auto"/>
        <w:jc w:val="both"/>
      </w:pPr>
      <w:r w:rsidRPr="00B452F2">
        <w:rPr>
          <w:rStyle w:val="Refdenotaalpie"/>
        </w:rPr>
        <w:footnoteRef/>
      </w:r>
      <w:r w:rsidRPr="00B452F2">
        <w:t xml:space="preserve"> Artola Gallego, M. (2005). “Constitucionalismo en la historia”. Barcelona, Crítica. 307 pp. </w:t>
      </w:r>
    </w:p>
  </w:footnote>
  <w:footnote w:id="28">
    <w:p w:rsidR="00C3474F" w:rsidRPr="00146A22" w:rsidRDefault="00C3474F" w:rsidP="005130D6">
      <w:pPr>
        <w:pStyle w:val="Textonotapie"/>
        <w:spacing w:line="360" w:lineRule="auto"/>
        <w:jc w:val="both"/>
      </w:pPr>
      <w:r w:rsidRPr="00B452F2">
        <w:rPr>
          <w:rStyle w:val="Refdenotaalpie"/>
        </w:rPr>
        <w:footnoteRef/>
      </w:r>
      <w:r w:rsidRPr="00B452F2">
        <w:t xml:space="preserve"> García </w:t>
      </w:r>
      <w:proofErr w:type="spellStart"/>
      <w:r w:rsidRPr="00B452F2">
        <w:t>Belande</w:t>
      </w:r>
      <w:proofErr w:type="spellEnd"/>
      <w:r w:rsidRPr="00B452F2">
        <w:t>. “La implantación de…”</w:t>
      </w:r>
      <w:r>
        <w:t xml:space="preserve"> </w:t>
      </w:r>
      <w:r w:rsidRPr="00146A22">
        <w:t>(</w:t>
      </w:r>
      <w:proofErr w:type="spellStart"/>
      <w:r w:rsidRPr="00146A22">
        <w:t>op</w:t>
      </w:r>
      <w:proofErr w:type="spellEnd"/>
      <w:r w:rsidRPr="00146A22">
        <w:t>. cit.). P. 276.</w:t>
      </w:r>
    </w:p>
  </w:footnote>
  <w:footnote w:id="29">
    <w:p w:rsidR="00C3474F" w:rsidRDefault="00C3474F" w:rsidP="005130D6">
      <w:pPr>
        <w:pStyle w:val="Textonotapie"/>
        <w:spacing w:line="360" w:lineRule="auto"/>
        <w:jc w:val="both"/>
      </w:pPr>
      <w:r w:rsidRPr="008C450B">
        <w:rPr>
          <w:rStyle w:val="Refdenotaalpie"/>
        </w:rPr>
        <w:footnoteRef/>
      </w:r>
      <w:r w:rsidRPr="008C450B">
        <w:t xml:space="preserve"> García de Enterría y Martínez </w:t>
      </w:r>
      <w:proofErr w:type="spellStart"/>
      <w:r w:rsidRPr="008C450B">
        <w:t>Carande</w:t>
      </w:r>
      <w:proofErr w:type="spellEnd"/>
      <w:r w:rsidRPr="008C450B">
        <w:t xml:space="preserve">, E. (2006). “La Constitución como norma y el Tribunal Constitucional”. Madrid, </w:t>
      </w:r>
      <w:proofErr w:type="spellStart"/>
      <w:r w:rsidRPr="008C450B">
        <w:t>Civitas</w:t>
      </w:r>
      <w:proofErr w:type="spellEnd"/>
      <w:r w:rsidRPr="008C450B">
        <w:t>. Pp. 275-301.</w:t>
      </w:r>
    </w:p>
  </w:footnote>
  <w:footnote w:id="30">
    <w:p w:rsidR="00C3474F" w:rsidRDefault="00C3474F" w:rsidP="005130D6">
      <w:pPr>
        <w:pStyle w:val="Textonotapie"/>
        <w:spacing w:line="360" w:lineRule="auto"/>
        <w:jc w:val="both"/>
      </w:pPr>
      <w:r w:rsidRPr="00B452F2">
        <w:rPr>
          <w:rStyle w:val="Refdenotaalpie"/>
        </w:rPr>
        <w:footnoteRef/>
      </w:r>
      <w:r w:rsidRPr="00B452F2">
        <w:t xml:space="preserve"> </w:t>
      </w:r>
      <w:proofErr w:type="spellStart"/>
      <w:r w:rsidRPr="00B452F2">
        <w:t>Ibid</w:t>
      </w:r>
      <w:proofErr w:type="spellEnd"/>
      <w:r w:rsidRPr="00B452F2">
        <w:t>, p. 295.</w:t>
      </w:r>
    </w:p>
  </w:footnote>
  <w:footnote w:id="31">
    <w:p w:rsidR="00C3474F" w:rsidRDefault="00C3474F" w:rsidP="005130D6">
      <w:pPr>
        <w:pStyle w:val="Textonotapie"/>
        <w:spacing w:line="360" w:lineRule="auto"/>
        <w:jc w:val="both"/>
      </w:pPr>
      <w:r w:rsidRPr="00B452F2">
        <w:rPr>
          <w:rStyle w:val="Refdenotaalpie"/>
        </w:rPr>
        <w:footnoteRef/>
      </w:r>
      <w:r w:rsidRPr="00B452F2">
        <w:t xml:space="preserve"> Peces-Barba Martínez, G. (2006). “España como poder constituyente”. </w:t>
      </w:r>
      <w:r w:rsidR="006D40B9">
        <w:rPr>
          <w:i/>
        </w:rPr>
        <w:t>Diario EL PAÍS</w:t>
      </w:r>
      <w:r w:rsidRPr="00B452F2">
        <w:rPr>
          <w:i/>
        </w:rPr>
        <w:t>.</w:t>
      </w:r>
      <w:r w:rsidRPr="00B452F2">
        <w:t xml:space="preserve"> Disponible </w:t>
      </w:r>
      <w:proofErr w:type="spellStart"/>
      <w:r w:rsidRPr="00B452F2">
        <w:t>on</w:t>
      </w:r>
      <w:proofErr w:type="spellEnd"/>
      <w:r w:rsidRPr="00B452F2">
        <w:t xml:space="preserve"> line: http://elpais.com/diario/2006/01/05/opinion/1136415607_850215.html.</w:t>
      </w:r>
    </w:p>
  </w:footnote>
  <w:footnote w:id="32">
    <w:p w:rsidR="00C3474F" w:rsidRPr="00EE002F" w:rsidRDefault="00C3474F" w:rsidP="005130D6">
      <w:pPr>
        <w:pStyle w:val="Textonotapie"/>
        <w:spacing w:line="360" w:lineRule="auto"/>
        <w:jc w:val="both"/>
        <w:rPr>
          <w:lang w:val="en-US"/>
        </w:rPr>
      </w:pPr>
      <w:r w:rsidRPr="0083780C">
        <w:rPr>
          <w:rStyle w:val="Refdenotaalpie"/>
        </w:rPr>
        <w:footnoteRef/>
      </w:r>
      <w:r w:rsidRPr="0083780C">
        <w:t xml:space="preserve"> </w:t>
      </w:r>
      <w:proofErr w:type="spellStart"/>
      <w:r w:rsidRPr="0083780C">
        <w:t>Arnold</w:t>
      </w:r>
      <w:proofErr w:type="spellEnd"/>
      <w:r w:rsidRPr="0083780C">
        <w:t xml:space="preserve">, R. (2015). “Derechos nuevos y la Constitución”. </w:t>
      </w:r>
      <w:r w:rsidRPr="0083780C">
        <w:rPr>
          <w:i/>
        </w:rPr>
        <w:t>Nuevos derechos y nuevas libertades en Europa.</w:t>
      </w:r>
      <w:r w:rsidRPr="0083780C">
        <w:t xml:space="preserve"> </w:t>
      </w:r>
      <w:r w:rsidRPr="00DB6592">
        <w:rPr>
          <w:lang w:val="en-US"/>
        </w:rPr>
        <w:t xml:space="preserve">Madrid, </w:t>
      </w:r>
      <w:proofErr w:type="spellStart"/>
      <w:r w:rsidRPr="00DB6592">
        <w:rPr>
          <w:lang w:val="en-US"/>
        </w:rPr>
        <w:t>Dykynson</w:t>
      </w:r>
      <w:proofErr w:type="spellEnd"/>
      <w:r w:rsidRPr="00DB6592">
        <w:rPr>
          <w:lang w:val="en-US"/>
        </w:rPr>
        <w:t xml:space="preserve">. </w:t>
      </w:r>
      <w:proofErr w:type="gramStart"/>
      <w:r w:rsidRPr="00DB6592">
        <w:rPr>
          <w:lang w:val="en-US"/>
        </w:rPr>
        <w:t>P. 61.</w:t>
      </w:r>
      <w:proofErr w:type="gramEnd"/>
    </w:p>
  </w:footnote>
  <w:footnote w:id="33">
    <w:p w:rsidR="00C3474F" w:rsidRPr="00EE002F" w:rsidRDefault="00C3474F" w:rsidP="005130D6">
      <w:pPr>
        <w:pStyle w:val="Textonotapie"/>
        <w:spacing w:line="360" w:lineRule="auto"/>
        <w:jc w:val="both"/>
        <w:rPr>
          <w:lang w:val="en-US"/>
        </w:rPr>
      </w:pPr>
      <w:r w:rsidRPr="0083780C">
        <w:rPr>
          <w:rStyle w:val="Refdenotaalpie"/>
        </w:rPr>
        <w:footnoteRef/>
      </w:r>
      <w:r w:rsidRPr="00DB6592">
        <w:rPr>
          <w:lang w:val="en-US"/>
        </w:rPr>
        <w:t xml:space="preserve"> </w:t>
      </w:r>
      <w:proofErr w:type="gramStart"/>
      <w:r w:rsidRPr="00DB6592">
        <w:rPr>
          <w:lang w:val="en-US"/>
        </w:rPr>
        <w:t>Dellinger, W. (1983).</w:t>
      </w:r>
      <w:proofErr w:type="gramEnd"/>
      <w:r w:rsidRPr="00DB6592">
        <w:rPr>
          <w:lang w:val="en-US"/>
        </w:rPr>
        <w:t xml:space="preserve"> </w:t>
      </w:r>
      <w:r w:rsidRPr="0083780C">
        <w:rPr>
          <w:lang w:val="en-US"/>
        </w:rPr>
        <w:t xml:space="preserve">“The Legitimacy of Constitutional Change: Rethinking the Amendment Process”. </w:t>
      </w:r>
      <w:r w:rsidRPr="00DB6592">
        <w:rPr>
          <w:i/>
          <w:lang w:val="en-US"/>
        </w:rPr>
        <w:t>Harvard Law Review, vol. 97</w:t>
      </w:r>
      <w:r w:rsidRPr="00DB6592">
        <w:rPr>
          <w:lang w:val="en-US"/>
        </w:rPr>
        <w:t xml:space="preserve">. </w:t>
      </w:r>
      <w:proofErr w:type="gramStart"/>
      <w:r w:rsidRPr="00DB6592">
        <w:rPr>
          <w:lang w:val="en-US"/>
        </w:rPr>
        <w:t>P. 431</w:t>
      </w:r>
      <w:r>
        <w:rPr>
          <w:lang w:val="en-US"/>
        </w:rPr>
        <w:t>.</w:t>
      </w:r>
      <w:proofErr w:type="gramEnd"/>
      <w:r w:rsidRPr="00DB6592">
        <w:rPr>
          <w:lang w:val="en-US"/>
        </w:rPr>
        <w:t xml:space="preserve">  </w:t>
      </w:r>
    </w:p>
  </w:footnote>
  <w:footnote w:id="34">
    <w:p w:rsidR="00C3474F" w:rsidRDefault="00C3474F" w:rsidP="005130D6">
      <w:pPr>
        <w:pStyle w:val="Textonotapie"/>
        <w:spacing w:line="360" w:lineRule="auto"/>
        <w:jc w:val="both"/>
      </w:pPr>
      <w:r w:rsidRPr="0083780C">
        <w:rPr>
          <w:rStyle w:val="Refdenotaalpie"/>
        </w:rPr>
        <w:footnoteRef/>
      </w:r>
      <w:r w:rsidRPr="009B01A0">
        <w:rPr>
          <w:lang w:val="en-US"/>
        </w:rPr>
        <w:t xml:space="preserve"> </w:t>
      </w:r>
      <w:proofErr w:type="spellStart"/>
      <w:r w:rsidRPr="009B01A0">
        <w:rPr>
          <w:lang w:val="en-US"/>
        </w:rPr>
        <w:t>Vilajosana</w:t>
      </w:r>
      <w:proofErr w:type="spellEnd"/>
      <w:r w:rsidRPr="009B01A0">
        <w:rPr>
          <w:lang w:val="en-US"/>
        </w:rPr>
        <w:t>, J.M. (2014) “</w:t>
      </w:r>
      <w:proofErr w:type="spellStart"/>
      <w:r w:rsidRPr="009B01A0">
        <w:rPr>
          <w:lang w:val="en-US"/>
        </w:rPr>
        <w:t>Principi</w:t>
      </w:r>
      <w:proofErr w:type="spellEnd"/>
      <w:r w:rsidRPr="009B01A0">
        <w:rPr>
          <w:lang w:val="en-US"/>
        </w:rPr>
        <w:t xml:space="preserve"> </w:t>
      </w:r>
      <w:proofErr w:type="spellStart"/>
      <w:r w:rsidRPr="009B01A0">
        <w:rPr>
          <w:lang w:val="en-US"/>
        </w:rPr>
        <w:t>democràtic</w:t>
      </w:r>
      <w:proofErr w:type="spellEnd"/>
      <w:r w:rsidRPr="009B01A0">
        <w:rPr>
          <w:lang w:val="en-US"/>
        </w:rPr>
        <w:t xml:space="preserve"> i </w:t>
      </w:r>
      <w:proofErr w:type="spellStart"/>
      <w:r w:rsidRPr="009B01A0">
        <w:rPr>
          <w:lang w:val="en-US"/>
        </w:rPr>
        <w:t>justificació</w:t>
      </w:r>
      <w:proofErr w:type="spellEnd"/>
      <w:r w:rsidRPr="009B01A0">
        <w:rPr>
          <w:lang w:val="en-US"/>
        </w:rPr>
        <w:t xml:space="preserve"> </w:t>
      </w:r>
      <w:proofErr w:type="gramStart"/>
      <w:r w:rsidRPr="009B01A0">
        <w:rPr>
          <w:lang w:val="en-US"/>
        </w:rPr>
        <w:t>del</w:t>
      </w:r>
      <w:proofErr w:type="gramEnd"/>
      <w:r w:rsidRPr="009B01A0">
        <w:rPr>
          <w:lang w:val="en-US"/>
        </w:rPr>
        <w:t xml:space="preserve"> </w:t>
      </w:r>
      <w:proofErr w:type="spellStart"/>
      <w:r w:rsidRPr="009B01A0">
        <w:rPr>
          <w:lang w:val="en-US"/>
        </w:rPr>
        <w:t>dret</w:t>
      </w:r>
      <w:proofErr w:type="spellEnd"/>
      <w:r w:rsidRPr="009B01A0">
        <w:rPr>
          <w:lang w:val="en-US"/>
        </w:rPr>
        <w:t xml:space="preserve"> a </w:t>
      </w:r>
      <w:proofErr w:type="spellStart"/>
      <w:r w:rsidRPr="009B01A0">
        <w:rPr>
          <w:lang w:val="en-US"/>
        </w:rPr>
        <w:t>decidir</w:t>
      </w:r>
      <w:proofErr w:type="spellEnd"/>
      <w:r w:rsidRPr="009B01A0">
        <w:rPr>
          <w:lang w:val="en-US"/>
        </w:rPr>
        <w:t xml:space="preserve">”. </w:t>
      </w:r>
      <w:proofErr w:type="spellStart"/>
      <w:proofErr w:type="gramStart"/>
      <w:r w:rsidRPr="009B01A0">
        <w:rPr>
          <w:i/>
          <w:lang w:val="en-US"/>
        </w:rPr>
        <w:t>Revista</w:t>
      </w:r>
      <w:proofErr w:type="spellEnd"/>
      <w:r w:rsidRPr="009B01A0">
        <w:rPr>
          <w:i/>
          <w:lang w:val="en-US"/>
        </w:rPr>
        <w:t xml:space="preserve"> </w:t>
      </w:r>
      <w:proofErr w:type="spellStart"/>
      <w:r w:rsidRPr="009B01A0">
        <w:rPr>
          <w:i/>
          <w:lang w:val="en-US"/>
        </w:rPr>
        <w:t>d’Estudis</w:t>
      </w:r>
      <w:proofErr w:type="spellEnd"/>
      <w:r w:rsidRPr="009B01A0">
        <w:rPr>
          <w:i/>
          <w:lang w:val="en-US"/>
        </w:rPr>
        <w:t xml:space="preserve"> </w:t>
      </w:r>
      <w:proofErr w:type="spellStart"/>
      <w:r w:rsidRPr="009B01A0">
        <w:rPr>
          <w:i/>
          <w:lang w:val="en-US"/>
        </w:rPr>
        <w:t>Autonòmics</w:t>
      </w:r>
      <w:proofErr w:type="spellEnd"/>
      <w:r w:rsidRPr="009B01A0">
        <w:rPr>
          <w:i/>
          <w:lang w:val="en-US"/>
        </w:rPr>
        <w:t xml:space="preserve"> i Federals </w:t>
      </w:r>
      <w:proofErr w:type="spellStart"/>
      <w:r w:rsidRPr="009B01A0">
        <w:rPr>
          <w:i/>
          <w:lang w:val="en-US"/>
        </w:rPr>
        <w:t>núm</w:t>
      </w:r>
      <w:proofErr w:type="spellEnd"/>
      <w:r w:rsidRPr="009B01A0">
        <w:rPr>
          <w:i/>
          <w:lang w:val="en-US"/>
        </w:rPr>
        <w:t>.</w:t>
      </w:r>
      <w:proofErr w:type="gramEnd"/>
      <w:r w:rsidRPr="009B01A0">
        <w:rPr>
          <w:i/>
          <w:lang w:val="en-US"/>
        </w:rPr>
        <w:t xml:space="preserve"> </w:t>
      </w:r>
      <w:r w:rsidRPr="00146A22">
        <w:rPr>
          <w:i/>
          <w:lang w:val="en-US"/>
        </w:rPr>
        <w:t>19</w:t>
      </w:r>
      <w:r w:rsidRPr="00146A22">
        <w:rPr>
          <w:lang w:val="en-US"/>
        </w:rPr>
        <w:t xml:space="preserve">. </w:t>
      </w:r>
      <w:r w:rsidRPr="0083780C">
        <w:t>Pp. 178-210.</w:t>
      </w:r>
    </w:p>
  </w:footnote>
  <w:footnote w:id="35">
    <w:p w:rsidR="00C3474F" w:rsidRDefault="00C3474F" w:rsidP="005130D6">
      <w:pPr>
        <w:pStyle w:val="Textonotapie"/>
        <w:spacing w:line="360" w:lineRule="auto"/>
        <w:jc w:val="both"/>
      </w:pPr>
      <w:r w:rsidRPr="0083780C">
        <w:rPr>
          <w:rStyle w:val="Refdenotaalpie"/>
        </w:rPr>
        <w:footnoteRef/>
      </w:r>
      <w:r w:rsidRPr="0083780C">
        <w:t xml:space="preserve"> De la Torre, M. (2017). “Historia de los derechos fundamentales y el legado del profesor Gregorio Peces-Barba” </w:t>
      </w:r>
      <w:r w:rsidRPr="009C4598">
        <w:rPr>
          <w:i/>
        </w:rPr>
        <w:t>Derechos y libertades, núm. 36</w:t>
      </w:r>
      <w:r w:rsidRPr="0083780C">
        <w:t>. P. 21.</w:t>
      </w:r>
    </w:p>
  </w:footnote>
  <w:footnote w:id="36">
    <w:p w:rsidR="00C3474F" w:rsidRPr="00681AC9" w:rsidRDefault="00C3474F" w:rsidP="00681AC9">
      <w:pPr>
        <w:pStyle w:val="Textonotapie"/>
        <w:spacing w:line="360" w:lineRule="auto"/>
        <w:rPr>
          <w:lang w:val="en-GB"/>
        </w:rPr>
      </w:pPr>
      <w:r>
        <w:rPr>
          <w:rStyle w:val="Refdenotaalpie"/>
        </w:rPr>
        <w:footnoteRef/>
      </w:r>
      <w:r>
        <w:t xml:space="preserve"> </w:t>
      </w:r>
      <w:proofErr w:type="spellStart"/>
      <w:r w:rsidRPr="00681AC9">
        <w:t>Castellà</w:t>
      </w:r>
      <w:proofErr w:type="spellEnd"/>
      <w:r w:rsidRPr="00681AC9">
        <w:t xml:space="preserve"> Andreu, J.M. (2017). “Los referendos y la Comisión de Venecia”. Diario </w:t>
      </w:r>
      <w:proofErr w:type="spellStart"/>
      <w:r w:rsidRPr="00681AC9">
        <w:t>ElPaís</w:t>
      </w:r>
      <w:proofErr w:type="spellEnd"/>
      <w:r w:rsidRPr="00681AC9">
        <w:t xml:space="preserve">. 17 de mayo de 2017. </w:t>
      </w:r>
      <w:r>
        <w:rPr>
          <w:lang w:val="en-GB"/>
        </w:rPr>
        <w:t xml:space="preserve">Disponible on line: </w:t>
      </w:r>
      <w:r w:rsidRPr="00681AC9">
        <w:rPr>
          <w:lang w:val="en-GB"/>
        </w:rPr>
        <w:t>http://elpais.com/elpais/2017/05/16/opinion/1494956189_937598.html?id_externo_rsoc=TW_CC.</w:t>
      </w:r>
    </w:p>
  </w:footnote>
  <w:footnote w:id="37">
    <w:p w:rsidR="00C3474F" w:rsidRDefault="00C3474F" w:rsidP="005130D6">
      <w:pPr>
        <w:pStyle w:val="Textonotapie1"/>
        <w:spacing w:line="360" w:lineRule="auto"/>
        <w:jc w:val="both"/>
      </w:pPr>
      <w:r w:rsidRPr="00564E1F">
        <w:rPr>
          <w:rStyle w:val="Refdenotaalpie"/>
        </w:rPr>
        <w:footnoteRef/>
      </w:r>
      <w:r w:rsidRPr="00564E1F">
        <w:t xml:space="preserve"> </w:t>
      </w:r>
      <w:r>
        <w:t xml:space="preserve">Grau </w:t>
      </w:r>
      <w:proofErr w:type="spellStart"/>
      <w:r>
        <w:t>Creus</w:t>
      </w:r>
      <w:proofErr w:type="spellEnd"/>
      <w:r>
        <w:t xml:space="preserve">, M. y </w:t>
      </w:r>
      <w:proofErr w:type="spellStart"/>
      <w:r>
        <w:t>Viver</w:t>
      </w:r>
      <w:proofErr w:type="spellEnd"/>
      <w:r>
        <w:t xml:space="preserve"> Pi-</w:t>
      </w:r>
      <w:proofErr w:type="spellStart"/>
      <w:r>
        <w:t>Sunyer</w:t>
      </w:r>
      <w:proofErr w:type="spellEnd"/>
      <w:r>
        <w:t xml:space="preserve">, C. “La </w:t>
      </w:r>
      <w:proofErr w:type="spellStart"/>
      <w:r>
        <w:t>contribució</w:t>
      </w:r>
      <w:proofErr w:type="spellEnd"/>
      <w:r>
        <w:t xml:space="preserve"> del </w:t>
      </w:r>
      <w:proofErr w:type="spellStart"/>
      <w:r>
        <w:t>Parlament</w:t>
      </w:r>
      <w:proofErr w:type="spellEnd"/>
      <w:r>
        <w:t xml:space="preserve"> al </w:t>
      </w:r>
      <w:proofErr w:type="spellStart"/>
      <w:r>
        <w:t>procés</w:t>
      </w:r>
      <w:proofErr w:type="spellEnd"/>
      <w:r>
        <w:t xml:space="preserve"> de </w:t>
      </w:r>
      <w:proofErr w:type="spellStart"/>
      <w:r>
        <w:t>consolidació</w:t>
      </w:r>
      <w:proofErr w:type="spellEnd"/>
      <w:r>
        <w:t xml:space="preserve"> i </w:t>
      </w:r>
      <w:proofErr w:type="spellStart"/>
      <w:r>
        <w:t>desenvolupament</w:t>
      </w:r>
      <w:proofErr w:type="spellEnd"/>
      <w:r>
        <w:t xml:space="preserve"> de l’ </w:t>
      </w:r>
      <w:proofErr w:type="spellStart"/>
      <w:r>
        <w:t>autogovern</w:t>
      </w:r>
      <w:proofErr w:type="spellEnd"/>
      <w:r>
        <w:t xml:space="preserve"> de Catalunya i a la defensa de la </w:t>
      </w:r>
      <w:proofErr w:type="spellStart"/>
      <w:r>
        <w:t>seva</w:t>
      </w:r>
      <w:proofErr w:type="spellEnd"/>
      <w:r>
        <w:t xml:space="preserve"> </w:t>
      </w:r>
      <w:proofErr w:type="spellStart"/>
      <w:r>
        <w:t>identitat</w:t>
      </w:r>
      <w:proofErr w:type="spellEnd"/>
      <w:r>
        <w:t xml:space="preserve"> nacional”. </w:t>
      </w:r>
      <w:r>
        <w:rPr>
          <w:i/>
        </w:rPr>
        <w:t xml:space="preserve">Revista </w:t>
      </w:r>
      <w:proofErr w:type="spellStart"/>
      <w:r>
        <w:rPr>
          <w:i/>
        </w:rPr>
        <w:t>d’</w:t>
      </w:r>
      <w:r w:rsidRPr="00827622">
        <w:rPr>
          <w:i/>
        </w:rPr>
        <w:t>Estudis</w:t>
      </w:r>
      <w:proofErr w:type="spellEnd"/>
      <w:r w:rsidRPr="00827622">
        <w:rPr>
          <w:i/>
        </w:rPr>
        <w:t xml:space="preserve"> </w:t>
      </w:r>
      <w:proofErr w:type="spellStart"/>
      <w:r w:rsidRPr="00827622">
        <w:rPr>
          <w:i/>
        </w:rPr>
        <w:t>Autonòmics</w:t>
      </w:r>
      <w:proofErr w:type="spellEnd"/>
      <w:r w:rsidRPr="00827622">
        <w:rPr>
          <w:i/>
        </w:rPr>
        <w:t xml:space="preserve"> i </w:t>
      </w:r>
      <w:proofErr w:type="spellStart"/>
      <w:r w:rsidRPr="00827622">
        <w:rPr>
          <w:i/>
        </w:rPr>
        <w:t>Federals</w:t>
      </w:r>
      <w:proofErr w:type="spellEnd"/>
      <w:r w:rsidRPr="009C4598">
        <w:rPr>
          <w:i/>
        </w:rPr>
        <w:t>, núm. 18</w:t>
      </w:r>
      <w:r w:rsidR="006D40B9">
        <w:t>. P</w:t>
      </w:r>
      <w:r>
        <w:t>p. 88-125.</w:t>
      </w:r>
    </w:p>
  </w:footnote>
  <w:footnote w:id="38">
    <w:p w:rsidR="00C3474F" w:rsidRDefault="00C3474F" w:rsidP="005130D6">
      <w:pPr>
        <w:pStyle w:val="Textonotapie1"/>
        <w:spacing w:line="360" w:lineRule="auto"/>
        <w:jc w:val="both"/>
      </w:pPr>
      <w:r w:rsidRPr="00564E1F">
        <w:rPr>
          <w:rStyle w:val="Refdenotaalpie"/>
        </w:rPr>
        <w:footnoteRef/>
      </w:r>
      <w:r w:rsidRPr="00564E1F">
        <w:t xml:space="preserve"> </w:t>
      </w:r>
      <w:proofErr w:type="spellStart"/>
      <w:r>
        <w:t>Viver</w:t>
      </w:r>
      <w:proofErr w:type="spellEnd"/>
      <w:r>
        <w:t xml:space="preserve"> Pi-</w:t>
      </w:r>
      <w:proofErr w:type="spellStart"/>
      <w:r>
        <w:t>Sunyer</w:t>
      </w:r>
      <w:proofErr w:type="spellEnd"/>
      <w:r>
        <w:t>. “</w:t>
      </w:r>
      <w:r w:rsidRPr="00564E1F">
        <w:t>Cataluña; reflexiones del derecho a decidir</w:t>
      </w:r>
      <w:r>
        <w:t xml:space="preserve">”, </w:t>
      </w:r>
      <w:r w:rsidRPr="00827622">
        <w:rPr>
          <w:i/>
        </w:rPr>
        <w:t>El futuro territorial…</w:t>
      </w:r>
      <w:r>
        <w:t xml:space="preserve"> (</w:t>
      </w:r>
      <w:proofErr w:type="spellStart"/>
      <w:r>
        <w:t>op</w:t>
      </w:r>
      <w:proofErr w:type="spellEnd"/>
      <w:r>
        <w:t xml:space="preserve">. </w:t>
      </w:r>
      <w:proofErr w:type="spellStart"/>
      <w:r>
        <w:t>cit</w:t>
      </w:r>
      <w:proofErr w:type="spellEnd"/>
      <w:r>
        <w:t>)</w:t>
      </w:r>
      <w:r w:rsidR="006D40B9">
        <w:t>. P</w:t>
      </w:r>
      <w:r w:rsidRPr="00564E1F">
        <w:t>p. 397-</w:t>
      </w:r>
      <w:r>
        <w:t>445.</w:t>
      </w:r>
    </w:p>
  </w:footnote>
  <w:footnote w:id="39">
    <w:p w:rsidR="00C3474F" w:rsidRDefault="00C3474F" w:rsidP="005130D6">
      <w:pPr>
        <w:pStyle w:val="Textonotapie1"/>
        <w:spacing w:line="360" w:lineRule="auto"/>
        <w:jc w:val="both"/>
      </w:pPr>
      <w:r w:rsidRPr="00827622">
        <w:rPr>
          <w:rStyle w:val="Refdenotaalpie"/>
        </w:rPr>
        <w:footnoteRef/>
      </w:r>
      <w:r w:rsidRPr="00827622">
        <w:t xml:space="preserve"> Catalunya. </w:t>
      </w:r>
      <w:proofErr w:type="spellStart"/>
      <w:r w:rsidRPr="00827622">
        <w:t>Parlament</w:t>
      </w:r>
      <w:proofErr w:type="spellEnd"/>
      <w:r w:rsidRPr="00827622">
        <w:t xml:space="preserve"> de Catalunya. (1989). </w:t>
      </w:r>
      <w:r>
        <w:t>“</w:t>
      </w:r>
      <w:proofErr w:type="spellStart"/>
      <w:r w:rsidRPr="00827622">
        <w:t>Resolució</w:t>
      </w:r>
      <w:proofErr w:type="spellEnd"/>
      <w:r w:rsidRPr="00827622">
        <w:t xml:space="preserve"> 98/III del </w:t>
      </w:r>
      <w:proofErr w:type="spellStart"/>
      <w:r w:rsidRPr="00827622">
        <w:t>Parlamen</w:t>
      </w:r>
      <w:r>
        <w:t>t</w:t>
      </w:r>
      <w:proofErr w:type="spellEnd"/>
      <w:r>
        <w:t xml:space="preserve"> de Catalunya, sobre el </w:t>
      </w:r>
      <w:proofErr w:type="spellStart"/>
      <w:r>
        <w:t>dret</w:t>
      </w:r>
      <w:proofErr w:type="spellEnd"/>
      <w:r>
        <w:t xml:space="preserve"> </w:t>
      </w:r>
      <w:proofErr w:type="spellStart"/>
      <w:r>
        <w:t>d’</w:t>
      </w:r>
      <w:r w:rsidRPr="00827622">
        <w:t>autodeterminación</w:t>
      </w:r>
      <w:proofErr w:type="spellEnd"/>
      <w:r w:rsidRPr="00827622">
        <w:t xml:space="preserve"> de la nació catalana</w:t>
      </w:r>
      <w:r>
        <w:t>”</w:t>
      </w:r>
      <w:r w:rsidRPr="00827622">
        <w:t xml:space="preserve">. </w:t>
      </w:r>
      <w:proofErr w:type="spellStart"/>
      <w:r w:rsidRPr="009C4598">
        <w:rPr>
          <w:i/>
        </w:rPr>
        <w:t>Butlletí</w:t>
      </w:r>
      <w:proofErr w:type="spellEnd"/>
      <w:r w:rsidRPr="009C4598">
        <w:rPr>
          <w:i/>
        </w:rPr>
        <w:t xml:space="preserve"> Oficial del Parlamente de Catalunya</w:t>
      </w:r>
      <w:r>
        <w:t>.  18 de diciembre de 1989. P</w:t>
      </w:r>
      <w:r w:rsidRPr="00827622">
        <w:t>p. 7791-7792.</w:t>
      </w:r>
    </w:p>
  </w:footnote>
  <w:footnote w:id="40">
    <w:p w:rsidR="00C3474F" w:rsidRDefault="00C3474F" w:rsidP="005130D6">
      <w:pPr>
        <w:pStyle w:val="Textonotapie1"/>
        <w:spacing w:line="360" w:lineRule="auto"/>
        <w:jc w:val="both"/>
      </w:pPr>
      <w:r w:rsidRPr="00827622">
        <w:rPr>
          <w:rStyle w:val="Refdenotaalpie"/>
        </w:rPr>
        <w:footnoteRef/>
      </w:r>
      <w:r w:rsidRPr="00827622">
        <w:t xml:space="preserve"> Catalunya. </w:t>
      </w:r>
      <w:proofErr w:type="spellStart"/>
      <w:r w:rsidRPr="00827622">
        <w:t>Parlament</w:t>
      </w:r>
      <w:proofErr w:type="spellEnd"/>
      <w:r w:rsidRPr="00827622">
        <w:t xml:space="preserve"> de Catalunya (1991). </w:t>
      </w:r>
      <w:r>
        <w:t>“</w:t>
      </w:r>
      <w:proofErr w:type="spellStart"/>
      <w:r w:rsidRPr="00827622">
        <w:t>Resolució</w:t>
      </w:r>
      <w:proofErr w:type="spellEnd"/>
      <w:r w:rsidRPr="00827622">
        <w:t xml:space="preserve"> 229/11 del </w:t>
      </w:r>
      <w:proofErr w:type="spellStart"/>
      <w:r>
        <w:t>Parlament</w:t>
      </w:r>
      <w:proofErr w:type="spellEnd"/>
      <w:r>
        <w:t xml:space="preserve"> de Catalunya, sobre </w:t>
      </w:r>
      <w:proofErr w:type="spellStart"/>
      <w:r>
        <w:t>l’</w:t>
      </w:r>
      <w:r w:rsidRPr="00827622">
        <w:t>orientación</w:t>
      </w:r>
      <w:proofErr w:type="spellEnd"/>
      <w:r w:rsidRPr="00827622">
        <w:t xml:space="preserve"> política general del </w:t>
      </w:r>
      <w:proofErr w:type="spellStart"/>
      <w:r w:rsidRPr="00827622">
        <w:t>Consell</w:t>
      </w:r>
      <w:proofErr w:type="spellEnd"/>
      <w:r w:rsidRPr="00827622">
        <w:t xml:space="preserve"> </w:t>
      </w:r>
      <w:proofErr w:type="spellStart"/>
      <w:r w:rsidRPr="00827622">
        <w:t>Executiu</w:t>
      </w:r>
      <w:proofErr w:type="spellEnd"/>
      <w:r>
        <w:t>”</w:t>
      </w:r>
      <w:r w:rsidRPr="00827622">
        <w:t xml:space="preserve">. </w:t>
      </w:r>
      <w:proofErr w:type="spellStart"/>
      <w:r w:rsidRPr="009C4598">
        <w:rPr>
          <w:i/>
        </w:rPr>
        <w:t>Butlletí</w:t>
      </w:r>
      <w:proofErr w:type="spellEnd"/>
      <w:r w:rsidRPr="009C4598">
        <w:rPr>
          <w:i/>
        </w:rPr>
        <w:t xml:space="preserve"> Oficial del </w:t>
      </w:r>
      <w:proofErr w:type="spellStart"/>
      <w:r w:rsidRPr="009C4598">
        <w:rPr>
          <w:i/>
        </w:rPr>
        <w:t>Parlament</w:t>
      </w:r>
      <w:proofErr w:type="spellEnd"/>
      <w:r w:rsidRPr="009C4598">
        <w:rPr>
          <w:i/>
        </w:rPr>
        <w:t xml:space="preserve"> de Catalunya</w:t>
      </w:r>
      <w:r w:rsidRPr="00827622">
        <w:t>. 7 de octubre de 1991. p. 20214.</w:t>
      </w:r>
    </w:p>
  </w:footnote>
  <w:footnote w:id="41">
    <w:p w:rsidR="00C3474F" w:rsidRDefault="00C3474F" w:rsidP="005130D6">
      <w:pPr>
        <w:pStyle w:val="Textonotapie1"/>
        <w:spacing w:line="360" w:lineRule="auto"/>
        <w:jc w:val="both"/>
      </w:pPr>
      <w:r w:rsidRPr="00827622">
        <w:rPr>
          <w:rStyle w:val="Refdenotaalpie"/>
        </w:rPr>
        <w:footnoteRef/>
      </w:r>
      <w:r w:rsidRPr="00827622">
        <w:t xml:space="preserve"> Catalunya. </w:t>
      </w:r>
      <w:proofErr w:type="spellStart"/>
      <w:r w:rsidRPr="00827622">
        <w:t>Parlament</w:t>
      </w:r>
      <w:proofErr w:type="spellEnd"/>
      <w:r w:rsidRPr="00827622">
        <w:t xml:space="preserve"> de Catalunya (1998). </w:t>
      </w:r>
      <w:r>
        <w:t>“</w:t>
      </w:r>
      <w:proofErr w:type="spellStart"/>
      <w:r w:rsidRPr="00827622">
        <w:t>Resolució</w:t>
      </w:r>
      <w:proofErr w:type="spellEnd"/>
      <w:r w:rsidRPr="00827622">
        <w:t xml:space="preserve"> 679/V del </w:t>
      </w:r>
      <w:proofErr w:type="spellStart"/>
      <w:r w:rsidRPr="00827622">
        <w:t>Parlament</w:t>
      </w:r>
      <w:proofErr w:type="spellEnd"/>
      <w:r w:rsidRPr="00827622">
        <w:t xml:space="preserve"> de Catalunya sobre </w:t>
      </w:r>
      <w:proofErr w:type="spellStart"/>
      <w:r w:rsidRPr="00827622">
        <w:t>l’orientació</w:t>
      </w:r>
      <w:proofErr w:type="spellEnd"/>
      <w:r w:rsidRPr="00827622">
        <w:t xml:space="preserve"> política general del </w:t>
      </w:r>
      <w:proofErr w:type="spellStart"/>
      <w:r w:rsidRPr="00827622">
        <w:t>Consell</w:t>
      </w:r>
      <w:proofErr w:type="spellEnd"/>
      <w:r w:rsidRPr="00827622">
        <w:t xml:space="preserve"> </w:t>
      </w:r>
      <w:proofErr w:type="spellStart"/>
      <w:r w:rsidRPr="00827622">
        <w:t>Executiu</w:t>
      </w:r>
      <w:proofErr w:type="spellEnd"/>
      <w:r>
        <w:t>”</w:t>
      </w:r>
      <w:r w:rsidRPr="00827622">
        <w:t xml:space="preserve">. </w:t>
      </w:r>
      <w:proofErr w:type="spellStart"/>
      <w:r w:rsidRPr="009C4598">
        <w:rPr>
          <w:i/>
        </w:rPr>
        <w:t>Butlletí</w:t>
      </w:r>
      <w:proofErr w:type="spellEnd"/>
      <w:r w:rsidRPr="009C4598">
        <w:rPr>
          <w:i/>
        </w:rPr>
        <w:t xml:space="preserve"> Oficial del </w:t>
      </w:r>
      <w:proofErr w:type="spellStart"/>
      <w:r w:rsidRPr="009C4598">
        <w:rPr>
          <w:i/>
        </w:rPr>
        <w:t>Parlament</w:t>
      </w:r>
      <w:proofErr w:type="spellEnd"/>
      <w:r w:rsidRPr="009C4598">
        <w:rPr>
          <w:i/>
        </w:rPr>
        <w:t xml:space="preserve"> de Catalunya</w:t>
      </w:r>
      <w:r w:rsidRPr="00827622">
        <w:t>. 9 de diciembre de 1998. Pp. 17-39.</w:t>
      </w:r>
    </w:p>
  </w:footnote>
  <w:footnote w:id="42">
    <w:p w:rsidR="00C3474F" w:rsidRDefault="00C3474F" w:rsidP="005130D6">
      <w:pPr>
        <w:pStyle w:val="Textonotapie1"/>
        <w:spacing w:line="360" w:lineRule="auto"/>
        <w:jc w:val="both"/>
      </w:pPr>
      <w:r w:rsidRPr="006B5AA4">
        <w:rPr>
          <w:rStyle w:val="Refdenotaalpie"/>
        </w:rPr>
        <w:footnoteRef/>
      </w:r>
      <w:r w:rsidRPr="006B5AA4">
        <w:t xml:space="preserve"> Catalunya. </w:t>
      </w:r>
      <w:proofErr w:type="spellStart"/>
      <w:r w:rsidRPr="006B5AA4">
        <w:t>Parlament</w:t>
      </w:r>
      <w:proofErr w:type="spellEnd"/>
      <w:r w:rsidRPr="006B5AA4">
        <w:t xml:space="preserve"> de Catalunya. (1999). </w:t>
      </w:r>
      <w:r>
        <w:t>“</w:t>
      </w:r>
      <w:proofErr w:type="spellStart"/>
      <w:r w:rsidRPr="006B5AA4">
        <w:t>Resolució</w:t>
      </w:r>
      <w:proofErr w:type="spellEnd"/>
      <w:r w:rsidRPr="006B5AA4">
        <w:t xml:space="preserve"> 944/V del </w:t>
      </w:r>
      <w:proofErr w:type="spellStart"/>
      <w:r w:rsidRPr="006B5AA4">
        <w:t>Parlament</w:t>
      </w:r>
      <w:proofErr w:type="spellEnd"/>
      <w:r w:rsidRPr="006B5AA4">
        <w:t xml:space="preserve"> de Catalunya, sobre </w:t>
      </w:r>
      <w:proofErr w:type="spellStart"/>
      <w:r w:rsidRPr="006B5AA4">
        <w:t>els</w:t>
      </w:r>
      <w:proofErr w:type="spellEnd"/>
      <w:r w:rsidRPr="006B5AA4">
        <w:t xml:space="preserve"> </w:t>
      </w:r>
      <w:proofErr w:type="spellStart"/>
      <w:r w:rsidRPr="006B5AA4">
        <w:t>drets</w:t>
      </w:r>
      <w:proofErr w:type="spellEnd"/>
      <w:r w:rsidRPr="006B5AA4">
        <w:t xml:space="preserve"> de Catalunya </w:t>
      </w:r>
      <w:proofErr w:type="spellStart"/>
      <w:r w:rsidRPr="006B5AA4">
        <w:t>com</w:t>
      </w:r>
      <w:proofErr w:type="spellEnd"/>
      <w:r w:rsidRPr="006B5AA4">
        <w:t xml:space="preserve"> a </w:t>
      </w:r>
      <w:proofErr w:type="spellStart"/>
      <w:r w:rsidRPr="006B5AA4">
        <w:t>nacional</w:t>
      </w:r>
      <w:r>
        <w:t>itat</w:t>
      </w:r>
      <w:proofErr w:type="spellEnd"/>
      <w:r>
        <w:t xml:space="preserve"> </w:t>
      </w:r>
      <w:proofErr w:type="spellStart"/>
      <w:r>
        <w:t>històrica</w:t>
      </w:r>
      <w:proofErr w:type="spellEnd"/>
      <w:r>
        <w:t xml:space="preserve"> i </w:t>
      </w:r>
      <w:proofErr w:type="spellStart"/>
      <w:r>
        <w:t>llurs</w:t>
      </w:r>
      <w:proofErr w:type="spellEnd"/>
      <w:r>
        <w:t xml:space="preserve"> formes </w:t>
      </w:r>
      <w:proofErr w:type="spellStart"/>
      <w:r>
        <w:t>d’</w:t>
      </w:r>
      <w:r w:rsidRPr="006B5AA4">
        <w:t>expressió</w:t>
      </w:r>
      <w:proofErr w:type="spellEnd"/>
      <w:r w:rsidRPr="006B5AA4">
        <w:t xml:space="preserve"> </w:t>
      </w:r>
      <w:r>
        <w:t>democrática”</w:t>
      </w:r>
      <w:r w:rsidRPr="006B5AA4">
        <w:t xml:space="preserve">. </w:t>
      </w:r>
      <w:proofErr w:type="spellStart"/>
      <w:r w:rsidRPr="009C4598">
        <w:rPr>
          <w:i/>
        </w:rPr>
        <w:t>Butlletí</w:t>
      </w:r>
      <w:proofErr w:type="spellEnd"/>
      <w:r w:rsidRPr="009C4598">
        <w:rPr>
          <w:i/>
        </w:rPr>
        <w:t xml:space="preserve"> Oficial del </w:t>
      </w:r>
      <w:proofErr w:type="spellStart"/>
      <w:r w:rsidRPr="009C4598">
        <w:rPr>
          <w:i/>
        </w:rPr>
        <w:t>Parlament</w:t>
      </w:r>
      <w:proofErr w:type="spellEnd"/>
      <w:r w:rsidRPr="009C4598">
        <w:rPr>
          <w:i/>
        </w:rPr>
        <w:t xml:space="preserve"> de Catalunya</w:t>
      </w:r>
      <w:r w:rsidRPr="006B5AA4">
        <w:t>. 17 de junio de 1999. Pp. 33118-33120.</w:t>
      </w:r>
    </w:p>
  </w:footnote>
  <w:footnote w:id="43">
    <w:p w:rsidR="00C3474F" w:rsidRDefault="00C3474F" w:rsidP="005130D6">
      <w:pPr>
        <w:pStyle w:val="Textonotapie1"/>
        <w:spacing w:line="360" w:lineRule="auto"/>
        <w:jc w:val="both"/>
      </w:pPr>
      <w:r w:rsidRPr="006B5AA4">
        <w:rPr>
          <w:rStyle w:val="Refdenotaalpie"/>
        </w:rPr>
        <w:footnoteRef/>
      </w:r>
      <w:r w:rsidRPr="006B5AA4">
        <w:t xml:space="preserve"> Catalunya. </w:t>
      </w:r>
      <w:proofErr w:type="spellStart"/>
      <w:r w:rsidRPr="006B5AA4">
        <w:t>Parlament</w:t>
      </w:r>
      <w:proofErr w:type="spellEnd"/>
      <w:r w:rsidRPr="006B5AA4">
        <w:t xml:space="preserve"> de Catalunya. (2003). </w:t>
      </w:r>
      <w:r>
        <w:t>“</w:t>
      </w:r>
      <w:proofErr w:type="spellStart"/>
      <w:r w:rsidRPr="006B5AA4">
        <w:t>Resolució</w:t>
      </w:r>
      <w:proofErr w:type="spellEnd"/>
      <w:r w:rsidRPr="006B5AA4">
        <w:t xml:space="preserve"> 1978/VI del </w:t>
      </w:r>
      <w:proofErr w:type="spellStart"/>
      <w:r w:rsidRPr="006B5AA4">
        <w:t>Parlam</w:t>
      </w:r>
      <w:r>
        <w:t>ent</w:t>
      </w:r>
      <w:proofErr w:type="spellEnd"/>
      <w:r>
        <w:t xml:space="preserve"> de Catalunya, per la </w:t>
      </w:r>
      <w:proofErr w:type="spellStart"/>
      <w:r>
        <w:t>qual</w:t>
      </w:r>
      <w:proofErr w:type="spellEnd"/>
      <w:r>
        <w:t xml:space="preserve"> </w:t>
      </w:r>
      <w:proofErr w:type="spellStart"/>
      <w:r>
        <w:t>s’</w:t>
      </w:r>
      <w:r w:rsidRPr="006B5AA4">
        <w:t>acorda</w:t>
      </w:r>
      <w:proofErr w:type="spellEnd"/>
      <w:r w:rsidRPr="006B5AA4">
        <w:t xml:space="preserve"> de presentar a la Mesa del </w:t>
      </w:r>
      <w:proofErr w:type="spellStart"/>
      <w:r w:rsidRPr="006B5AA4">
        <w:t>Congrés</w:t>
      </w:r>
      <w:proofErr w:type="spellEnd"/>
      <w:r w:rsidRPr="006B5AA4">
        <w:t xml:space="preserve"> </w:t>
      </w:r>
      <w:proofErr w:type="spellStart"/>
      <w:r w:rsidRPr="006B5AA4">
        <w:t>dels</w:t>
      </w:r>
      <w:proofErr w:type="spellEnd"/>
      <w:r w:rsidRPr="006B5AA4">
        <w:t xml:space="preserve"> </w:t>
      </w:r>
      <w:proofErr w:type="spellStart"/>
      <w:r w:rsidRPr="006B5AA4">
        <w:t>Diputats</w:t>
      </w:r>
      <w:proofErr w:type="spellEnd"/>
      <w:r w:rsidRPr="006B5AA4">
        <w:t xml:space="preserve"> la </w:t>
      </w:r>
      <w:proofErr w:type="spellStart"/>
      <w:r w:rsidRPr="006B5AA4">
        <w:t>Proposició</w:t>
      </w:r>
      <w:proofErr w:type="spellEnd"/>
      <w:r w:rsidRPr="006B5AA4">
        <w:t xml:space="preserve"> de </w:t>
      </w:r>
      <w:proofErr w:type="spellStart"/>
      <w:r w:rsidRPr="006B5AA4">
        <w:t>llei</w:t>
      </w:r>
      <w:proofErr w:type="spellEnd"/>
      <w:r w:rsidRPr="006B5AA4">
        <w:t xml:space="preserve"> </w:t>
      </w:r>
      <w:proofErr w:type="spellStart"/>
      <w:r w:rsidRPr="006B5AA4">
        <w:t>orgànica</w:t>
      </w:r>
      <w:proofErr w:type="spellEnd"/>
      <w:r w:rsidRPr="006B5AA4">
        <w:t xml:space="preserve">, per </w:t>
      </w:r>
      <w:proofErr w:type="spellStart"/>
      <w:r w:rsidRPr="006B5AA4">
        <w:t>via</w:t>
      </w:r>
      <w:proofErr w:type="spellEnd"/>
      <w:r w:rsidRPr="006B5AA4">
        <w:t xml:space="preserve"> de </w:t>
      </w:r>
      <w:proofErr w:type="spellStart"/>
      <w:r w:rsidRPr="006B5AA4">
        <w:t>l’article</w:t>
      </w:r>
      <w:proofErr w:type="spellEnd"/>
      <w:r w:rsidRPr="006B5AA4">
        <w:t xml:space="preserve"> 150.2 de la </w:t>
      </w:r>
      <w:proofErr w:type="spellStart"/>
      <w:r w:rsidRPr="006B5AA4">
        <w:t>Constitució</w:t>
      </w:r>
      <w:proofErr w:type="spellEnd"/>
      <w:r w:rsidRPr="006B5AA4">
        <w:t xml:space="preserve">, de </w:t>
      </w:r>
      <w:proofErr w:type="spellStart"/>
      <w:r w:rsidRPr="006B5AA4">
        <w:t>transferència</w:t>
      </w:r>
      <w:proofErr w:type="spellEnd"/>
      <w:r w:rsidRPr="006B5AA4">
        <w:t xml:space="preserve"> a la Generalitat de Catalunya de les </w:t>
      </w:r>
      <w:proofErr w:type="spellStart"/>
      <w:r w:rsidRPr="006B5AA4">
        <w:t>competències</w:t>
      </w:r>
      <w:proofErr w:type="spellEnd"/>
      <w:r w:rsidRPr="006B5AA4">
        <w:t xml:space="preserve"> en </w:t>
      </w:r>
      <w:proofErr w:type="spellStart"/>
      <w:r w:rsidRPr="006B5AA4">
        <w:t>matèria</w:t>
      </w:r>
      <w:proofErr w:type="spellEnd"/>
      <w:r w:rsidRPr="006B5AA4">
        <w:t xml:space="preserve"> </w:t>
      </w:r>
      <w:proofErr w:type="spellStart"/>
      <w:r w:rsidRPr="006B5AA4">
        <w:t>d’autorització</w:t>
      </w:r>
      <w:proofErr w:type="spellEnd"/>
      <w:r w:rsidRPr="006B5AA4">
        <w:t xml:space="preserve"> per a la </w:t>
      </w:r>
      <w:proofErr w:type="spellStart"/>
      <w:r w:rsidRPr="006B5AA4">
        <w:t>convocatòria</w:t>
      </w:r>
      <w:proofErr w:type="spellEnd"/>
      <w:r w:rsidRPr="006B5AA4">
        <w:t xml:space="preserve"> de </w:t>
      </w:r>
      <w:r>
        <w:t>referéndum”</w:t>
      </w:r>
      <w:r w:rsidRPr="006B5AA4">
        <w:t xml:space="preserve">. </w:t>
      </w:r>
      <w:proofErr w:type="spellStart"/>
      <w:r w:rsidRPr="009C4598">
        <w:rPr>
          <w:i/>
        </w:rPr>
        <w:t>Butlletí</w:t>
      </w:r>
      <w:proofErr w:type="spellEnd"/>
      <w:r w:rsidRPr="009C4598">
        <w:rPr>
          <w:i/>
        </w:rPr>
        <w:t xml:space="preserve"> Oficial del </w:t>
      </w:r>
      <w:proofErr w:type="spellStart"/>
      <w:r w:rsidRPr="009C4598">
        <w:rPr>
          <w:i/>
        </w:rPr>
        <w:t>Parlament</w:t>
      </w:r>
      <w:proofErr w:type="spellEnd"/>
      <w:r w:rsidRPr="009C4598">
        <w:rPr>
          <w:i/>
        </w:rPr>
        <w:t xml:space="preserve"> de Catalunya</w:t>
      </w:r>
      <w:r w:rsidRPr="006B5AA4">
        <w:t>. 9 de julio de 2003. Pp. 76-77.</w:t>
      </w:r>
    </w:p>
  </w:footnote>
  <w:footnote w:id="44">
    <w:p w:rsidR="00C3474F" w:rsidRDefault="00C3474F" w:rsidP="005130D6">
      <w:pPr>
        <w:pStyle w:val="Textonotapie1"/>
        <w:spacing w:line="360" w:lineRule="auto"/>
        <w:jc w:val="both"/>
      </w:pPr>
      <w:r w:rsidRPr="006B5AA4">
        <w:rPr>
          <w:rStyle w:val="Refdenotaalpie"/>
        </w:rPr>
        <w:footnoteRef/>
      </w:r>
      <w:r w:rsidRPr="006B5AA4">
        <w:t xml:space="preserve"> Catalunya. </w:t>
      </w:r>
      <w:proofErr w:type="spellStart"/>
      <w:r w:rsidRPr="006B5AA4">
        <w:t>Parlament</w:t>
      </w:r>
      <w:proofErr w:type="spellEnd"/>
      <w:r w:rsidRPr="006B5AA4">
        <w:t xml:space="preserve"> de Catalunya. (2010). </w:t>
      </w:r>
      <w:r>
        <w:t>“</w:t>
      </w:r>
      <w:proofErr w:type="spellStart"/>
      <w:r w:rsidRPr="006B5AA4">
        <w:t>Resolució</w:t>
      </w:r>
      <w:proofErr w:type="spellEnd"/>
      <w:r w:rsidRPr="006B5AA4">
        <w:t xml:space="preserve"> 631/VIII del </w:t>
      </w:r>
      <w:proofErr w:type="spellStart"/>
      <w:r w:rsidRPr="006B5AA4">
        <w:t>Parlament</w:t>
      </w:r>
      <w:proofErr w:type="spellEnd"/>
      <w:r w:rsidRPr="006B5AA4">
        <w:t xml:space="preserve"> </w:t>
      </w:r>
      <w:r>
        <w:t xml:space="preserve">de Catalunya, sobre el </w:t>
      </w:r>
      <w:proofErr w:type="spellStart"/>
      <w:r>
        <w:t>dret</w:t>
      </w:r>
      <w:proofErr w:type="spellEnd"/>
      <w:r>
        <w:t xml:space="preserve"> a </w:t>
      </w:r>
      <w:proofErr w:type="spellStart"/>
      <w:r>
        <w:t>l’</w:t>
      </w:r>
      <w:r w:rsidRPr="006B5AA4">
        <w:t>autodeterminación</w:t>
      </w:r>
      <w:proofErr w:type="spellEnd"/>
      <w:r w:rsidRPr="006B5AA4">
        <w:t xml:space="preserve"> i sobre el </w:t>
      </w:r>
      <w:proofErr w:type="spellStart"/>
      <w:r w:rsidRPr="006B5AA4">
        <w:t>reconeixement</w:t>
      </w:r>
      <w:proofErr w:type="spellEnd"/>
      <w:r w:rsidRPr="006B5AA4">
        <w:t xml:space="preserve"> de les consultes </w:t>
      </w:r>
      <w:proofErr w:type="spellStart"/>
      <w:r w:rsidRPr="006B5AA4">
        <w:t>populars</w:t>
      </w:r>
      <w:proofErr w:type="spellEnd"/>
      <w:r w:rsidRPr="006B5AA4">
        <w:t xml:space="preserve"> sobre la independencia</w:t>
      </w:r>
      <w:r>
        <w:t>”</w:t>
      </w:r>
      <w:r w:rsidRPr="006B5AA4">
        <w:t xml:space="preserve">. </w:t>
      </w:r>
      <w:proofErr w:type="spellStart"/>
      <w:r w:rsidRPr="009C4598">
        <w:rPr>
          <w:i/>
        </w:rPr>
        <w:t>Butlletí</w:t>
      </w:r>
      <w:proofErr w:type="spellEnd"/>
      <w:r w:rsidRPr="009C4598">
        <w:rPr>
          <w:i/>
        </w:rPr>
        <w:t xml:space="preserve"> Oficial del </w:t>
      </w:r>
      <w:proofErr w:type="spellStart"/>
      <w:r w:rsidRPr="009C4598">
        <w:rPr>
          <w:i/>
        </w:rPr>
        <w:t>Parlament</w:t>
      </w:r>
      <w:proofErr w:type="spellEnd"/>
      <w:r w:rsidRPr="009C4598">
        <w:rPr>
          <w:i/>
        </w:rPr>
        <w:t xml:space="preserve"> de Catalunya</w:t>
      </w:r>
      <w:r w:rsidRPr="006B5AA4">
        <w:t>. 22 de marzo de 2010. P. 19.</w:t>
      </w:r>
    </w:p>
  </w:footnote>
  <w:footnote w:id="45">
    <w:p w:rsidR="00C3474F" w:rsidRDefault="00C3474F" w:rsidP="005130D6">
      <w:pPr>
        <w:pStyle w:val="Textonotapie1"/>
        <w:spacing w:line="360" w:lineRule="auto"/>
        <w:jc w:val="both"/>
      </w:pPr>
      <w:r w:rsidRPr="006B5AA4">
        <w:rPr>
          <w:rStyle w:val="Refdenotaalpie"/>
        </w:rPr>
        <w:footnoteRef/>
      </w:r>
      <w:r w:rsidRPr="006B5AA4">
        <w:t xml:space="preserve"> Catalunya. </w:t>
      </w:r>
      <w:proofErr w:type="spellStart"/>
      <w:r w:rsidRPr="006B5AA4">
        <w:t>Parlament</w:t>
      </w:r>
      <w:proofErr w:type="spellEnd"/>
      <w:r w:rsidRPr="006B5AA4">
        <w:t xml:space="preserve"> de Catalunya. </w:t>
      </w:r>
      <w:r>
        <w:t>(2016). “</w:t>
      </w:r>
      <w:proofErr w:type="spellStart"/>
      <w:r w:rsidRPr="006B5AA4">
        <w:t>Resolució</w:t>
      </w:r>
      <w:proofErr w:type="spellEnd"/>
      <w:r w:rsidRPr="006B5AA4">
        <w:t xml:space="preserve"> 6/IX del </w:t>
      </w:r>
      <w:proofErr w:type="spellStart"/>
      <w:r w:rsidRPr="006B5AA4">
        <w:t>Parla</w:t>
      </w:r>
      <w:r>
        <w:t>ment</w:t>
      </w:r>
      <w:proofErr w:type="spellEnd"/>
      <w:r>
        <w:t xml:space="preserve"> de Catalunya per la </w:t>
      </w:r>
      <w:proofErr w:type="spellStart"/>
      <w:r>
        <w:t>qual</w:t>
      </w:r>
      <w:proofErr w:type="spellEnd"/>
      <w:r>
        <w:t xml:space="preserve"> </w:t>
      </w:r>
      <w:proofErr w:type="spellStart"/>
      <w:r>
        <w:t>s’</w:t>
      </w:r>
      <w:r w:rsidRPr="006B5AA4">
        <w:t>aprova</w:t>
      </w:r>
      <w:proofErr w:type="spellEnd"/>
      <w:r w:rsidRPr="006B5AA4">
        <w:t xml:space="preserve"> el dictamen sobre </w:t>
      </w:r>
      <w:proofErr w:type="spellStart"/>
      <w:r w:rsidRPr="006B5AA4">
        <w:t>l’adequació</w:t>
      </w:r>
      <w:proofErr w:type="spellEnd"/>
      <w:r w:rsidRPr="006B5AA4">
        <w:t xml:space="preserve"> al </w:t>
      </w:r>
      <w:proofErr w:type="spellStart"/>
      <w:r w:rsidRPr="006B5AA4">
        <w:t>principi</w:t>
      </w:r>
      <w:proofErr w:type="spellEnd"/>
      <w:r w:rsidRPr="006B5AA4">
        <w:t xml:space="preserve"> de </w:t>
      </w:r>
      <w:proofErr w:type="spellStart"/>
      <w:r w:rsidRPr="006B5AA4">
        <w:t>subsidiarietat</w:t>
      </w:r>
      <w:proofErr w:type="spellEnd"/>
      <w:r w:rsidRPr="006B5AA4">
        <w:t xml:space="preserve"> de la </w:t>
      </w:r>
      <w:proofErr w:type="spellStart"/>
      <w:r w:rsidRPr="006B5AA4">
        <w:t>Proposta</w:t>
      </w:r>
      <w:proofErr w:type="spellEnd"/>
      <w:r w:rsidRPr="006B5AA4">
        <w:t xml:space="preserve"> de directiva del </w:t>
      </w:r>
      <w:proofErr w:type="spellStart"/>
      <w:r w:rsidRPr="006B5AA4">
        <w:t>Parlament</w:t>
      </w:r>
      <w:proofErr w:type="spellEnd"/>
      <w:r w:rsidRPr="006B5AA4">
        <w:t xml:space="preserve"> </w:t>
      </w:r>
      <w:proofErr w:type="spellStart"/>
      <w:r w:rsidRPr="006B5AA4">
        <w:t>Europeu</w:t>
      </w:r>
      <w:proofErr w:type="spellEnd"/>
      <w:r w:rsidRPr="006B5AA4">
        <w:t xml:space="preserve"> i del </w:t>
      </w:r>
      <w:proofErr w:type="spellStart"/>
      <w:r w:rsidRPr="006B5AA4">
        <w:t>Consell</w:t>
      </w:r>
      <w:proofErr w:type="spellEnd"/>
      <w:r w:rsidRPr="006B5AA4">
        <w:t xml:space="preserve"> relativa a la </w:t>
      </w:r>
      <w:proofErr w:type="spellStart"/>
      <w:r w:rsidRPr="006B5AA4">
        <w:t>utilització</w:t>
      </w:r>
      <w:proofErr w:type="spellEnd"/>
      <w:r w:rsidRPr="006B5AA4">
        <w:t xml:space="preserve"> de </w:t>
      </w:r>
      <w:proofErr w:type="spellStart"/>
      <w:r w:rsidRPr="006B5AA4">
        <w:t>dades</w:t>
      </w:r>
      <w:proofErr w:type="spellEnd"/>
      <w:r w:rsidRPr="006B5AA4">
        <w:t xml:space="preserve"> del registre de </w:t>
      </w:r>
      <w:proofErr w:type="spellStart"/>
      <w:r w:rsidRPr="006B5AA4">
        <w:t>noms</w:t>
      </w:r>
      <w:proofErr w:type="spellEnd"/>
      <w:r w:rsidRPr="006B5AA4">
        <w:t xml:space="preserve"> </w:t>
      </w:r>
      <w:proofErr w:type="spellStart"/>
      <w:r w:rsidRPr="006B5AA4">
        <w:t>dels</w:t>
      </w:r>
      <w:proofErr w:type="spellEnd"/>
      <w:r w:rsidRPr="006B5AA4">
        <w:t xml:space="preserve"> </w:t>
      </w:r>
      <w:proofErr w:type="spellStart"/>
      <w:r w:rsidRPr="006B5AA4">
        <w:t>passatgers</w:t>
      </w:r>
      <w:proofErr w:type="spellEnd"/>
      <w:r w:rsidRPr="006B5AA4">
        <w:t xml:space="preserve"> per a la </w:t>
      </w:r>
      <w:proofErr w:type="spellStart"/>
      <w:r w:rsidRPr="006B5AA4">
        <w:t>prevenció</w:t>
      </w:r>
      <w:proofErr w:type="spellEnd"/>
      <w:r w:rsidRPr="006B5AA4">
        <w:t xml:space="preserve">, la </w:t>
      </w:r>
      <w:proofErr w:type="spellStart"/>
      <w:r w:rsidRPr="006B5AA4">
        <w:t>detecció</w:t>
      </w:r>
      <w:proofErr w:type="spellEnd"/>
      <w:r w:rsidRPr="006B5AA4">
        <w:t xml:space="preserve">, la </w:t>
      </w:r>
      <w:proofErr w:type="spellStart"/>
      <w:r w:rsidRPr="006B5AA4">
        <w:t>investigació</w:t>
      </w:r>
      <w:proofErr w:type="spellEnd"/>
      <w:r w:rsidRPr="006B5AA4">
        <w:t xml:space="preserve"> i </w:t>
      </w:r>
      <w:proofErr w:type="spellStart"/>
      <w:r w:rsidRPr="006B5AA4">
        <w:t>d’enjudiciament</w:t>
      </w:r>
      <w:proofErr w:type="spellEnd"/>
      <w:r w:rsidRPr="006B5AA4">
        <w:t xml:space="preserve"> de </w:t>
      </w:r>
      <w:proofErr w:type="spellStart"/>
      <w:r w:rsidRPr="006B5AA4">
        <w:t>delictes</w:t>
      </w:r>
      <w:proofErr w:type="spellEnd"/>
      <w:r w:rsidRPr="006B5AA4">
        <w:t xml:space="preserve"> </w:t>
      </w:r>
      <w:proofErr w:type="spellStart"/>
      <w:r w:rsidRPr="006B5AA4">
        <w:t>terroristes</w:t>
      </w:r>
      <w:proofErr w:type="spellEnd"/>
      <w:r w:rsidRPr="006B5AA4">
        <w:t xml:space="preserve"> i </w:t>
      </w:r>
      <w:proofErr w:type="spellStart"/>
      <w:r w:rsidRPr="006B5AA4">
        <w:t>delictes</w:t>
      </w:r>
      <w:proofErr w:type="spellEnd"/>
      <w:r w:rsidRPr="006B5AA4">
        <w:t xml:space="preserve"> </w:t>
      </w:r>
      <w:proofErr w:type="spellStart"/>
      <w:r w:rsidRPr="006B5AA4">
        <w:t>greus</w:t>
      </w:r>
      <w:proofErr w:type="spellEnd"/>
      <w:r>
        <w:t>”</w:t>
      </w:r>
      <w:r w:rsidRPr="009C4598">
        <w:rPr>
          <w:i/>
        </w:rPr>
        <w:t xml:space="preserve">. </w:t>
      </w:r>
      <w:proofErr w:type="spellStart"/>
      <w:r w:rsidRPr="009C4598">
        <w:rPr>
          <w:i/>
        </w:rPr>
        <w:t>Butlletí</w:t>
      </w:r>
      <w:proofErr w:type="spellEnd"/>
      <w:r w:rsidRPr="009C4598">
        <w:rPr>
          <w:i/>
        </w:rPr>
        <w:t xml:space="preserve"> Oficial del </w:t>
      </w:r>
      <w:proofErr w:type="spellStart"/>
      <w:r w:rsidRPr="009C4598">
        <w:rPr>
          <w:i/>
        </w:rPr>
        <w:t>Parlament</w:t>
      </w:r>
      <w:proofErr w:type="spellEnd"/>
      <w:r w:rsidRPr="009C4598">
        <w:rPr>
          <w:i/>
        </w:rPr>
        <w:t xml:space="preserve"> de Catalunya</w:t>
      </w:r>
      <w:r w:rsidRPr="006B5AA4">
        <w:t>. 19 de enero de 2016. Pp. 170-171.</w:t>
      </w:r>
    </w:p>
  </w:footnote>
  <w:footnote w:id="46">
    <w:p w:rsidR="00C3474F" w:rsidRDefault="00C3474F" w:rsidP="005130D6">
      <w:pPr>
        <w:pStyle w:val="Textonotapie1"/>
        <w:spacing w:line="360" w:lineRule="auto"/>
        <w:jc w:val="both"/>
      </w:pPr>
      <w:r w:rsidRPr="006B5AA4">
        <w:rPr>
          <w:rStyle w:val="Refdenotaalpie"/>
        </w:rPr>
        <w:footnoteRef/>
      </w:r>
      <w:r w:rsidRPr="006B5AA4">
        <w:t xml:space="preserve"> Catalunya. </w:t>
      </w:r>
      <w:proofErr w:type="spellStart"/>
      <w:r w:rsidRPr="006B5AA4">
        <w:t>Parlament</w:t>
      </w:r>
      <w:proofErr w:type="spellEnd"/>
      <w:r w:rsidRPr="006B5AA4">
        <w:t xml:space="preserve"> de Catalunya. </w:t>
      </w:r>
      <w:r>
        <w:t>(2012). “</w:t>
      </w:r>
      <w:proofErr w:type="spellStart"/>
      <w:r w:rsidRPr="006B5AA4">
        <w:t>Resolució</w:t>
      </w:r>
      <w:proofErr w:type="spellEnd"/>
      <w:r w:rsidRPr="006B5AA4">
        <w:t xml:space="preserve"> 742/IX del </w:t>
      </w:r>
      <w:proofErr w:type="spellStart"/>
      <w:r w:rsidRPr="006B5AA4">
        <w:t>Parlament</w:t>
      </w:r>
      <w:proofErr w:type="spellEnd"/>
      <w:r w:rsidRPr="006B5AA4">
        <w:t xml:space="preserve"> de</w:t>
      </w:r>
      <w:r>
        <w:t xml:space="preserve"> Catalunya, sobre </w:t>
      </w:r>
      <w:proofErr w:type="spellStart"/>
      <w:r>
        <w:t>l’</w:t>
      </w:r>
      <w:r w:rsidRPr="006B5AA4">
        <w:t>orientació</w:t>
      </w:r>
      <w:proofErr w:type="spellEnd"/>
      <w:r w:rsidRPr="006B5AA4">
        <w:t xml:space="preserve"> política general del </w:t>
      </w:r>
      <w:proofErr w:type="spellStart"/>
      <w:r w:rsidRPr="006B5AA4">
        <w:t>Govern</w:t>
      </w:r>
      <w:proofErr w:type="spellEnd"/>
      <w:r>
        <w:t>”</w:t>
      </w:r>
      <w:r w:rsidRPr="006B5AA4">
        <w:t xml:space="preserve">. </w:t>
      </w:r>
      <w:proofErr w:type="spellStart"/>
      <w:r w:rsidRPr="009C4598">
        <w:rPr>
          <w:i/>
        </w:rPr>
        <w:t>Butlletí</w:t>
      </w:r>
      <w:proofErr w:type="spellEnd"/>
      <w:r w:rsidRPr="009C4598">
        <w:rPr>
          <w:i/>
        </w:rPr>
        <w:t xml:space="preserve"> Oficial del </w:t>
      </w:r>
      <w:proofErr w:type="spellStart"/>
      <w:r w:rsidRPr="009C4598">
        <w:rPr>
          <w:i/>
        </w:rPr>
        <w:t>Parlament</w:t>
      </w:r>
      <w:proofErr w:type="spellEnd"/>
      <w:r w:rsidRPr="009C4598">
        <w:rPr>
          <w:i/>
        </w:rPr>
        <w:t xml:space="preserve"> de Catalunya</w:t>
      </w:r>
      <w:r w:rsidRPr="006B5AA4">
        <w:t>. Barcelona. 2 de octubre de 2012. Pp. 3-12.</w:t>
      </w:r>
    </w:p>
  </w:footnote>
  <w:footnote w:id="47">
    <w:p w:rsidR="00C3474F" w:rsidRDefault="00C3474F" w:rsidP="005130D6">
      <w:pPr>
        <w:pStyle w:val="Textonotapie1"/>
        <w:spacing w:line="360" w:lineRule="auto"/>
        <w:jc w:val="both"/>
      </w:pPr>
      <w:r w:rsidRPr="006B5AA4">
        <w:rPr>
          <w:rStyle w:val="Refdenotaalpie"/>
        </w:rPr>
        <w:footnoteRef/>
      </w:r>
      <w:r w:rsidRPr="006B5AA4">
        <w:t xml:space="preserve"> Catalunya. </w:t>
      </w:r>
      <w:proofErr w:type="spellStart"/>
      <w:r w:rsidRPr="006B5AA4">
        <w:t>Parlament</w:t>
      </w:r>
      <w:proofErr w:type="spellEnd"/>
      <w:r w:rsidRPr="006B5AA4">
        <w:t xml:space="preserve"> de Catalunya. </w:t>
      </w:r>
      <w:r>
        <w:t>(2013). “</w:t>
      </w:r>
      <w:proofErr w:type="spellStart"/>
      <w:r w:rsidRPr="006B5AA4">
        <w:t>Resolució</w:t>
      </w:r>
      <w:proofErr w:type="spellEnd"/>
      <w:r w:rsidRPr="006B5AA4">
        <w:t xml:space="preserve"> 5/X del </w:t>
      </w:r>
      <w:proofErr w:type="spellStart"/>
      <w:r w:rsidRPr="006B5AA4">
        <w:t>Parlam</w:t>
      </w:r>
      <w:r>
        <w:t>ent</w:t>
      </w:r>
      <w:proofErr w:type="spellEnd"/>
      <w:r>
        <w:t xml:space="preserve"> de Catalunya, per la </w:t>
      </w:r>
      <w:proofErr w:type="spellStart"/>
      <w:r>
        <w:t>qual</w:t>
      </w:r>
      <w:proofErr w:type="spellEnd"/>
      <w:r>
        <w:t xml:space="preserve"> </w:t>
      </w:r>
      <w:proofErr w:type="spellStart"/>
      <w:r>
        <w:t>s’</w:t>
      </w:r>
      <w:r w:rsidRPr="006B5AA4">
        <w:t>aprova</w:t>
      </w:r>
      <w:proofErr w:type="spellEnd"/>
      <w:r w:rsidRPr="006B5AA4">
        <w:t xml:space="preserve"> la </w:t>
      </w:r>
      <w:proofErr w:type="spellStart"/>
      <w:r w:rsidRPr="006B5AA4">
        <w:t>Declaració</w:t>
      </w:r>
      <w:proofErr w:type="spellEnd"/>
      <w:r w:rsidRPr="006B5AA4">
        <w:t xml:space="preserve"> de </w:t>
      </w:r>
      <w:proofErr w:type="spellStart"/>
      <w:r w:rsidRPr="006B5AA4">
        <w:t>sobirania</w:t>
      </w:r>
      <w:proofErr w:type="spellEnd"/>
      <w:r w:rsidRPr="006B5AA4">
        <w:t xml:space="preserve"> i del </w:t>
      </w:r>
      <w:proofErr w:type="spellStart"/>
      <w:r w:rsidRPr="006B5AA4">
        <w:t>dret</w:t>
      </w:r>
      <w:proofErr w:type="spellEnd"/>
      <w:r w:rsidRPr="006B5AA4">
        <w:t xml:space="preserve"> a decidir del </w:t>
      </w:r>
      <w:proofErr w:type="spellStart"/>
      <w:r w:rsidRPr="006B5AA4">
        <w:t>poble</w:t>
      </w:r>
      <w:proofErr w:type="spellEnd"/>
      <w:r w:rsidRPr="006B5AA4">
        <w:t xml:space="preserve"> de Catalunya</w:t>
      </w:r>
      <w:r>
        <w:t>”</w:t>
      </w:r>
      <w:r w:rsidRPr="006B5AA4">
        <w:t xml:space="preserve">. </w:t>
      </w:r>
      <w:proofErr w:type="spellStart"/>
      <w:r w:rsidRPr="009C4598">
        <w:rPr>
          <w:i/>
        </w:rPr>
        <w:t>Butlletí</w:t>
      </w:r>
      <w:proofErr w:type="spellEnd"/>
      <w:r w:rsidRPr="009C4598">
        <w:rPr>
          <w:i/>
        </w:rPr>
        <w:t xml:space="preserve"> Oficial del </w:t>
      </w:r>
      <w:proofErr w:type="spellStart"/>
      <w:r w:rsidRPr="009C4598">
        <w:rPr>
          <w:i/>
        </w:rPr>
        <w:t>Parlament</w:t>
      </w:r>
      <w:proofErr w:type="spellEnd"/>
      <w:r w:rsidRPr="009C4598">
        <w:rPr>
          <w:i/>
        </w:rPr>
        <w:t xml:space="preserve"> de Catalunya</w:t>
      </w:r>
      <w:r>
        <w:t xml:space="preserve">. </w:t>
      </w:r>
      <w:r w:rsidRPr="006B5AA4">
        <w:t>23 de enero de 2013. Pp. 1010-1014.</w:t>
      </w:r>
    </w:p>
  </w:footnote>
  <w:footnote w:id="48">
    <w:p w:rsidR="00C3474F" w:rsidRDefault="00C3474F" w:rsidP="005130D6">
      <w:pPr>
        <w:pStyle w:val="Textonotapie1"/>
        <w:spacing w:line="360" w:lineRule="auto"/>
        <w:jc w:val="both"/>
      </w:pPr>
      <w:r w:rsidRPr="0048379A">
        <w:rPr>
          <w:rStyle w:val="Refdenotaalpie"/>
        </w:rPr>
        <w:footnoteRef/>
      </w:r>
      <w:r w:rsidRPr="0048379A">
        <w:t xml:space="preserve"> Catalunya. </w:t>
      </w:r>
      <w:proofErr w:type="spellStart"/>
      <w:r w:rsidRPr="0048379A">
        <w:t>Parlament</w:t>
      </w:r>
      <w:proofErr w:type="spellEnd"/>
      <w:r w:rsidRPr="0048379A">
        <w:t xml:space="preserve"> de Catalunya. </w:t>
      </w:r>
      <w:r>
        <w:t>(2013). “</w:t>
      </w:r>
      <w:proofErr w:type="spellStart"/>
      <w:r w:rsidRPr="0048379A">
        <w:t>Resolució</w:t>
      </w:r>
      <w:proofErr w:type="spellEnd"/>
      <w:r w:rsidRPr="0048379A">
        <w:t xml:space="preserve"> 17/X del </w:t>
      </w:r>
      <w:proofErr w:type="spellStart"/>
      <w:r w:rsidRPr="0048379A">
        <w:t>Parlament</w:t>
      </w:r>
      <w:proofErr w:type="spellEnd"/>
      <w:r w:rsidRPr="0048379A">
        <w:t xml:space="preserve"> de Catalunya, sobre la iniciación </w:t>
      </w:r>
      <w:proofErr w:type="spellStart"/>
      <w:r w:rsidRPr="0048379A">
        <w:t>d’un</w:t>
      </w:r>
      <w:proofErr w:type="spellEnd"/>
      <w:r w:rsidRPr="0048379A">
        <w:t xml:space="preserve"> </w:t>
      </w:r>
      <w:proofErr w:type="spellStart"/>
      <w:r w:rsidRPr="0048379A">
        <w:t>diàleg</w:t>
      </w:r>
      <w:proofErr w:type="spellEnd"/>
      <w:r w:rsidRPr="0048379A">
        <w:t xml:space="preserve"> </w:t>
      </w:r>
      <w:proofErr w:type="spellStart"/>
      <w:r w:rsidRPr="0048379A">
        <w:t>amb</w:t>
      </w:r>
      <w:proofErr w:type="spellEnd"/>
      <w:r w:rsidRPr="0048379A">
        <w:t xml:space="preserve"> el </w:t>
      </w:r>
      <w:proofErr w:type="spellStart"/>
      <w:r w:rsidRPr="0048379A">
        <w:t>Govern</w:t>
      </w:r>
      <w:proofErr w:type="spellEnd"/>
      <w:r w:rsidRPr="0048379A">
        <w:t xml:space="preserve"> de </w:t>
      </w:r>
      <w:proofErr w:type="spellStart"/>
      <w:r w:rsidRPr="0048379A">
        <w:t>l’Estat</w:t>
      </w:r>
      <w:proofErr w:type="spellEnd"/>
      <w:r w:rsidRPr="0048379A">
        <w:t xml:space="preserve"> per a </w:t>
      </w:r>
      <w:proofErr w:type="spellStart"/>
      <w:r w:rsidRPr="0048379A">
        <w:t>fer</w:t>
      </w:r>
      <w:proofErr w:type="spellEnd"/>
      <w:r w:rsidRPr="0048379A">
        <w:t xml:space="preserve"> </w:t>
      </w:r>
      <w:proofErr w:type="spellStart"/>
      <w:r w:rsidRPr="0048379A">
        <w:t>possible</w:t>
      </w:r>
      <w:proofErr w:type="spellEnd"/>
      <w:r w:rsidRPr="0048379A">
        <w:t xml:space="preserve"> la celebración </w:t>
      </w:r>
      <w:proofErr w:type="spellStart"/>
      <w:r w:rsidRPr="0048379A">
        <w:t>d’una</w:t>
      </w:r>
      <w:proofErr w:type="spellEnd"/>
      <w:r w:rsidRPr="0048379A">
        <w:t xml:space="preserve"> consulta sobre el </w:t>
      </w:r>
      <w:proofErr w:type="spellStart"/>
      <w:r w:rsidRPr="0048379A">
        <w:t>futur</w:t>
      </w:r>
      <w:proofErr w:type="spellEnd"/>
      <w:r w:rsidRPr="0048379A">
        <w:t xml:space="preserve"> de Catalunya</w:t>
      </w:r>
      <w:r>
        <w:t>”</w:t>
      </w:r>
      <w:r w:rsidRPr="0048379A">
        <w:t xml:space="preserve">. </w:t>
      </w:r>
      <w:proofErr w:type="spellStart"/>
      <w:r w:rsidRPr="009C4598">
        <w:rPr>
          <w:i/>
        </w:rPr>
        <w:t>Butlletí</w:t>
      </w:r>
      <w:proofErr w:type="spellEnd"/>
      <w:r w:rsidRPr="009C4598">
        <w:rPr>
          <w:i/>
        </w:rPr>
        <w:t xml:space="preserve"> Oficial del </w:t>
      </w:r>
      <w:proofErr w:type="spellStart"/>
      <w:r w:rsidRPr="009C4598">
        <w:rPr>
          <w:i/>
        </w:rPr>
        <w:t>Parlament</w:t>
      </w:r>
      <w:proofErr w:type="spellEnd"/>
      <w:r w:rsidRPr="009C4598">
        <w:rPr>
          <w:i/>
        </w:rPr>
        <w:t xml:space="preserve"> de Catalunya</w:t>
      </w:r>
      <w:r w:rsidRPr="0048379A">
        <w:t>. Barcelona. 13 de marzo de 2013. Pp. 17-18.</w:t>
      </w:r>
    </w:p>
  </w:footnote>
  <w:footnote w:id="49">
    <w:p w:rsidR="00C3474F" w:rsidRDefault="00C3474F" w:rsidP="005130D6">
      <w:pPr>
        <w:pStyle w:val="Textonotapie1"/>
        <w:spacing w:line="360" w:lineRule="auto"/>
        <w:jc w:val="both"/>
      </w:pPr>
      <w:r w:rsidRPr="0048379A">
        <w:rPr>
          <w:rStyle w:val="Refdenotaalpie"/>
        </w:rPr>
        <w:footnoteRef/>
      </w:r>
      <w:r w:rsidRPr="0048379A">
        <w:t xml:space="preserve"> Catalunya. </w:t>
      </w:r>
      <w:proofErr w:type="spellStart"/>
      <w:r w:rsidRPr="0048379A">
        <w:t>Parlament</w:t>
      </w:r>
      <w:proofErr w:type="spellEnd"/>
      <w:r w:rsidRPr="0048379A">
        <w:t xml:space="preserve"> de Catalunya. </w:t>
      </w:r>
      <w:r>
        <w:t>(2014). “</w:t>
      </w:r>
      <w:proofErr w:type="spellStart"/>
      <w:r w:rsidRPr="0048379A">
        <w:t>Resolució</w:t>
      </w:r>
      <w:proofErr w:type="spellEnd"/>
      <w:r w:rsidRPr="0048379A">
        <w:t xml:space="preserve"> 479/X del </w:t>
      </w:r>
      <w:proofErr w:type="spellStart"/>
      <w:r w:rsidRPr="0048379A">
        <w:t>Parlament</w:t>
      </w:r>
      <w:proofErr w:type="spellEnd"/>
      <w:r w:rsidRPr="0048379A">
        <w:t xml:space="preserve"> de Catalunya, per la </w:t>
      </w:r>
      <w:proofErr w:type="spellStart"/>
      <w:r w:rsidRPr="0048379A">
        <w:t>qual</w:t>
      </w:r>
      <w:proofErr w:type="spellEnd"/>
      <w:r w:rsidRPr="0048379A">
        <w:t xml:space="preserve"> </w:t>
      </w:r>
      <w:proofErr w:type="spellStart"/>
      <w:r w:rsidRPr="0048379A">
        <w:t>s’acorda</w:t>
      </w:r>
      <w:proofErr w:type="spellEnd"/>
      <w:r w:rsidRPr="0048379A">
        <w:t xml:space="preserve"> de presentar a la Mesa del </w:t>
      </w:r>
      <w:proofErr w:type="spellStart"/>
      <w:r w:rsidRPr="0048379A">
        <w:t>Congrés</w:t>
      </w:r>
      <w:proofErr w:type="spellEnd"/>
      <w:r w:rsidRPr="0048379A">
        <w:t xml:space="preserve"> </w:t>
      </w:r>
      <w:proofErr w:type="spellStart"/>
      <w:r w:rsidRPr="0048379A">
        <w:t>dels</w:t>
      </w:r>
      <w:proofErr w:type="spellEnd"/>
      <w:r w:rsidRPr="0048379A">
        <w:t xml:space="preserve"> </w:t>
      </w:r>
      <w:proofErr w:type="spellStart"/>
      <w:r w:rsidRPr="0048379A">
        <w:t>Diputats</w:t>
      </w:r>
      <w:proofErr w:type="spellEnd"/>
      <w:r w:rsidRPr="0048379A">
        <w:t xml:space="preserve"> la </w:t>
      </w:r>
      <w:proofErr w:type="spellStart"/>
      <w:r w:rsidRPr="0048379A">
        <w:t>Proposició</w:t>
      </w:r>
      <w:proofErr w:type="spellEnd"/>
      <w:r w:rsidRPr="0048379A">
        <w:t xml:space="preserve"> de </w:t>
      </w:r>
      <w:proofErr w:type="spellStart"/>
      <w:r w:rsidRPr="0048379A">
        <w:t>llei</w:t>
      </w:r>
      <w:proofErr w:type="spellEnd"/>
      <w:r w:rsidRPr="0048379A">
        <w:t xml:space="preserve"> </w:t>
      </w:r>
      <w:proofErr w:type="spellStart"/>
      <w:r w:rsidRPr="0048379A">
        <w:t>orgànica</w:t>
      </w:r>
      <w:proofErr w:type="spellEnd"/>
      <w:r w:rsidRPr="0048379A">
        <w:t xml:space="preserve"> de </w:t>
      </w:r>
      <w:proofErr w:type="spellStart"/>
      <w:r w:rsidRPr="0048379A">
        <w:t>delegació</w:t>
      </w:r>
      <w:proofErr w:type="spellEnd"/>
      <w:r w:rsidRPr="0048379A">
        <w:t xml:space="preserve"> a la Generalitat de Catalunya de la </w:t>
      </w:r>
      <w:proofErr w:type="spellStart"/>
      <w:r w:rsidRPr="0048379A">
        <w:t>competència</w:t>
      </w:r>
      <w:proofErr w:type="spellEnd"/>
      <w:r w:rsidRPr="0048379A">
        <w:t xml:space="preserve"> per a </w:t>
      </w:r>
      <w:proofErr w:type="spellStart"/>
      <w:r w:rsidRPr="0048379A">
        <w:t>autoritzar</w:t>
      </w:r>
      <w:proofErr w:type="spellEnd"/>
      <w:r w:rsidRPr="0048379A">
        <w:t xml:space="preserve">, convocar i celebrar un </w:t>
      </w:r>
      <w:proofErr w:type="spellStart"/>
      <w:r w:rsidRPr="0048379A">
        <w:t>referèndum</w:t>
      </w:r>
      <w:proofErr w:type="spellEnd"/>
      <w:r w:rsidRPr="0048379A">
        <w:t xml:space="preserve"> sobre el </w:t>
      </w:r>
      <w:proofErr w:type="spellStart"/>
      <w:r w:rsidRPr="0048379A">
        <w:t>futur</w:t>
      </w:r>
      <w:proofErr w:type="spellEnd"/>
      <w:r w:rsidRPr="0048379A">
        <w:t xml:space="preserve"> </w:t>
      </w:r>
      <w:proofErr w:type="spellStart"/>
      <w:r w:rsidRPr="0048379A">
        <w:t>polític</w:t>
      </w:r>
      <w:proofErr w:type="spellEnd"/>
      <w:r w:rsidRPr="0048379A">
        <w:t xml:space="preserve"> de Catalunya</w:t>
      </w:r>
      <w:r>
        <w:t>”</w:t>
      </w:r>
      <w:r w:rsidRPr="0048379A">
        <w:t xml:space="preserve">. </w:t>
      </w:r>
      <w:proofErr w:type="spellStart"/>
      <w:r w:rsidRPr="009C4598">
        <w:rPr>
          <w:i/>
        </w:rPr>
        <w:t>Butlletí</w:t>
      </w:r>
      <w:proofErr w:type="spellEnd"/>
      <w:r w:rsidRPr="009C4598">
        <w:rPr>
          <w:i/>
        </w:rPr>
        <w:t xml:space="preserve"> Oficial del </w:t>
      </w:r>
      <w:proofErr w:type="spellStart"/>
      <w:r w:rsidRPr="009C4598">
        <w:rPr>
          <w:i/>
        </w:rPr>
        <w:t>Parlament</w:t>
      </w:r>
      <w:proofErr w:type="spellEnd"/>
      <w:r w:rsidRPr="009C4598">
        <w:rPr>
          <w:i/>
        </w:rPr>
        <w:t xml:space="preserve"> de Catalunya</w:t>
      </w:r>
      <w:r w:rsidRPr="0048379A">
        <w:t>. 17 de enero de 2014. Pp. 3392-3396.</w:t>
      </w:r>
    </w:p>
  </w:footnote>
  <w:footnote w:id="50">
    <w:p w:rsidR="00C3474F" w:rsidRDefault="00C3474F" w:rsidP="005130D6">
      <w:pPr>
        <w:pStyle w:val="Textonotapie1"/>
        <w:spacing w:line="360" w:lineRule="auto"/>
        <w:jc w:val="both"/>
      </w:pPr>
      <w:r w:rsidRPr="00B94396">
        <w:rPr>
          <w:rStyle w:val="Refdenotaalpie"/>
        </w:rPr>
        <w:footnoteRef/>
      </w:r>
      <w:r w:rsidRPr="00B94396">
        <w:t xml:space="preserve"> Catalunya. </w:t>
      </w:r>
      <w:proofErr w:type="spellStart"/>
      <w:r w:rsidRPr="00B94396">
        <w:t>Parlament</w:t>
      </w:r>
      <w:proofErr w:type="spellEnd"/>
      <w:r w:rsidRPr="00B94396">
        <w:t xml:space="preserve"> de Catalunya. </w:t>
      </w:r>
      <w:r>
        <w:t xml:space="preserve">(2014). </w:t>
      </w:r>
      <w:r w:rsidRPr="00B94396">
        <w:t>“</w:t>
      </w:r>
      <w:proofErr w:type="spellStart"/>
      <w:r w:rsidRPr="00B94396">
        <w:t>Llei</w:t>
      </w:r>
      <w:proofErr w:type="spellEnd"/>
      <w:r w:rsidRPr="00B94396">
        <w:t xml:space="preserve"> 10/2014 de consultes </w:t>
      </w:r>
      <w:proofErr w:type="spellStart"/>
      <w:r w:rsidRPr="00B94396">
        <w:t>populars</w:t>
      </w:r>
      <w:proofErr w:type="spellEnd"/>
      <w:r w:rsidRPr="00B94396">
        <w:t xml:space="preserve"> no </w:t>
      </w:r>
      <w:proofErr w:type="spellStart"/>
      <w:r w:rsidRPr="00B94396">
        <w:t>refrendàries</w:t>
      </w:r>
      <w:proofErr w:type="spellEnd"/>
      <w:r w:rsidRPr="00B94396">
        <w:t xml:space="preserve"> i </w:t>
      </w:r>
      <w:proofErr w:type="spellStart"/>
      <w:r w:rsidRPr="00B94396">
        <w:t>d’altres</w:t>
      </w:r>
      <w:proofErr w:type="spellEnd"/>
      <w:r w:rsidRPr="00B94396">
        <w:t xml:space="preserve"> formes de participación ciudadana”. </w:t>
      </w:r>
      <w:proofErr w:type="spellStart"/>
      <w:r w:rsidRPr="00F75775">
        <w:rPr>
          <w:i/>
        </w:rPr>
        <w:t>Butlletí</w:t>
      </w:r>
      <w:proofErr w:type="spellEnd"/>
      <w:r w:rsidRPr="00F75775">
        <w:rPr>
          <w:i/>
        </w:rPr>
        <w:t xml:space="preserve"> Oficial del </w:t>
      </w:r>
      <w:proofErr w:type="spellStart"/>
      <w:r w:rsidRPr="00F75775">
        <w:rPr>
          <w:i/>
        </w:rPr>
        <w:t>Parlament</w:t>
      </w:r>
      <w:proofErr w:type="spellEnd"/>
      <w:r w:rsidRPr="00F75775">
        <w:rPr>
          <w:i/>
        </w:rPr>
        <w:t xml:space="preserve"> de Catalunya núm. 395</w:t>
      </w:r>
      <w:r w:rsidRPr="00B94396">
        <w:t xml:space="preserve">. 27 de septiembre de 2014. Pp. 3-16. </w:t>
      </w:r>
      <w:proofErr w:type="spellStart"/>
      <w:r w:rsidRPr="00063DC0">
        <w:rPr>
          <w:i/>
        </w:rPr>
        <w:t>Diari</w:t>
      </w:r>
      <w:proofErr w:type="spellEnd"/>
      <w:r w:rsidRPr="00063DC0">
        <w:rPr>
          <w:i/>
        </w:rPr>
        <w:t xml:space="preserve"> Oficial de la Generalitat de Catalunya núm. 6715</w:t>
      </w:r>
      <w:r w:rsidRPr="00B94396">
        <w:t>. 27 de septiembre de 2014. Pp. 3-19.</w:t>
      </w:r>
    </w:p>
  </w:footnote>
  <w:footnote w:id="51">
    <w:p w:rsidR="00C3474F" w:rsidRDefault="00C3474F" w:rsidP="005130D6">
      <w:pPr>
        <w:pStyle w:val="Textonotapie1"/>
        <w:spacing w:line="360" w:lineRule="auto"/>
        <w:jc w:val="both"/>
      </w:pPr>
      <w:r w:rsidRPr="00B94396">
        <w:rPr>
          <w:rStyle w:val="Refdenotaalpie"/>
        </w:rPr>
        <w:footnoteRef/>
      </w:r>
      <w:r w:rsidRPr="00B94396">
        <w:t xml:space="preserve"> Catalunya. </w:t>
      </w:r>
      <w:proofErr w:type="spellStart"/>
      <w:r w:rsidRPr="00B94396">
        <w:t>Presidència</w:t>
      </w:r>
      <w:proofErr w:type="spellEnd"/>
      <w:r w:rsidRPr="00B94396">
        <w:t xml:space="preserve"> de la Generalitat de Catalunya. </w:t>
      </w:r>
      <w:r>
        <w:t xml:space="preserve">(2014). </w:t>
      </w:r>
      <w:r w:rsidRPr="00B94396">
        <w:t>“</w:t>
      </w:r>
      <w:proofErr w:type="spellStart"/>
      <w:r w:rsidRPr="00B94396">
        <w:t>Decret</w:t>
      </w:r>
      <w:proofErr w:type="spellEnd"/>
      <w:r w:rsidRPr="00B94396">
        <w:t xml:space="preserve"> 129/2014, de 27 de </w:t>
      </w:r>
      <w:proofErr w:type="spellStart"/>
      <w:r w:rsidRPr="00B94396">
        <w:t>setembre</w:t>
      </w:r>
      <w:proofErr w:type="spellEnd"/>
      <w:r w:rsidRPr="00B94396">
        <w:t xml:space="preserve">, de </w:t>
      </w:r>
      <w:proofErr w:type="spellStart"/>
      <w:r w:rsidRPr="00B94396">
        <w:t>convocatòria</w:t>
      </w:r>
      <w:proofErr w:type="spellEnd"/>
      <w:r w:rsidRPr="00B94396">
        <w:t xml:space="preserve"> de la consulta popular no </w:t>
      </w:r>
      <w:proofErr w:type="spellStart"/>
      <w:r w:rsidRPr="00B94396">
        <w:t>referendària</w:t>
      </w:r>
      <w:proofErr w:type="spellEnd"/>
      <w:r w:rsidRPr="00B94396">
        <w:t xml:space="preserve"> sobre el </w:t>
      </w:r>
      <w:proofErr w:type="spellStart"/>
      <w:r w:rsidRPr="00B94396">
        <w:t>futur</w:t>
      </w:r>
      <w:proofErr w:type="spellEnd"/>
      <w:r w:rsidRPr="00B94396">
        <w:t xml:space="preserve"> </w:t>
      </w:r>
      <w:proofErr w:type="spellStart"/>
      <w:r w:rsidRPr="00B94396">
        <w:t>polític</w:t>
      </w:r>
      <w:proofErr w:type="spellEnd"/>
      <w:r w:rsidRPr="00B94396">
        <w:t xml:space="preserve"> de Catalunya”. </w:t>
      </w:r>
      <w:proofErr w:type="spellStart"/>
      <w:r w:rsidRPr="00063DC0">
        <w:rPr>
          <w:i/>
        </w:rPr>
        <w:t>Diari</w:t>
      </w:r>
      <w:proofErr w:type="spellEnd"/>
      <w:r w:rsidRPr="00063DC0">
        <w:rPr>
          <w:i/>
        </w:rPr>
        <w:t xml:space="preserve"> Oficial de la Generalitat de Catalunya núm. 6715</w:t>
      </w:r>
      <w:r w:rsidRPr="00B94396">
        <w:t>. Barcelona. 27 de septiembre de 2014. Pp. 20-43.</w:t>
      </w:r>
    </w:p>
  </w:footnote>
  <w:footnote w:id="52">
    <w:p w:rsidR="00C3474F" w:rsidRDefault="00C3474F" w:rsidP="005130D6">
      <w:pPr>
        <w:pStyle w:val="Textonotapie1"/>
        <w:spacing w:line="360" w:lineRule="auto"/>
        <w:jc w:val="both"/>
      </w:pPr>
      <w:r w:rsidRPr="00B94396">
        <w:rPr>
          <w:rStyle w:val="Refdenotaalpie"/>
        </w:rPr>
        <w:footnoteRef/>
      </w:r>
      <w:r w:rsidRPr="00B94396">
        <w:t xml:space="preserve"> España. Congreso de los Diputados.</w:t>
      </w:r>
      <w:r>
        <w:t xml:space="preserve"> (2006).</w:t>
      </w:r>
      <w:r w:rsidRPr="00B94396">
        <w:t xml:space="preserve"> “Ley Orgánica 6/2006, de 19 de julio, de reforma del Estatuto de Autonomía de Cataluña”. </w:t>
      </w:r>
      <w:r w:rsidRPr="00063DC0">
        <w:rPr>
          <w:i/>
        </w:rPr>
        <w:t>Boletín Oficial del Estado núm. 172</w:t>
      </w:r>
      <w:r w:rsidRPr="00B94396">
        <w:t>. Madrid. 20 de julio de 2006. Pp. 27269-27310.</w:t>
      </w:r>
    </w:p>
  </w:footnote>
  <w:footnote w:id="53">
    <w:p w:rsidR="00C3474F" w:rsidRDefault="00C3474F" w:rsidP="005130D6">
      <w:pPr>
        <w:pStyle w:val="Textonotapie1"/>
        <w:spacing w:line="360" w:lineRule="auto"/>
        <w:jc w:val="both"/>
      </w:pPr>
      <w:r w:rsidRPr="00740D5C">
        <w:rPr>
          <w:rStyle w:val="Refdenotaalpie"/>
        </w:rPr>
        <w:footnoteRef/>
      </w:r>
      <w:r w:rsidRPr="00740D5C">
        <w:t xml:space="preserve"> Catalunya. </w:t>
      </w:r>
      <w:proofErr w:type="spellStart"/>
      <w:r w:rsidRPr="00740D5C">
        <w:t>Parlament</w:t>
      </w:r>
      <w:proofErr w:type="spellEnd"/>
      <w:r w:rsidRPr="00740D5C">
        <w:t xml:space="preserve"> de Catalunya. </w:t>
      </w:r>
      <w:r>
        <w:t xml:space="preserve">(2015). </w:t>
      </w:r>
      <w:r w:rsidR="006D40B9">
        <w:t>“</w:t>
      </w:r>
      <w:proofErr w:type="spellStart"/>
      <w:r w:rsidRPr="00740D5C">
        <w:t>Resolució</w:t>
      </w:r>
      <w:proofErr w:type="spellEnd"/>
      <w:r w:rsidRPr="00740D5C">
        <w:t xml:space="preserve"> 1129/X del </w:t>
      </w:r>
      <w:proofErr w:type="spellStart"/>
      <w:r w:rsidRPr="00740D5C">
        <w:t>Parlament</w:t>
      </w:r>
      <w:proofErr w:type="spellEnd"/>
      <w:r w:rsidRPr="00740D5C">
        <w:t xml:space="preserve"> de Catalunya, </w:t>
      </w:r>
      <w:proofErr w:type="spellStart"/>
      <w:r w:rsidRPr="00740D5C">
        <w:t>d’agraïment</w:t>
      </w:r>
      <w:proofErr w:type="spellEnd"/>
      <w:r w:rsidRPr="00740D5C">
        <w:t xml:space="preserve"> al </w:t>
      </w:r>
      <w:proofErr w:type="spellStart"/>
      <w:r w:rsidRPr="00740D5C">
        <w:t>Parlament</w:t>
      </w:r>
      <w:proofErr w:type="spellEnd"/>
      <w:r w:rsidRPr="00740D5C">
        <w:t xml:space="preserve"> de Dinamarca per </w:t>
      </w:r>
      <w:proofErr w:type="spellStart"/>
      <w:r w:rsidRPr="00740D5C">
        <w:t>l’acord</w:t>
      </w:r>
      <w:proofErr w:type="spellEnd"/>
      <w:r w:rsidRPr="00740D5C">
        <w:t xml:space="preserve"> </w:t>
      </w:r>
      <w:proofErr w:type="spellStart"/>
      <w:r w:rsidRPr="00740D5C">
        <w:t>adoptat</w:t>
      </w:r>
      <w:proofErr w:type="spellEnd"/>
      <w:r w:rsidRPr="00740D5C">
        <w:t xml:space="preserve"> sobre el </w:t>
      </w:r>
      <w:proofErr w:type="spellStart"/>
      <w:r w:rsidRPr="00740D5C">
        <w:t>futur</w:t>
      </w:r>
      <w:proofErr w:type="spellEnd"/>
      <w:r w:rsidRPr="00740D5C">
        <w:t xml:space="preserve"> </w:t>
      </w:r>
      <w:proofErr w:type="spellStart"/>
      <w:r w:rsidRPr="00740D5C">
        <w:t>polític</w:t>
      </w:r>
      <w:proofErr w:type="spellEnd"/>
      <w:r w:rsidRPr="00740D5C">
        <w:t xml:space="preserve"> de Catalunya</w:t>
      </w:r>
      <w:r w:rsidR="006D40B9">
        <w:t>”</w:t>
      </w:r>
      <w:r w:rsidRPr="00740D5C">
        <w:t xml:space="preserve">. </w:t>
      </w:r>
      <w:proofErr w:type="spellStart"/>
      <w:r w:rsidRPr="00063DC0">
        <w:rPr>
          <w:i/>
        </w:rPr>
        <w:t>Butlletí</w:t>
      </w:r>
      <w:proofErr w:type="spellEnd"/>
      <w:r w:rsidRPr="00063DC0">
        <w:rPr>
          <w:i/>
        </w:rPr>
        <w:t xml:space="preserve"> Oficial del </w:t>
      </w:r>
      <w:proofErr w:type="spellStart"/>
      <w:r w:rsidRPr="00063DC0">
        <w:rPr>
          <w:i/>
        </w:rPr>
        <w:t>Parlament</w:t>
      </w:r>
      <w:proofErr w:type="spellEnd"/>
      <w:r w:rsidRPr="00063DC0">
        <w:rPr>
          <w:i/>
        </w:rPr>
        <w:t xml:space="preserve"> de Catalunya</w:t>
      </w:r>
      <w:r w:rsidRPr="00740D5C">
        <w:t>. 17 de julio de 2015. Pp. 2645-2651.</w:t>
      </w:r>
    </w:p>
  </w:footnote>
  <w:footnote w:id="54">
    <w:p w:rsidR="00C3474F" w:rsidRDefault="00C3474F" w:rsidP="005130D6">
      <w:pPr>
        <w:pStyle w:val="Textonotapie1"/>
        <w:spacing w:line="360" w:lineRule="auto"/>
        <w:jc w:val="both"/>
      </w:pPr>
      <w:r w:rsidRPr="00740D5C">
        <w:rPr>
          <w:rStyle w:val="Refdenotaalpie"/>
        </w:rPr>
        <w:footnoteRef/>
      </w:r>
      <w:r w:rsidRPr="00740D5C">
        <w:t xml:space="preserve"> Catalunya. </w:t>
      </w:r>
      <w:proofErr w:type="spellStart"/>
      <w:r w:rsidRPr="00740D5C">
        <w:t>Parlament</w:t>
      </w:r>
      <w:proofErr w:type="spellEnd"/>
      <w:r w:rsidRPr="00740D5C">
        <w:t xml:space="preserve"> de Catalunya. </w:t>
      </w:r>
      <w:r>
        <w:t>(2015).</w:t>
      </w:r>
      <w:r w:rsidR="006D40B9">
        <w:t xml:space="preserve"> “</w:t>
      </w:r>
      <w:proofErr w:type="spellStart"/>
      <w:r w:rsidRPr="00740D5C">
        <w:t>Resolució</w:t>
      </w:r>
      <w:proofErr w:type="spellEnd"/>
      <w:r w:rsidRPr="00740D5C">
        <w:t xml:space="preserve"> 1/XI del </w:t>
      </w:r>
      <w:proofErr w:type="spellStart"/>
      <w:r w:rsidRPr="00740D5C">
        <w:t>Parlament</w:t>
      </w:r>
      <w:proofErr w:type="spellEnd"/>
      <w:r w:rsidRPr="00740D5C">
        <w:t xml:space="preserve"> de Cata</w:t>
      </w:r>
      <w:r>
        <w:t xml:space="preserve">lunya, sobre </w:t>
      </w:r>
      <w:proofErr w:type="spellStart"/>
      <w:r>
        <w:t>l’inici</w:t>
      </w:r>
      <w:proofErr w:type="spellEnd"/>
      <w:r>
        <w:t xml:space="preserve"> del </w:t>
      </w:r>
      <w:proofErr w:type="spellStart"/>
      <w:r>
        <w:t>procés</w:t>
      </w:r>
      <w:proofErr w:type="spellEnd"/>
      <w:r>
        <w:t xml:space="preserve"> </w:t>
      </w:r>
      <w:proofErr w:type="spellStart"/>
      <w:r w:rsidRPr="00740D5C">
        <w:t>polític</w:t>
      </w:r>
      <w:proofErr w:type="spellEnd"/>
      <w:r w:rsidRPr="00740D5C">
        <w:t xml:space="preserve"> a Catalunya </w:t>
      </w:r>
      <w:proofErr w:type="spellStart"/>
      <w:r w:rsidRPr="00740D5C">
        <w:t>com</w:t>
      </w:r>
      <w:proofErr w:type="spellEnd"/>
      <w:r w:rsidRPr="00740D5C">
        <w:t xml:space="preserve"> a </w:t>
      </w:r>
      <w:proofErr w:type="spellStart"/>
      <w:r w:rsidRPr="00740D5C">
        <w:t>conseqüència</w:t>
      </w:r>
      <w:proofErr w:type="spellEnd"/>
      <w:r w:rsidRPr="00740D5C">
        <w:t xml:space="preserve"> </w:t>
      </w:r>
      <w:proofErr w:type="spellStart"/>
      <w:r w:rsidRPr="00740D5C">
        <w:t>dels</w:t>
      </w:r>
      <w:proofErr w:type="spellEnd"/>
      <w:r w:rsidRPr="00740D5C">
        <w:t xml:space="preserve"> </w:t>
      </w:r>
      <w:proofErr w:type="spellStart"/>
      <w:r w:rsidRPr="00740D5C">
        <w:t>resultats</w:t>
      </w:r>
      <w:proofErr w:type="spellEnd"/>
      <w:r w:rsidRPr="00740D5C">
        <w:t xml:space="preserve"> </w:t>
      </w:r>
      <w:proofErr w:type="spellStart"/>
      <w:r w:rsidRPr="00740D5C">
        <w:t>electorals</w:t>
      </w:r>
      <w:proofErr w:type="spellEnd"/>
      <w:r w:rsidRPr="00740D5C">
        <w:t xml:space="preserve"> del 27 de </w:t>
      </w:r>
      <w:proofErr w:type="spellStart"/>
      <w:r w:rsidRPr="00740D5C">
        <w:t>setembre</w:t>
      </w:r>
      <w:proofErr w:type="spellEnd"/>
      <w:r w:rsidRPr="00740D5C">
        <w:t xml:space="preserve"> de 2015</w:t>
      </w:r>
      <w:r w:rsidR="006D40B9">
        <w:t>”</w:t>
      </w:r>
      <w:r w:rsidRPr="00740D5C">
        <w:t xml:space="preserve">. </w:t>
      </w:r>
      <w:proofErr w:type="spellStart"/>
      <w:r w:rsidRPr="00063DC0">
        <w:rPr>
          <w:i/>
        </w:rPr>
        <w:t>Butlletí</w:t>
      </w:r>
      <w:proofErr w:type="spellEnd"/>
      <w:r w:rsidRPr="00063DC0">
        <w:rPr>
          <w:i/>
        </w:rPr>
        <w:t xml:space="preserve"> Oficial del </w:t>
      </w:r>
      <w:proofErr w:type="spellStart"/>
      <w:r w:rsidRPr="00063DC0">
        <w:rPr>
          <w:i/>
        </w:rPr>
        <w:t>Parlament</w:t>
      </w:r>
      <w:proofErr w:type="spellEnd"/>
      <w:r w:rsidRPr="00063DC0">
        <w:rPr>
          <w:i/>
        </w:rPr>
        <w:t xml:space="preserve"> de Catalunya</w:t>
      </w:r>
      <w:r w:rsidRPr="00740D5C">
        <w:t>. 9 de noviembre de 2015. Pp. 3-7.</w:t>
      </w:r>
    </w:p>
  </w:footnote>
  <w:footnote w:id="55">
    <w:p w:rsidR="00C3474F" w:rsidRDefault="00C3474F" w:rsidP="005130D6">
      <w:pPr>
        <w:pStyle w:val="Textonotapie1"/>
        <w:spacing w:line="360" w:lineRule="auto"/>
        <w:jc w:val="both"/>
      </w:pPr>
      <w:r w:rsidRPr="00315458">
        <w:rPr>
          <w:rStyle w:val="Refdenotaalpie"/>
        </w:rPr>
        <w:footnoteRef/>
      </w:r>
      <w:r w:rsidRPr="00315458">
        <w:t xml:space="preserve"> Catalunya. </w:t>
      </w:r>
      <w:proofErr w:type="spellStart"/>
      <w:r w:rsidRPr="00315458">
        <w:t>Parlament</w:t>
      </w:r>
      <w:proofErr w:type="spellEnd"/>
      <w:r w:rsidRPr="00315458">
        <w:t xml:space="preserve"> de Catalunya.</w:t>
      </w:r>
      <w:r>
        <w:t xml:space="preserve"> (2016).</w:t>
      </w:r>
      <w:r w:rsidRPr="00315458">
        <w:t xml:space="preserve"> </w:t>
      </w:r>
      <w:r w:rsidR="006D40B9">
        <w:t>“</w:t>
      </w:r>
      <w:proofErr w:type="spellStart"/>
      <w:r w:rsidRPr="00315458">
        <w:t>Resolució</w:t>
      </w:r>
      <w:proofErr w:type="spellEnd"/>
      <w:r w:rsidRPr="00315458">
        <w:t xml:space="preserve"> 306/XI del </w:t>
      </w:r>
      <w:proofErr w:type="spellStart"/>
      <w:r w:rsidRPr="00315458">
        <w:t>Parlament</w:t>
      </w:r>
      <w:proofErr w:type="spellEnd"/>
      <w:r w:rsidRPr="00315458">
        <w:t xml:space="preserve"> de Catalunya, sobre </w:t>
      </w:r>
      <w:proofErr w:type="spellStart"/>
      <w:r w:rsidRPr="00315458">
        <w:t>l’orientació</w:t>
      </w:r>
      <w:proofErr w:type="spellEnd"/>
      <w:r w:rsidRPr="00315458">
        <w:t xml:space="preserve"> política general del </w:t>
      </w:r>
      <w:proofErr w:type="spellStart"/>
      <w:r w:rsidRPr="00315458">
        <w:t>Govern</w:t>
      </w:r>
      <w:proofErr w:type="spellEnd"/>
      <w:r w:rsidR="006D40B9">
        <w:t>”</w:t>
      </w:r>
      <w:r w:rsidRPr="00315458">
        <w:t xml:space="preserve">. </w:t>
      </w:r>
      <w:proofErr w:type="spellStart"/>
      <w:r w:rsidRPr="00063DC0">
        <w:rPr>
          <w:i/>
        </w:rPr>
        <w:t>Butlletí</w:t>
      </w:r>
      <w:proofErr w:type="spellEnd"/>
      <w:r w:rsidRPr="00063DC0">
        <w:rPr>
          <w:i/>
        </w:rPr>
        <w:t xml:space="preserve"> Oficial del </w:t>
      </w:r>
      <w:proofErr w:type="spellStart"/>
      <w:r w:rsidRPr="00063DC0">
        <w:rPr>
          <w:i/>
        </w:rPr>
        <w:t>Parlament</w:t>
      </w:r>
      <w:proofErr w:type="spellEnd"/>
      <w:r w:rsidRPr="00063DC0">
        <w:rPr>
          <w:i/>
        </w:rPr>
        <w:t xml:space="preserve"> de Catalunya</w:t>
      </w:r>
      <w:r w:rsidRPr="00315458">
        <w:t xml:space="preserve">. 7 de octubre </w:t>
      </w:r>
      <w:r>
        <w:t>de 2016. Pp. 1898-1953.</w:t>
      </w:r>
    </w:p>
  </w:footnote>
  <w:footnote w:id="56">
    <w:p w:rsidR="00C3474F" w:rsidRDefault="00C3474F" w:rsidP="005130D6">
      <w:pPr>
        <w:pStyle w:val="Textonotapie1"/>
        <w:spacing w:line="360" w:lineRule="auto"/>
        <w:jc w:val="both"/>
      </w:pPr>
      <w:r w:rsidRPr="00D25012">
        <w:rPr>
          <w:rStyle w:val="Refdenotaalpie"/>
        </w:rPr>
        <w:footnoteRef/>
      </w:r>
      <w:r w:rsidRPr="00D25012">
        <w:t xml:space="preserve"> Catalunya. </w:t>
      </w:r>
      <w:proofErr w:type="spellStart"/>
      <w:r w:rsidRPr="00D25012">
        <w:t>Departament</w:t>
      </w:r>
      <w:proofErr w:type="spellEnd"/>
      <w:r w:rsidRPr="00D25012">
        <w:t xml:space="preserve"> de la </w:t>
      </w:r>
      <w:proofErr w:type="spellStart"/>
      <w:r w:rsidRPr="00D25012">
        <w:t>Presidència</w:t>
      </w:r>
      <w:proofErr w:type="spellEnd"/>
      <w:r w:rsidRPr="00D25012">
        <w:t xml:space="preserve">. </w:t>
      </w:r>
      <w:r>
        <w:t xml:space="preserve">(2017). </w:t>
      </w:r>
      <w:r w:rsidR="006D40B9">
        <w:t>“</w:t>
      </w:r>
      <w:proofErr w:type="spellStart"/>
      <w:r w:rsidRPr="00D25012">
        <w:t>Llei</w:t>
      </w:r>
      <w:proofErr w:type="spellEnd"/>
      <w:r w:rsidRPr="00D25012">
        <w:t xml:space="preserve"> 4/2017, del 28 de </w:t>
      </w:r>
      <w:proofErr w:type="spellStart"/>
      <w:r w:rsidRPr="00D25012">
        <w:t>març</w:t>
      </w:r>
      <w:proofErr w:type="spellEnd"/>
      <w:r w:rsidRPr="00D25012">
        <w:t xml:space="preserve">, de </w:t>
      </w:r>
      <w:proofErr w:type="spellStart"/>
      <w:r w:rsidRPr="00D25012">
        <w:t>pressupostos</w:t>
      </w:r>
      <w:proofErr w:type="spellEnd"/>
      <w:r w:rsidRPr="00D25012">
        <w:t xml:space="preserve"> de la Generalitat de Catalunya per al 2017</w:t>
      </w:r>
      <w:r w:rsidR="006D40B9">
        <w:t>”</w:t>
      </w:r>
      <w:r w:rsidRPr="00D25012">
        <w:t xml:space="preserve">. </w:t>
      </w:r>
      <w:proofErr w:type="spellStart"/>
      <w:r w:rsidRPr="00063DC0">
        <w:rPr>
          <w:i/>
        </w:rPr>
        <w:t>Diari</w:t>
      </w:r>
      <w:proofErr w:type="spellEnd"/>
      <w:r w:rsidRPr="00063DC0">
        <w:rPr>
          <w:i/>
        </w:rPr>
        <w:t xml:space="preserve"> Oficial de la Generalitat de Catalunya</w:t>
      </w:r>
      <w:r w:rsidRPr="00D25012">
        <w:t>. 30 de marzo de 2017. Pp. 1-134.</w:t>
      </w:r>
    </w:p>
  </w:footnote>
  <w:footnote w:id="57">
    <w:p w:rsidR="00C3474F" w:rsidRDefault="00C3474F" w:rsidP="005130D6">
      <w:pPr>
        <w:pStyle w:val="Textonotapie1"/>
        <w:spacing w:line="360" w:lineRule="auto"/>
        <w:jc w:val="both"/>
      </w:pPr>
      <w:r w:rsidRPr="00914D76">
        <w:rPr>
          <w:rStyle w:val="Refdenotaalpie"/>
        </w:rPr>
        <w:footnoteRef/>
      </w:r>
      <w:r w:rsidRPr="00914D76">
        <w:t xml:space="preserve"> Catalunya. </w:t>
      </w:r>
      <w:proofErr w:type="spellStart"/>
      <w:r w:rsidRPr="00914D76">
        <w:t>Departament</w:t>
      </w:r>
      <w:proofErr w:type="spellEnd"/>
      <w:r w:rsidRPr="00914D76">
        <w:t xml:space="preserve"> de la </w:t>
      </w:r>
      <w:proofErr w:type="spellStart"/>
      <w:r w:rsidRPr="00914D76">
        <w:t>Presidència</w:t>
      </w:r>
      <w:proofErr w:type="spellEnd"/>
      <w:r w:rsidRPr="00914D76">
        <w:t xml:space="preserve">. </w:t>
      </w:r>
      <w:r>
        <w:t xml:space="preserve">(2014). </w:t>
      </w:r>
      <w:r w:rsidR="006D40B9">
        <w:t>“</w:t>
      </w:r>
      <w:proofErr w:type="spellStart"/>
      <w:r w:rsidRPr="00914D76">
        <w:t>Decret</w:t>
      </w:r>
      <w:proofErr w:type="spellEnd"/>
      <w:r w:rsidRPr="00914D76">
        <w:t xml:space="preserve"> 168/2014, de 23 de desembre, de </w:t>
      </w:r>
      <w:proofErr w:type="spellStart"/>
      <w:r w:rsidRPr="00914D76">
        <w:t>creació</w:t>
      </w:r>
      <w:proofErr w:type="spellEnd"/>
      <w:r w:rsidRPr="00914D76">
        <w:t xml:space="preserve"> de la </w:t>
      </w:r>
      <w:proofErr w:type="spellStart"/>
      <w:r w:rsidRPr="00914D76">
        <w:t>Delegació</w:t>
      </w:r>
      <w:proofErr w:type="spellEnd"/>
      <w:r w:rsidRPr="00914D76">
        <w:t xml:space="preserve"> del </w:t>
      </w:r>
      <w:proofErr w:type="spellStart"/>
      <w:r w:rsidRPr="00914D76">
        <w:t>Govern</w:t>
      </w:r>
      <w:proofErr w:type="spellEnd"/>
      <w:r w:rsidRPr="00914D76">
        <w:t xml:space="preserve"> de la Generalitat de Catalunya a </w:t>
      </w:r>
      <w:proofErr w:type="spellStart"/>
      <w:r w:rsidRPr="00914D76">
        <w:t>Itàlia</w:t>
      </w:r>
      <w:proofErr w:type="spellEnd"/>
      <w:r w:rsidR="006D40B9">
        <w:t>”</w:t>
      </w:r>
      <w:r w:rsidRPr="00914D76">
        <w:t xml:space="preserve">. </w:t>
      </w:r>
      <w:proofErr w:type="spellStart"/>
      <w:r w:rsidRPr="00063DC0">
        <w:rPr>
          <w:i/>
        </w:rPr>
        <w:t>Diari</w:t>
      </w:r>
      <w:proofErr w:type="spellEnd"/>
      <w:r w:rsidRPr="00063DC0">
        <w:rPr>
          <w:i/>
        </w:rPr>
        <w:t xml:space="preserve"> Oficial de la Generalitat de Catalunya</w:t>
      </w:r>
      <w:r w:rsidRPr="00914D76">
        <w:t>. 24 de diciembre de 2014. Pp. 2-7.</w:t>
      </w:r>
    </w:p>
  </w:footnote>
  <w:footnote w:id="58">
    <w:p w:rsidR="00C3474F" w:rsidRDefault="00C3474F" w:rsidP="005130D6">
      <w:pPr>
        <w:spacing w:line="360" w:lineRule="auto"/>
        <w:jc w:val="both"/>
      </w:pPr>
      <w:r w:rsidRPr="00914D76">
        <w:rPr>
          <w:rStyle w:val="Refdenotaalpie"/>
        </w:rPr>
        <w:footnoteRef/>
      </w:r>
      <w:r w:rsidRPr="00914D76">
        <w:t xml:space="preserve"> Catalunya. </w:t>
      </w:r>
      <w:proofErr w:type="spellStart"/>
      <w:r w:rsidRPr="00914D76">
        <w:t>Departament</w:t>
      </w:r>
      <w:proofErr w:type="spellEnd"/>
      <w:r w:rsidRPr="00914D76">
        <w:t xml:space="preserve"> de la </w:t>
      </w:r>
      <w:proofErr w:type="spellStart"/>
      <w:r w:rsidRPr="00914D76">
        <w:t>Presidència</w:t>
      </w:r>
      <w:proofErr w:type="spellEnd"/>
      <w:r w:rsidRPr="00914D76">
        <w:t xml:space="preserve">. </w:t>
      </w:r>
      <w:r>
        <w:t xml:space="preserve">(2014). </w:t>
      </w:r>
      <w:r w:rsidR="006D40B9">
        <w:t>“</w:t>
      </w:r>
      <w:proofErr w:type="spellStart"/>
      <w:r w:rsidRPr="00914D76">
        <w:t>Decret</w:t>
      </w:r>
      <w:proofErr w:type="spellEnd"/>
      <w:r w:rsidRPr="00914D76">
        <w:t xml:space="preserve"> 167/2014, de 23 de desembre, de </w:t>
      </w:r>
      <w:proofErr w:type="spellStart"/>
      <w:r w:rsidRPr="00914D76">
        <w:t>creació</w:t>
      </w:r>
      <w:proofErr w:type="spellEnd"/>
      <w:r w:rsidRPr="00914D76">
        <w:t xml:space="preserve"> de la </w:t>
      </w:r>
      <w:proofErr w:type="spellStart"/>
      <w:r w:rsidRPr="00914D76">
        <w:t>Delegació</w:t>
      </w:r>
      <w:proofErr w:type="spellEnd"/>
      <w:r w:rsidRPr="00914D76">
        <w:t xml:space="preserve"> del </w:t>
      </w:r>
      <w:proofErr w:type="spellStart"/>
      <w:r w:rsidRPr="00914D76">
        <w:t>Govern</w:t>
      </w:r>
      <w:proofErr w:type="spellEnd"/>
      <w:r w:rsidRPr="00914D76">
        <w:t xml:space="preserve"> de la Generalitat de Catalunya a </w:t>
      </w:r>
      <w:proofErr w:type="spellStart"/>
      <w:r w:rsidRPr="00914D76">
        <w:t>Àustria</w:t>
      </w:r>
      <w:proofErr w:type="spellEnd"/>
      <w:r w:rsidR="006D40B9">
        <w:t>”</w:t>
      </w:r>
      <w:r w:rsidRPr="00914D76">
        <w:t xml:space="preserve">. </w:t>
      </w:r>
      <w:proofErr w:type="spellStart"/>
      <w:r w:rsidRPr="00063DC0">
        <w:rPr>
          <w:i/>
        </w:rPr>
        <w:t>Diari</w:t>
      </w:r>
      <w:proofErr w:type="spellEnd"/>
      <w:r w:rsidRPr="00063DC0">
        <w:rPr>
          <w:i/>
        </w:rPr>
        <w:t xml:space="preserve"> Oficial de la Generalitat de Catalunya</w:t>
      </w:r>
      <w:r w:rsidRPr="00914D76">
        <w:t xml:space="preserve">. 24 de diciembre de 2014. Pp. 8-12. </w:t>
      </w:r>
    </w:p>
  </w:footnote>
  <w:footnote w:id="59">
    <w:p w:rsidR="00C3474F" w:rsidRDefault="00C3474F" w:rsidP="005130D6">
      <w:pPr>
        <w:pStyle w:val="Textonotapie1"/>
        <w:spacing w:line="360" w:lineRule="auto"/>
        <w:jc w:val="both"/>
      </w:pPr>
      <w:r w:rsidRPr="00914D76">
        <w:rPr>
          <w:rStyle w:val="Refdenotaalpie"/>
        </w:rPr>
        <w:footnoteRef/>
      </w:r>
      <w:r w:rsidRPr="00914D76">
        <w:t xml:space="preserve"> Catalunya. </w:t>
      </w:r>
      <w:proofErr w:type="spellStart"/>
      <w:r w:rsidRPr="00914D76">
        <w:t>Departament</w:t>
      </w:r>
      <w:proofErr w:type="spellEnd"/>
      <w:r w:rsidRPr="00914D76">
        <w:t xml:space="preserve"> de la </w:t>
      </w:r>
      <w:proofErr w:type="spellStart"/>
      <w:r w:rsidRPr="00914D76">
        <w:t>Presidència</w:t>
      </w:r>
      <w:proofErr w:type="spellEnd"/>
      <w:r w:rsidRPr="00914D76">
        <w:t xml:space="preserve">. </w:t>
      </w:r>
      <w:r>
        <w:t xml:space="preserve">(2015). </w:t>
      </w:r>
      <w:r w:rsidR="006D40B9">
        <w:t>“</w:t>
      </w:r>
      <w:proofErr w:type="spellStart"/>
      <w:r w:rsidRPr="00914D76">
        <w:t>Decret</w:t>
      </w:r>
      <w:proofErr w:type="spellEnd"/>
      <w:r w:rsidRPr="00914D76">
        <w:t xml:space="preserve"> 105/2015, de 16 de </w:t>
      </w:r>
      <w:proofErr w:type="spellStart"/>
      <w:r w:rsidRPr="00914D76">
        <w:t>juny</w:t>
      </w:r>
      <w:proofErr w:type="spellEnd"/>
      <w:r w:rsidRPr="00914D76">
        <w:t xml:space="preserve">, de </w:t>
      </w:r>
      <w:proofErr w:type="spellStart"/>
      <w:r w:rsidRPr="00914D76">
        <w:t>creació</w:t>
      </w:r>
      <w:proofErr w:type="spellEnd"/>
      <w:r w:rsidRPr="00914D76">
        <w:t xml:space="preserve"> de la </w:t>
      </w:r>
      <w:proofErr w:type="spellStart"/>
      <w:r w:rsidRPr="00914D76">
        <w:t>Delegació</w:t>
      </w:r>
      <w:proofErr w:type="spellEnd"/>
      <w:r w:rsidRPr="00914D76">
        <w:t xml:space="preserve"> del </w:t>
      </w:r>
      <w:proofErr w:type="spellStart"/>
      <w:r w:rsidRPr="00914D76">
        <w:t>Govern</w:t>
      </w:r>
      <w:proofErr w:type="spellEnd"/>
      <w:r w:rsidRPr="00914D76">
        <w:t xml:space="preserve"> de la Generalitat de Catalunya a Portugal</w:t>
      </w:r>
      <w:r w:rsidR="006D40B9">
        <w:t>”</w:t>
      </w:r>
      <w:r w:rsidRPr="00914D76">
        <w:t xml:space="preserve">. </w:t>
      </w:r>
      <w:proofErr w:type="spellStart"/>
      <w:r w:rsidRPr="00063DC0">
        <w:rPr>
          <w:i/>
        </w:rPr>
        <w:t>Diari</w:t>
      </w:r>
      <w:proofErr w:type="spellEnd"/>
      <w:r w:rsidRPr="00063DC0">
        <w:rPr>
          <w:i/>
        </w:rPr>
        <w:t xml:space="preserve"> Oficial de la Generalitat de Catalunya</w:t>
      </w:r>
      <w:r w:rsidRPr="00914D76">
        <w:t>. 18 de junio de 2015. Pp. 2-5.</w:t>
      </w:r>
    </w:p>
  </w:footnote>
  <w:footnote w:id="60">
    <w:p w:rsidR="00C3474F" w:rsidRDefault="00C3474F" w:rsidP="005130D6">
      <w:pPr>
        <w:pStyle w:val="Textonotapie1"/>
        <w:spacing w:line="360" w:lineRule="auto"/>
        <w:jc w:val="both"/>
      </w:pPr>
      <w:r w:rsidRPr="00914D76">
        <w:rPr>
          <w:rStyle w:val="Refdenotaalpie"/>
        </w:rPr>
        <w:footnoteRef/>
      </w:r>
      <w:r w:rsidRPr="00914D76">
        <w:t xml:space="preserve"> Catalunya. </w:t>
      </w:r>
      <w:proofErr w:type="spellStart"/>
      <w:r w:rsidRPr="00914D76">
        <w:t>Departament</w:t>
      </w:r>
      <w:proofErr w:type="spellEnd"/>
      <w:r w:rsidRPr="00914D76">
        <w:t xml:space="preserve"> de la </w:t>
      </w:r>
      <w:proofErr w:type="spellStart"/>
      <w:r w:rsidRPr="00914D76">
        <w:t>Presidència</w:t>
      </w:r>
      <w:proofErr w:type="spellEnd"/>
      <w:r w:rsidRPr="00914D76">
        <w:t xml:space="preserve">. </w:t>
      </w:r>
      <w:r>
        <w:t xml:space="preserve">(2015). </w:t>
      </w:r>
      <w:r w:rsidR="006D40B9">
        <w:t>“</w:t>
      </w:r>
      <w:proofErr w:type="spellStart"/>
      <w:r w:rsidRPr="00914D76">
        <w:t>Decret</w:t>
      </w:r>
      <w:proofErr w:type="spellEnd"/>
      <w:r w:rsidRPr="00914D76">
        <w:t xml:space="preserve"> 104/2015, de 16 de </w:t>
      </w:r>
      <w:proofErr w:type="spellStart"/>
      <w:r w:rsidRPr="00914D76">
        <w:t>juny</w:t>
      </w:r>
      <w:proofErr w:type="spellEnd"/>
      <w:r w:rsidRPr="00914D76">
        <w:t xml:space="preserve">, de </w:t>
      </w:r>
      <w:proofErr w:type="spellStart"/>
      <w:r w:rsidRPr="00914D76">
        <w:t>creació</w:t>
      </w:r>
      <w:proofErr w:type="spellEnd"/>
      <w:r w:rsidRPr="00914D76">
        <w:t xml:space="preserve"> de la </w:t>
      </w:r>
      <w:proofErr w:type="spellStart"/>
      <w:r w:rsidRPr="00914D76">
        <w:t>Delegació</w:t>
      </w:r>
      <w:proofErr w:type="spellEnd"/>
      <w:r w:rsidRPr="00914D76">
        <w:t xml:space="preserve"> del </w:t>
      </w:r>
      <w:proofErr w:type="spellStart"/>
      <w:r w:rsidRPr="00914D76">
        <w:t>Govern</w:t>
      </w:r>
      <w:proofErr w:type="spellEnd"/>
      <w:r w:rsidRPr="00914D76">
        <w:t xml:space="preserve"> de la Generalitat de Catalunya a la Santa </w:t>
      </w:r>
      <w:proofErr w:type="spellStart"/>
      <w:r w:rsidRPr="00914D76">
        <w:t>Seu</w:t>
      </w:r>
      <w:proofErr w:type="spellEnd"/>
      <w:r w:rsidR="006D40B9">
        <w:t>”</w:t>
      </w:r>
      <w:r w:rsidRPr="00914D76">
        <w:t xml:space="preserve">. </w:t>
      </w:r>
      <w:proofErr w:type="spellStart"/>
      <w:r w:rsidRPr="006D40B9">
        <w:rPr>
          <w:i/>
        </w:rPr>
        <w:t>Diari</w:t>
      </w:r>
      <w:proofErr w:type="spellEnd"/>
      <w:r w:rsidRPr="006D40B9">
        <w:rPr>
          <w:i/>
        </w:rPr>
        <w:t xml:space="preserve"> Oficial de la Generalitat de Catalunya.</w:t>
      </w:r>
      <w:r w:rsidRPr="0038025E">
        <w:t xml:space="preserve"> 18 de junio de 2015. Pp. 6-9.</w:t>
      </w:r>
    </w:p>
  </w:footnote>
  <w:footnote w:id="61">
    <w:p w:rsidR="00C3474F" w:rsidRDefault="00C3474F" w:rsidP="005130D6">
      <w:pPr>
        <w:pStyle w:val="Textonotapie1"/>
        <w:spacing w:line="360" w:lineRule="auto"/>
        <w:jc w:val="both"/>
      </w:pPr>
      <w:r w:rsidRPr="0038025E">
        <w:rPr>
          <w:rStyle w:val="Refdenotaalpie"/>
        </w:rPr>
        <w:footnoteRef/>
      </w:r>
      <w:r w:rsidRPr="0038025E">
        <w:t xml:space="preserve"> Catalunya. </w:t>
      </w:r>
      <w:proofErr w:type="spellStart"/>
      <w:r w:rsidRPr="0038025E">
        <w:t>Departament</w:t>
      </w:r>
      <w:proofErr w:type="spellEnd"/>
      <w:r w:rsidRPr="0038025E">
        <w:t xml:space="preserve"> de la </w:t>
      </w:r>
      <w:proofErr w:type="spellStart"/>
      <w:r w:rsidRPr="0038025E">
        <w:t>Presidència</w:t>
      </w:r>
      <w:proofErr w:type="spellEnd"/>
      <w:r w:rsidRPr="0038025E">
        <w:t xml:space="preserve">. (2015). </w:t>
      </w:r>
      <w:r w:rsidR="006D40B9">
        <w:t>“</w:t>
      </w:r>
      <w:proofErr w:type="spellStart"/>
      <w:r w:rsidRPr="0038025E">
        <w:t>Decret</w:t>
      </w:r>
      <w:proofErr w:type="spellEnd"/>
      <w:r w:rsidRPr="0038025E">
        <w:t xml:space="preserve"> 103/2015, de 16 de </w:t>
      </w:r>
      <w:proofErr w:type="spellStart"/>
      <w:r w:rsidRPr="0038025E">
        <w:t>juny</w:t>
      </w:r>
      <w:proofErr w:type="spellEnd"/>
      <w:r w:rsidRPr="0038025E">
        <w:t xml:space="preserve">, de </w:t>
      </w:r>
      <w:proofErr w:type="spellStart"/>
      <w:r w:rsidRPr="0038025E">
        <w:t>creació</w:t>
      </w:r>
      <w:proofErr w:type="spellEnd"/>
      <w:r w:rsidRPr="0038025E">
        <w:t xml:space="preserve"> de la </w:t>
      </w:r>
      <w:proofErr w:type="spellStart"/>
      <w:r w:rsidRPr="0038025E">
        <w:t>Delegació</w:t>
      </w:r>
      <w:proofErr w:type="spellEnd"/>
      <w:r w:rsidRPr="0038025E">
        <w:t xml:space="preserve"> del </w:t>
      </w:r>
      <w:proofErr w:type="spellStart"/>
      <w:r w:rsidRPr="0038025E">
        <w:t>Govern</w:t>
      </w:r>
      <w:proofErr w:type="spellEnd"/>
      <w:r w:rsidRPr="0038025E">
        <w:t xml:space="preserve"> de la Generalitat de Catalunya al </w:t>
      </w:r>
      <w:proofErr w:type="spellStart"/>
      <w:r w:rsidRPr="0038025E">
        <w:t>Marroc</w:t>
      </w:r>
      <w:proofErr w:type="spellEnd"/>
      <w:r w:rsidR="006D40B9">
        <w:t>”</w:t>
      </w:r>
      <w:r w:rsidRPr="0038025E">
        <w:t xml:space="preserve">. </w:t>
      </w:r>
      <w:proofErr w:type="spellStart"/>
      <w:r w:rsidRPr="00063DC0">
        <w:rPr>
          <w:i/>
        </w:rPr>
        <w:t>Diari</w:t>
      </w:r>
      <w:proofErr w:type="spellEnd"/>
      <w:r w:rsidRPr="00063DC0">
        <w:rPr>
          <w:i/>
        </w:rPr>
        <w:t xml:space="preserve"> Oficial de la Generalitat de Catalunya</w:t>
      </w:r>
      <w:r w:rsidRPr="0038025E">
        <w:t>. 18 de junio de 2015. Pp. 10-14.</w:t>
      </w:r>
    </w:p>
  </w:footnote>
  <w:footnote w:id="62">
    <w:p w:rsidR="00C3474F" w:rsidRDefault="00C3474F" w:rsidP="005130D6">
      <w:pPr>
        <w:pStyle w:val="Textonotapie1"/>
        <w:spacing w:line="360" w:lineRule="auto"/>
        <w:jc w:val="both"/>
      </w:pPr>
      <w:r w:rsidRPr="0038025E">
        <w:rPr>
          <w:rStyle w:val="Refdenotaalpie"/>
        </w:rPr>
        <w:footnoteRef/>
      </w:r>
      <w:r w:rsidRPr="0038025E">
        <w:t xml:space="preserve"> Catalunya. </w:t>
      </w:r>
      <w:proofErr w:type="spellStart"/>
      <w:r w:rsidRPr="0038025E">
        <w:t>Parlament</w:t>
      </w:r>
      <w:proofErr w:type="spellEnd"/>
      <w:r w:rsidRPr="0038025E">
        <w:t xml:space="preserve"> de Catalunya. </w:t>
      </w:r>
      <w:r w:rsidR="006D40B9">
        <w:t>“</w:t>
      </w:r>
      <w:proofErr w:type="spellStart"/>
      <w:r w:rsidRPr="0038025E">
        <w:t>Llei</w:t>
      </w:r>
      <w:proofErr w:type="spellEnd"/>
      <w:r w:rsidRPr="0038025E">
        <w:t xml:space="preserve"> 16/2014, del 4 de desembre, </w:t>
      </w:r>
      <w:proofErr w:type="spellStart"/>
      <w:r w:rsidRPr="0038025E">
        <w:t>d'acció</w:t>
      </w:r>
      <w:proofErr w:type="spellEnd"/>
      <w:r w:rsidRPr="0038025E">
        <w:t xml:space="preserve"> exterior i de </w:t>
      </w:r>
      <w:proofErr w:type="spellStart"/>
      <w:r w:rsidRPr="0038025E">
        <w:t>relacions</w:t>
      </w:r>
      <w:proofErr w:type="spellEnd"/>
      <w:r w:rsidRPr="0038025E">
        <w:t xml:space="preserve"> </w:t>
      </w:r>
      <w:proofErr w:type="spellStart"/>
      <w:r w:rsidRPr="0038025E">
        <w:t>amb</w:t>
      </w:r>
      <w:proofErr w:type="spellEnd"/>
      <w:r w:rsidRPr="0038025E">
        <w:t xml:space="preserve"> la </w:t>
      </w:r>
      <w:proofErr w:type="spellStart"/>
      <w:r w:rsidRPr="0038025E">
        <w:t>Unió</w:t>
      </w:r>
      <w:proofErr w:type="spellEnd"/>
      <w:r w:rsidRPr="0038025E">
        <w:t xml:space="preserve"> Europea</w:t>
      </w:r>
      <w:r w:rsidR="006D40B9">
        <w:t>”</w:t>
      </w:r>
      <w:r w:rsidRPr="0038025E">
        <w:t xml:space="preserve">. </w:t>
      </w:r>
      <w:proofErr w:type="spellStart"/>
      <w:r w:rsidRPr="00063DC0">
        <w:rPr>
          <w:i/>
        </w:rPr>
        <w:t>Butlletí</w:t>
      </w:r>
      <w:proofErr w:type="spellEnd"/>
      <w:r w:rsidRPr="00063DC0">
        <w:rPr>
          <w:i/>
        </w:rPr>
        <w:t xml:space="preserve"> Oficial del </w:t>
      </w:r>
      <w:proofErr w:type="spellStart"/>
      <w:r w:rsidRPr="00063DC0">
        <w:rPr>
          <w:i/>
        </w:rPr>
        <w:t>Parlament</w:t>
      </w:r>
      <w:proofErr w:type="spellEnd"/>
      <w:r w:rsidRPr="00063DC0">
        <w:rPr>
          <w:i/>
        </w:rPr>
        <w:t xml:space="preserve"> de Catalunya</w:t>
      </w:r>
      <w:r w:rsidRPr="0038025E">
        <w:t>. 4 de diciembre de 2014. Pp. 1-15.</w:t>
      </w:r>
    </w:p>
  </w:footnote>
  <w:footnote w:id="63">
    <w:p w:rsidR="00C3474F" w:rsidRDefault="00C3474F" w:rsidP="00EE002F">
      <w:pPr>
        <w:pStyle w:val="Textonotapie"/>
        <w:spacing w:line="360" w:lineRule="auto"/>
        <w:jc w:val="both"/>
        <w:rPr>
          <w:rFonts w:ascii="Calibri" w:hAnsi="Calibri"/>
        </w:rPr>
      </w:pPr>
      <w:r>
        <w:rPr>
          <w:rStyle w:val="Refdenotaalpie"/>
        </w:rPr>
        <w:footnoteRef/>
      </w:r>
      <w:r>
        <w:t xml:space="preserve"> España. Tribunal Constitucional. Pleno. (2008). “Sentencia 103/2008, de 10 de octubre”. </w:t>
      </w:r>
      <w:r>
        <w:rPr>
          <w:i/>
        </w:rPr>
        <w:t>Boletín Oficial del Estado, núm. 245</w:t>
      </w:r>
      <w:r>
        <w:t xml:space="preserve">. 10 de octubre de 2008. Pp. 3-14. </w:t>
      </w:r>
    </w:p>
  </w:footnote>
  <w:footnote w:id="64">
    <w:p w:rsidR="00C3474F" w:rsidRDefault="00C3474F" w:rsidP="00EE002F">
      <w:pPr>
        <w:pStyle w:val="Textonotapie"/>
        <w:spacing w:line="360" w:lineRule="auto"/>
        <w:jc w:val="both"/>
      </w:pPr>
      <w:r>
        <w:rPr>
          <w:rStyle w:val="Refdenotaalpie"/>
        </w:rPr>
        <w:footnoteRef/>
      </w:r>
      <w:r>
        <w:t xml:space="preserve"> López </w:t>
      </w:r>
      <w:proofErr w:type="spellStart"/>
      <w:r>
        <w:t>Basaguren</w:t>
      </w:r>
      <w:proofErr w:type="spellEnd"/>
      <w:r>
        <w:t xml:space="preserve">, A. (2009). “Sobre referéndum y Comunidades Autónomas. La Ley vasca de la consulta ante el Tribunal Constitucional (consideraciones con motivo de la STC 103/2008)”. </w:t>
      </w:r>
      <w:r w:rsidRPr="00E0542A">
        <w:rPr>
          <w:i/>
        </w:rPr>
        <w:t xml:space="preserve">Revista </w:t>
      </w:r>
      <w:proofErr w:type="spellStart"/>
      <w:r w:rsidRPr="00E0542A">
        <w:rPr>
          <w:i/>
        </w:rPr>
        <w:t>d'estudis</w:t>
      </w:r>
      <w:proofErr w:type="spellEnd"/>
      <w:r w:rsidRPr="00E0542A">
        <w:rPr>
          <w:i/>
        </w:rPr>
        <w:t xml:space="preserve"> </w:t>
      </w:r>
      <w:proofErr w:type="spellStart"/>
      <w:r w:rsidRPr="00E0542A">
        <w:rPr>
          <w:i/>
        </w:rPr>
        <w:t>autonòmics</w:t>
      </w:r>
      <w:proofErr w:type="spellEnd"/>
      <w:r w:rsidRPr="00E0542A">
        <w:rPr>
          <w:i/>
        </w:rPr>
        <w:t xml:space="preserve"> i </w:t>
      </w:r>
      <w:proofErr w:type="spellStart"/>
      <w:r w:rsidRPr="00E0542A">
        <w:rPr>
          <w:i/>
        </w:rPr>
        <w:t>federals</w:t>
      </w:r>
      <w:proofErr w:type="spellEnd"/>
      <w:r w:rsidRPr="00E0542A">
        <w:rPr>
          <w:i/>
        </w:rPr>
        <w:t>, núm. 9</w:t>
      </w:r>
      <w:r>
        <w:t>. Pp. 202-240.</w:t>
      </w:r>
    </w:p>
  </w:footnote>
  <w:footnote w:id="65">
    <w:p w:rsidR="00C3474F" w:rsidRDefault="00C3474F" w:rsidP="00EE002F">
      <w:pPr>
        <w:pStyle w:val="Textonotapie"/>
        <w:spacing w:line="360" w:lineRule="auto"/>
        <w:jc w:val="both"/>
      </w:pPr>
      <w:r>
        <w:rPr>
          <w:rStyle w:val="Refdenotaalpie"/>
        </w:rPr>
        <w:footnoteRef/>
      </w:r>
      <w:r>
        <w:t xml:space="preserve"> </w:t>
      </w:r>
      <w:r w:rsidR="00C71746">
        <w:t>“</w:t>
      </w:r>
      <w:r>
        <w:t>STC 103/2008…</w:t>
      </w:r>
      <w:r w:rsidR="00C71746">
        <w:t>”</w:t>
      </w:r>
      <w:r>
        <w:t xml:space="preserve"> (</w:t>
      </w:r>
      <w:proofErr w:type="spellStart"/>
      <w:r>
        <w:t>op</w:t>
      </w:r>
      <w:proofErr w:type="spellEnd"/>
      <w:r>
        <w:t xml:space="preserve">. </w:t>
      </w:r>
      <w:proofErr w:type="spellStart"/>
      <w:r>
        <w:t>cit</w:t>
      </w:r>
      <w:proofErr w:type="spellEnd"/>
      <w:r>
        <w:t xml:space="preserve">). Fundamento jurídico segundo. </w:t>
      </w:r>
    </w:p>
  </w:footnote>
  <w:footnote w:id="66">
    <w:p w:rsidR="00C3474F" w:rsidRDefault="00C3474F" w:rsidP="00EE002F">
      <w:pPr>
        <w:pStyle w:val="Textonotapie"/>
        <w:spacing w:line="360" w:lineRule="auto"/>
        <w:jc w:val="both"/>
      </w:pPr>
      <w:r>
        <w:rPr>
          <w:rStyle w:val="Refdenotaalpie"/>
        </w:rPr>
        <w:footnoteRef/>
      </w:r>
      <w:r>
        <w:t xml:space="preserve"> Véase por todos: Tajadura Tejada, J. (2009). “Referéndum en el País Vasco (comentario a la STC 103/2008, de 11 de septiembre)”. </w:t>
      </w:r>
      <w:r>
        <w:rPr>
          <w:i/>
        </w:rPr>
        <w:t>Teoría y Realidad Constitucional, núm. 23</w:t>
      </w:r>
      <w:r>
        <w:t>. Pp. 363-385.</w:t>
      </w:r>
    </w:p>
  </w:footnote>
  <w:footnote w:id="67">
    <w:p w:rsidR="00C3474F" w:rsidRDefault="00C3474F" w:rsidP="00EE002F">
      <w:pPr>
        <w:pStyle w:val="Textonotapie"/>
        <w:spacing w:line="360" w:lineRule="auto"/>
        <w:jc w:val="both"/>
      </w:pPr>
      <w:r>
        <w:rPr>
          <w:rStyle w:val="Refdenotaalpie"/>
        </w:rPr>
        <w:footnoteRef/>
      </w:r>
      <w:r>
        <w:t xml:space="preserve"> </w:t>
      </w:r>
      <w:r w:rsidR="00C71746">
        <w:t>“</w:t>
      </w:r>
      <w:r>
        <w:t>STC 103/2008…</w:t>
      </w:r>
      <w:r w:rsidR="00C71746">
        <w:t>”</w:t>
      </w:r>
      <w:r>
        <w:t xml:space="preserve"> (op. cit.). Fundamento jurídico tercero.</w:t>
      </w:r>
    </w:p>
  </w:footnote>
  <w:footnote w:id="68">
    <w:p w:rsidR="00C3474F" w:rsidRDefault="00C3474F" w:rsidP="00EE002F">
      <w:pPr>
        <w:pStyle w:val="Textonotapie"/>
        <w:spacing w:line="360" w:lineRule="auto"/>
        <w:jc w:val="both"/>
      </w:pPr>
      <w:r>
        <w:rPr>
          <w:rStyle w:val="Refdenotaalpie"/>
        </w:rPr>
        <w:footnoteRef/>
      </w:r>
      <w:r>
        <w:t xml:space="preserve"> Corcuera Atienza, J. (2009). “Soberanía y autonomía. Los límites del derecho a decidir (comentario de la STC 103/2008)”. </w:t>
      </w:r>
      <w:r>
        <w:rPr>
          <w:i/>
        </w:rPr>
        <w:t>Revista Española de Derecho Constitucional, núm. 86</w:t>
      </w:r>
      <w:r>
        <w:t>. Pp. 303-341.</w:t>
      </w:r>
    </w:p>
  </w:footnote>
  <w:footnote w:id="69">
    <w:p w:rsidR="00C3474F" w:rsidRDefault="00C3474F" w:rsidP="00EE002F">
      <w:pPr>
        <w:pStyle w:val="Textonotapie"/>
        <w:spacing w:line="360" w:lineRule="auto"/>
        <w:jc w:val="both"/>
      </w:pPr>
      <w:r>
        <w:rPr>
          <w:rStyle w:val="Refdenotaalpie"/>
        </w:rPr>
        <w:footnoteRef/>
      </w:r>
      <w:r>
        <w:t xml:space="preserve"> López Basaguren. “Sobre referéndum y…” (op. cit.). P. 233. Para ampliar, véase López Basaguren A. (2008). “Transformazioni dello Stato autonómico e reforma dello Statuto del Paese Basco: tra rottura ed “acomodamento a volontà”. </w:t>
      </w:r>
      <w:r w:rsidRPr="006D40B9">
        <w:rPr>
          <w:i/>
        </w:rPr>
        <w:t>Regionalismo e Statuti. Le riforme en Spagnia y en Italia</w:t>
      </w:r>
      <w:r>
        <w:t>. Milán, Giuffrè. Pp. 171-277.</w:t>
      </w:r>
    </w:p>
  </w:footnote>
  <w:footnote w:id="70">
    <w:p w:rsidR="00C3474F" w:rsidRDefault="00C3474F" w:rsidP="002F1BB5">
      <w:pPr>
        <w:pStyle w:val="Textonotapie"/>
        <w:spacing w:line="360" w:lineRule="auto"/>
      </w:pPr>
      <w:r>
        <w:rPr>
          <w:rStyle w:val="Refdenotaalpie"/>
        </w:rPr>
        <w:footnoteRef/>
      </w:r>
      <w:r>
        <w:t xml:space="preserve"> </w:t>
      </w:r>
      <w:r w:rsidRPr="0058085A">
        <w:t xml:space="preserve">España. Tribunal Constitucional. Pleno. (2014). “Sentencia 42/2014, de 25 de marzo de </w:t>
      </w:r>
      <w:smartTag w:uri="urn:schemas-microsoft-com:office:smarttags" w:element="metricconverter">
        <w:smartTagPr>
          <w:attr w:name="ProductID" w:val="2014”"/>
        </w:smartTagPr>
        <w:r w:rsidRPr="0058085A">
          <w:t>2014”</w:t>
        </w:r>
      </w:smartTag>
      <w:r w:rsidRPr="0058085A">
        <w:t xml:space="preserve">. </w:t>
      </w:r>
      <w:r w:rsidRPr="0058085A">
        <w:rPr>
          <w:i/>
        </w:rPr>
        <w:t>Boletín Oficial del Estado núm. 87</w:t>
      </w:r>
      <w:r w:rsidRPr="0058085A">
        <w:t>. 10 de abril de 2014. Pp. 77-99.</w:t>
      </w:r>
    </w:p>
  </w:footnote>
  <w:footnote w:id="71">
    <w:p w:rsidR="00C3474F" w:rsidRDefault="00C3474F">
      <w:pPr>
        <w:pStyle w:val="Textonotapie"/>
      </w:pPr>
      <w:r>
        <w:rPr>
          <w:rStyle w:val="Refdenotaalpie"/>
        </w:rPr>
        <w:footnoteRef/>
      </w:r>
      <w:r>
        <w:t xml:space="preserve"> Véase el Capítulo 3.1.3 de esta obra.</w:t>
      </w:r>
    </w:p>
  </w:footnote>
  <w:footnote w:id="72">
    <w:p w:rsidR="00C3474F" w:rsidRDefault="00C3474F" w:rsidP="0058085A">
      <w:pPr>
        <w:pStyle w:val="Textonotapie"/>
        <w:spacing w:line="360" w:lineRule="auto"/>
      </w:pPr>
      <w:r>
        <w:rPr>
          <w:rStyle w:val="Refdenotaalpie"/>
        </w:rPr>
        <w:footnoteRef/>
      </w:r>
      <w:r>
        <w:t xml:space="preserve"> </w:t>
      </w:r>
      <w:r w:rsidRPr="0058085A">
        <w:t xml:space="preserve"> Rodao i Martín, J. (2014). “La juridificación del derecho a decidir en España</w:t>
      </w:r>
      <w:r w:rsidRPr="0058085A">
        <w:rPr>
          <w:i/>
        </w:rPr>
        <w:t>”. Revista de Derecho Político, núm. 91</w:t>
      </w:r>
      <w:r w:rsidRPr="0058085A">
        <w:t>. Pp. 91-136</w:t>
      </w:r>
    </w:p>
  </w:footnote>
  <w:footnote w:id="73">
    <w:p w:rsidR="00C3474F" w:rsidRPr="0058085A" w:rsidRDefault="00C3474F" w:rsidP="0058085A">
      <w:pPr>
        <w:pStyle w:val="Textonotapie"/>
        <w:spacing w:line="360" w:lineRule="auto"/>
        <w:rPr>
          <w:lang w:val="en-GB"/>
        </w:rPr>
      </w:pPr>
      <w:r>
        <w:rPr>
          <w:rStyle w:val="Refdenotaalpie"/>
        </w:rPr>
        <w:footnoteRef/>
      </w:r>
      <w:r>
        <w:t xml:space="preserve"> </w:t>
      </w:r>
      <w:r w:rsidRPr="0058085A">
        <w:t xml:space="preserve">Vintró Castells, J.: “El Tribunal Constitucional y el derecho a decidir de Cataluña: una reflexión sobre la STC de 25 de marzo de 2014”. Blog de la Revista Catalana de Dret Públic, 2 de abril de 2014. </w:t>
      </w:r>
      <w:r w:rsidRPr="0058085A">
        <w:rPr>
          <w:lang w:val="en-GB"/>
        </w:rPr>
        <w:t>Disponible on line: https://eapc-rcdp.blog.gencat.cat/2014/04/02/el-tribunal-constitucional-y-el-derecho-a-decidir-de-cataluna-una-reflexion-sobre-la-stc-de-25-de-marzo-de-2014-joan-vintro/</w:t>
      </w:r>
      <w:r>
        <w:rPr>
          <w:lang w:val="en-GB"/>
        </w:rPr>
        <w:t>.</w:t>
      </w:r>
    </w:p>
  </w:footnote>
  <w:footnote w:id="74">
    <w:p w:rsidR="00C3474F" w:rsidRDefault="00C3474F" w:rsidP="0058085A">
      <w:pPr>
        <w:pStyle w:val="Textonotapie"/>
        <w:spacing w:line="360" w:lineRule="auto"/>
      </w:pPr>
      <w:r>
        <w:rPr>
          <w:rStyle w:val="Refdenotaalpie"/>
        </w:rPr>
        <w:footnoteRef/>
      </w:r>
      <w:r>
        <w:t xml:space="preserve"> </w:t>
      </w:r>
      <w:r w:rsidRPr="0058085A">
        <w:t>España. Tribunal Constitucional. Sala Primera. (2003). “Sentencia 40/2003, de 27 de febrero”.</w:t>
      </w:r>
      <w:r w:rsidRPr="0058085A">
        <w:rPr>
          <w:i/>
        </w:rPr>
        <w:t xml:space="preserve"> Boletín Oficial del Estado núm. 63</w:t>
      </w:r>
      <w:r w:rsidRPr="0058085A">
        <w:t>. 14 de marzo de 2003. Pp. 120- 160</w:t>
      </w:r>
      <w:r>
        <w:t>.</w:t>
      </w:r>
    </w:p>
  </w:footnote>
  <w:footnote w:id="75">
    <w:p w:rsidR="00C3474F" w:rsidRDefault="00C3474F" w:rsidP="00EE002F">
      <w:pPr>
        <w:pStyle w:val="Textonotapie"/>
        <w:spacing w:line="360" w:lineRule="auto"/>
        <w:jc w:val="both"/>
      </w:pPr>
      <w:r>
        <w:rPr>
          <w:rStyle w:val="Refdenotaalpie"/>
        </w:rPr>
        <w:footnoteRef/>
      </w:r>
      <w:r>
        <w:t xml:space="preserve"> España. Tribunal Constitucional. Pleno. (2017). “Recurso de inconstitucionalidad nº 1638/2017, contra la disposición adicional 40, apartados uno y dos, de la Ley 4/2017, de 28 de marzo, del Parlamento de Cataluña de Presupuestos de la Generalitat de Cataluña para el ejercicio 2017 y diversas partidas presupuestarias”. </w:t>
      </w:r>
      <w:r>
        <w:rPr>
          <w:i/>
        </w:rPr>
        <w:t>Boletín Oficial del Estado, núm. 81</w:t>
      </w:r>
      <w:r>
        <w:t xml:space="preserve">. 5 de abril de 2017. Pp. </w:t>
      </w:r>
      <w:r>
        <w:rPr>
          <w:shd w:val="clear" w:color="auto" w:fill="FFFFFF"/>
        </w:rPr>
        <w:t>26055- 26056.</w:t>
      </w:r>
    </w:p>
  </w:footnote>
  <w:footnote w:id="76">
    <w:p w:rsidR="00C3474F" w:rsidRDefault="00C3474F" w:rsidP="00EE002F">
      <w:pPr>
        <w:pStyle w:val="Textonotapie"/>
        <w:spacing w:line="360" w:lineRule="auto"/>
        <w:jc w:val="both"/>
      </w:pPr>
      <w:r>
        <w:rPr>
          <w:rStyle w:val="Refdenotaalpie"/>
        </w:rPr>
        <w:footnoteRef/>
      </w:r>
      <w:r>
        <w:t xml:space="preserve"> Ibid. P. 26056.</w:t>
      </w:r>
    </w:p>
  </w:footnote>
  <w:footnote w:id="77">
    <w:p w:rsidR="00C3474F" w:rsidRDefault="00C3474F" w:rsidP="00E0542A">
      <w:pPr>
        <w:pStyle w:val="Textonotapie"/>
        <w:spacing w:line="360" w:lineRule="auto"/>
      </w:pPr>
      <w:r>
        <w:rPr>
          <w:rStyle w:val="Refdenotaalpie"/>
        </w:rPr>
        <w:footnoteRef/>
      </w:r>
      <w:r>
        <w:t xml:space="preserve"> </w:t>
      </w:r>
      <w:r w:rsidRPr="00E0542A">
        <w:t xml:space="preserve">Catalunya. Tribunal Superior de Justicia de Catalunya. Sala Civil i Penal. (2017). “Sentencia 1/2017, de 13 de marzo”. </w:t>
      </w:r>
      <w:r w:rsidRPr="00E0542A">
        <w:rPr>
          <w:i/>
        </w:rPr>
        <w:t>Diari Oficial de la Generalitat de Catalunya núm. 70338</w:t>
      </w:r>
      <w:r w:rsidRPr="00E0542A">
        <w:t>. 14 de marzo de 2017. Pp. 8-41.</w:t>
      </w:r>
    </w:p>
  </w:footnote>
  <w:footnote w:id="78">
    <w:p w:rsidR="00C3474F" w:rsidRDefault="00C3474F" w:rsidP="00E0542A">
      <w:pPr>
        <w:pStyle w:val="Textonotapie"/>
        <w:spacing w:line="360" w:lineRule="auto"/>
      </w:pPr>
      <w:r>
        <w:rPr>
          <w:rStyle w:val="Refdenotaalpie"/>
        </w:rPr>
        <w:footnoteRef/>
      </w:r>
      <w:r>
        <w:t xml:space="preserve"> </w:t>
      </w:r>
      <w:r w:rsidRPr="00E0542A">
        <w:rPr>
          <w:rFonts w:eastAsia="Calibri"/>
          <w:lang w:eastAsia="en-US"/>
        </w:rPr>
        <w:t xml:space="preserve">España. Tribunal Supremo. Sala de lo Penal. (2017). “Sentencia 972/2017, de 22 de marzo”. </w:t>
      </w:r>
      <w:r w:rsidRPr="00063DC0">
        <w:rPr>
          <w:rFonts w:eastAsia="Calibri"/>
          <w:i/>
          <w:lang w:eastAsia="en-US"/>
        </w:rPr>
        <w:t>Boletín Oficial del Estado núm. 96</w:t>
      </w:r>
      <w:r>
        <w:rPr>
          <w:rFonts w:eastAsia="Calibri"/>
          <w:lang w:eastAsia="en-US"/>
        </w:rPr>
        <w:t xml:space="preserve">. Pp. 18756-18799. </w:t>
      </w:r>
    </w:p>
  </w:footnote>
  <w:footnote w:id="79">
    <w:p w:rsidR="00C3474F" w:rsidRDefault="00C3474F" w:rsidP="005130D6">
      <w:pPr>
        <w:pStyle w:val="Textonotapie"/>
        <w:spacing w:line="360" w:lineRule="auto"/>
        <w:jc w:val="both"/>
      </w:pPr>
      <w:r w:rsidRPr="00281766">
        <w:rPr>
          <w:rStyle w:val="Refdenotaalpie"/>
        </w:rPr>
        <w:footnoteRef/>
      </w:r>
      <w:r w:rsidRPr="00281766">
        <w:t xml:space="preserve"> Alemania. Deutscher Bundestag. (1949). “Ley Fundamental de la República Federal Alemana”. 23 de mayo de 1949. P. 41.</w:t>
      </w:r>
    </w:p>
  </w:footnote>
  <w:footnote w:id="80">
    <w:p w:rsidR="00C3474F" w:rsidRDefault="00C3474F" w:rsidP="005130D6">
      <w:pPr>
        <w:pStyle w:val="Textonotapie"/>
        <w:spacing w:line="360" w:lineRule="auto"/>
        <w:jc w:val="both"/>
      </w:pPr>
      <w:r w:rsidRPr="00281766">
        <w:rPr>
          <w:rStyle w:val="Refdenotaalpie"/>
        </w:rPr>
        <w:footnoteRef/>
      </w:r>
      <w:r w:rsidRPr="00281766">
        <w:t xml:space="preserve"> Calafell Ferrá, V.J. (2000) “La compulsión o coerción estatal (estudio del artículo 155 de la Constitución Española)”. </w:t>
      </w:r>
      <w:r w:rsidRPr="00281766">
        <w:rPr>
          <w:i/>
        </w:rPr>
        <w:t>Revista de Derecho Político, núm. 49</w:t>
      </w:r>
      <w:r w:rsidRPr="00281766">
        <w:t xml:space="preserve">. Pp. 99-146. </w:t>
      </w:r>
    </w:p>
  </w:footnote>
  <w:footnote w:id="81">
    <w:p w:rsidR="00C3474F" w:rsidRDefault="00C3474F" w:rsidP="005130D6">
      <w:pPr>
        <w:pStyle w:val="Textonotapie"/>
        <w:spacing w:line="360" w:lineRule="auto"/>
        <w:jc w:val="both"/>
      </w:pPr>
      <w:r w:rsidRPr="00281766">
        <w:rPr>
          <w:rStyle w:val="Refdenotaalpie"/>
        </w:rPr>
        <w:footnoteRef/>
      </w:r>
      <w:r w:rsidRPr="00281766">
        <w:t xml:space="preserve"> España. Senado. (1994). “Texto Refundido del Reglamento del Senado aprobado por la Mesa del Senado, oída la Junta de Portavoces, en su reunión del día 3 de mayo de 1994”. </w:t>
      </w:r>
      <w:r w:rsidRPr="00281766">
        <w:rPr>
          <w:i/>
        </w:rPr>
        <w:t>Boletín Oficial del Estado núm. 114</w:t>
      </w:r>
      <w:r w:rsidRPr="00281766">
        <w:t>. 13 de mayo de 1994. Pp. 14687-14709.</w:t>
      </w:r>
    </w:p>
  </w:footnote>
  <w:footnote w:id="82">
    <w:p w:rsidR="00C3474F" w:rsidRDefault="00C3474F" w:rsidP="005130D6">
      <w:pPr>
        <w:pStyle w:val="Textonotapie"/>
        <w:spacing w:line="360" w:lineRule="auto"/>
        <w:jc w:val="both"/>
      </w:pPr>
      <w:r w:rsidRPr="00281766">
        <w:rPr>
          <w:rStyle w:val="Refdenotaalpie"/>
        </w:rPr>
        <w:footnoteRef/>
      </w:r>
      <w:r w:rsidRPr="00281766">
        <w:t xml:space="preserve"> Álvarez Álvarez, L. (2016). “La coerción estatal del artículo 155 CE en el Estado Autonómico”. </w:t>
      </w:r>
      <w:r w:rsidRPr="00281766">
        <w:rPr>
          <w:i/>
        </w:rPr>
        <w:t>Teoría y Realidad Constitucional, núm 38.</w:t>
      </w:r>
      <w:r w:rsidRPr="00281766">
        <w:t xml:space="preserve"> Pp. 277-304.</w:t>
      </w:r>
    </w:p>
  </w:footnote>
  <w:footnote w:id="83">
    <w:p w:rsidR="00C3474F" w:rsidRDefault="00C3474F" w:rsidP="005130D6">
      <w:pPr>
        <w:pStyle w:val="Textonotapie"/>
        <w:spacing w:line="360" w:lineRule="auto"/>
        <w:jc w:val="both"/>
      </w:pPr>
      <w:r w:rsidRPr="00F6560A">
        <w:rPr>
          <w:rStyle w:val="Refdenotaalpie"/>
        </w:rPr>
        <w:footnoteRef/>
      </w:r>
      <w:r w:rsidRPr="00F6560A">
        <w:t xml:space="preserve"> Vírgala Foruria, E. (2005) “La coacción estatal del artículo 155 de la Constitución”. </w:t>
      </w:r>
      <w:r w:rsidRPr="00F6560A">
        <w:rPr>
          <w:i/>
        </w:rPr>
        <w:t>Revista española de Derecho Constitucional, núm. 73</w:t>
      </w:r>
      <w:r w:rsidRPr="00F6560A">
        <w:t>. Pp. 99-100</w:t>
      </w:r>
      <w:r w:rsidR="006D40B9">
        <w:t>.</w:t>
      </w:r>
    </w:p>
  </w:footnote>
  <w:footnote w:id="84">
    <w:p w:rsidR="00C3474F" w:rsidRDefault="00C3474F" w:rsidP="005130D6">
      <w:pPr>
        <w:pStyle w:val="Textonotapie"/>
        <w:spacing w:line="360" w:lineRule="auto"/>
        <w:jc w:val="both"/>
      </w:pPr>
      <w:r w:rsidRPr="00F6560A">
        <w:rPr>
          <w:rStyle w:val="Refdenotaalpie"/>
        </w:rPr>
        <w:footnoteRef/>
      </w:r>
      <w:r w:rsidRPr="00F6560A">
        <w:t xml:space="preserve"> García Torres, J. (1984). “El artículo 155 de la Constitución Española y el principio constitucional de autonomía”. </w:t>
      </w:r>
      <w:r w:rsidRPr="00F75775">
        <w:rPr>
          <w:i/>
        </w:rPr>
        <w:t>Organización Territorial del Estado: Comunidades Autónomas, vol. II</w:t>
      </w:r>
      <w:r w:rsidRPr="00F6560A">
        <w:t>. Madrid, Instituto de Estudios Fiscales Pp. 1189-1302.</w:t>
      </w:r>
    </w:p>
  </w:footnote>
  <w:footnote w:id="85">
    <w:p w:rsidR="00C3474F" w:rsidRDefault="00C3474F" w:rsidP="005130D6">
      <w:pPr>
        <w:pStyle w:val="Textonotapie"/>
        <w:spacing w:line="360" w:lineRule="auto"/>
        <w:jc w:val="both"/>
      </w:pPr>
      <w:r w:rsidRPr="00F6560A">
        <w:rPr>
          <w:rStyle w:val="Refdenotaalpie"/>
        </w:rPr>
        <w:footnoteRef/>
      </w:r>
      <w:r w:rsidRPr="00F6560A">
        <w:t xml:space="preserve"> Calafell Ferrá, “Compulsión o coerción…” (op. cit). P.132</w:t>
      </w:r>
    </w:p>
  </w:footnote>
  <w:footnote w:id="86">
    <w:p w:rsidR="00C3474F" w:rsidRDefault="00C3474F" w:rsidP="005130D6">
      <w:pPr>
        <w:pStyle w:val="Textonotapie"/>
        <w:spacing w:line="360" w:lineRule="auto"/>
        <w:jc w:val="both"/>
      </w:pPr>
      <w:r w:rsidRPr="00F6560A">
        <w:rPr>
          <w:rStyle w:val="Refdenotaalpie"/>
        </w:rPr>
        <w:footnoteRef/>
      </w:r>
      <w:r w:rsidRPr="00F6560A">
        <w:t xml:space="preserve"> Álvarez Álvarez. “La coerción estatal…” (op. cit.). P. 297</w:t>
      </w:r>
    </w:p>
  </w:footnote>
  <w:footnote w:id="87">
    <w:p w:rsidR="00C3474F" w:rsidRDefault="00C3474F" w:rsidP="005130D6">
      <w:pPr>
        <w:pStyle w:val="Textonotapie"/>
        <w:spacing w:line="360" w:lineRule="auto"/>
        <w:jc w:val="both"/>
      </w:pPr>
      <w:r w:rsidRPr="00F6560A">
        <w:rPr>
          <w:rStyle w:val="Refdenotaalpie"/>
        </w:rPr>
        <w:footnoteRef/>
      </w:r>
      <w:r w:rsidRPr="00F6560A">
        <w:t xml:space="preserve"> Calafell Ferrá. “Compulsión o coerción...” (op. cit.). P. 130.</w:t>
      </w:r>
    </w:p>
  </w:footnote>
  <w:footnote w:id="88">
    <w:p w:rsidR="00C3474F" w:rsidRDefault="00C3474F" w:rsidP="005130D6">
      <w:pPr>
        <w:pStyle w:val="Textonotapie"/>
        <w:spacing w:line="360" w:lineRule="auto"/>
        <w:jc w:val="both"/>
      </w:pPr>
      <w:r w:rsidRPr="00F6560A">
        <w:rPr>
          <w:rStyle w:val="Refdenotaalpie"/>
        </w:rPr>
        <w:footnoteRef/>
      </w:r>
      <w:r w:rsidRPr="00F6560A">
        <w:t xml:space="preserve"> Vírgala Foruria. “La coacción…” (op. cit.). P. 101</w:t>
      </w:r>
    </w:p>
  </w:footnote>
  <w:footnote w:id="89">
    <w:p w:rsidR="00C3474F" w:rsidRDefault="00C3474F" w:rsidP="005130D6">
      <w:pPr>
        <w:pStyle w:val="Textonotapie"/>
        <w:spacing w:line="360" w:lineRule="auto"/>
        <w:jc w:val="both"/>
      </w:pPr>
      <w:r w:rsidRPr="00F6560A">
        <w:rPr>
          <w:rStyle w:val="Refdenotaalpie"/>
        </w:rPr>
        <w:footnoteRef/>
      </w:r>
      <w:r w:rsidRPr="00F6560A">
        <w:t xml:space="preserve"> Fernández Rodera, J.A. (2003) “A vueltas con el artículo 155”.</w:t>
      </w:r>
      <w:r>
        <w:t xml:space="preserve"> </w:t>
      </w:r>
      <w:r w:rsidRPr="00F75775">
        <w:rPr>
          <w:i/>
        </w:rPr>
        <w:t>Actualidad jurídica Aranzadi, núm 603</w:t>
      </w:r>
      <w:r w:rsidRPr="00F6560A">
        <w:t>. Pp. 1-5.</w:t>
      </w:r>
    </w:p>
  </w:footnote>
  <w:footnote w:id="90">
    <w:p w:rsidR="00C3474F" w:rsidRDefault="00C3474F" w:rsidP="005130D6">
      <w:pPr>
        <w:pStyle w:val="Textonotapie"/>
        <w:spacing w:line="360" w:lineRule="auto"/>
        <w:jc w:val="both"/>
      </w:pPr>
      <w:r w:rsidRPr="00F6560A">
        <w:rPr>
          <w:rStyle w:val="Refdenotaalpie"/>
        </w:rPr>
        <w:footnoteRef/>
      </w:r>
      <w:r w:rsidRPr="00F6560A">
        <w:t xml:space="preserve"> Corral Maraver, N. (2015). “La II República española y el Código Penal de 1932</w:t>
      </w:r>
      <w:r w:rsidRPr="006D40B9">
        <w:rPr>
          <w:i/>
        </w:rPr>
        <w:t>”. Las penas largas de prisión en España. Evolución histórica y político-criminal</w:t>
      </w:r>
      <w:r w:rsidRPr="00F6560A">
        <w:t>. Madrid, Dykinson. Pp. 111-133.</w:t>
      </w:r>
    </w:p>
  </w:footnote>
  <w:footnote w:id="91">
    <w:p w:rsidR="00C3474F" w:rsidRDefault="00C3474F" w:rsidP="005130D6">
      <w:pPr>
        <w:pStyle w:val="Textonotapie"/>
        <w:spacing w:line="360" w:lineRule="auto"/>
        <w:jc w:val="both"/>
      </w:pPr>
      <w:r w:rsidRPr="00FA0D12">
        <w:rPr>
          <w:rStyle w:val="Refdenotaalpie"/>
        </w:rPr>
        <w:footnoteRef/>
      </w:r>
      <w:r w:rsidRPr="00FA0D12">
        <w:t xml:space="preserve"> Las opiniones analizadas a continuación pueden encontrarse en “Encue</w:t>
      </w:r>
      <w:r>
        <w:t xml:space="preserve">sta sobre la cuestión catalana”. </w:t>
      </w:r>
      <w:r w:rsidRPr="00BC77C8">
        <w:rPr>
          <w:i/>
        </w:rPr>
        <w:t>Teoría y Realidad…</w:t>
      </w:r>
      <w:r>
        <w:t xml:space="preserve"> </w:t>
      </w:r>
      <w:r w:rsidRPr="00FA0D12">
        <w:t xml:space="preserve">(op. cit). Pp. </w:t>
      </w:r>
      <w:r>
        <w:t>13-98</w:t>
      </w:r>
      <w:r w:rsidRPr="00FA0D12">
        <w:t>.</w:t>
      </w:r>
    </w:p>
  </w:footnote>
  <w:footnote w:id="92">
    <w:p w:rsidR="00C3474F" w:rsidRDefault="00C3474F" w:rsidP="005130D6">
      <w:pPr>
        <w:pStyle w:val="Textonotapie"/>
        <w:spacing w:line="360" w:lineRule="auto"/>
        <w:jc w:val="both"/>
      </w:pPr>
      <w:r w:rsidRPr="00F6560A">
        <w:rPr>
          <w:rStyle w:val="Refdenotaalpie"/>
        </w:rPr>
        <w:footnoteRef/>
      </w:r>
      <w:r w:rsidRPr="00F6560A">
        <w:t xml:space="preserve"> España. Congreso de los Diputados. (1979). “Ley Orgánica 2/1979, de 3 de octubre, del Tribunal Constitucional”. </w:t>
      </w:r>
      <w:r w:rsidRPr="00F6560A">
        <w:rPr>
          <w:i/>
        </w:rPr>
        <w:t>Boletín Oficial del Estado núm. 239</w:t>
      </w:r>
      <w:r w:rsidRPr="00F6560A">
        <w:t>. 5 de octubre de 1979. Pp. 23186-23195</w:t>
      </w:r>
      <w:r>
        <w:t>.</w:t>
      </w:r>
    </w:p>
  </w:footnote>
  <w:footnote w:id="93">
    <w:p w:rsidR="00C3474F" w:rsidRDefault="00C3474F" w:rsidP="005130D6">
      <w:pPr>
        <w:pStyle w:val="Textonotapie"/>
        <w:spacing w:line="360" w:lineRule="auto"/>
        <w:jc w:val="both"/>
      </w:pPr>
      <w:r w:rsidRPr="00F6560A">
        <w:rPr>
          <w:rStyle w:val="Refdenotaalpie"/>
        </w:rPr>
        <w:footnoteRef/>
      </w:r>
      <w:r w:rsidRPr="00F6560A">
        <w:t xml:space="preserve"> España. Congreso de los Diputados. (2015). “Ley Orgánica 15/2015, de 16 de octubre, de reforma de la Ley Orgánica 2/1979, de 3 de octubre, del Tribunal Constitucional, para la ejecución de las resoluciones del Tribunal Constitucional como garantía del Estado de Derecho”. </w:t>
      </w:r>
      <w:r w:rsidRPr="00F6560A">
        <w:rPr>
          <w:i/>
        </w:rPr>
        <w:t>Boletín Oficial del Estado núm. 249</w:t>
      </w:r>
      <w:r w:rsidRPr="00F6560A">
        <w:t>. 17 de octubre de 2015. Pp. 96657-96659.</w:t>
      </w:r>
    </w:p>
  </w:footnote>
  <w:footnote w:id="94">
    <w:p w:rsidR="00C3474F" w:rsidRDefault="00C3474F" w:rsidP="005130D6">
      <w:pPr>
        <w:pStyle w:val="Textonotapie"/>
        <w:spacing w:line="360" w:lineRule="auto"/>
        <w:jc w:val="both"/>
      </w:pPr>
      <w:r w:rsidRPr="00F6377A">
        <w:rPr>
          <w:rStyle w:val="Refdenotaalpie"/>
        </w:rPr>
        <w:footnoteRef/>
      </w:r>
      <w:r w:rsidRPr="00F6377A">
        <w:t xml:space="preserve"> España. Tribunal Constitucional. (2016). “Sentencia del Tribunal Constitucional 185/2016, de 3 de noviembre</w:t>
      </w:r>
      <w:r w:rsidRPr="00E0542A">
        <w:rPr>
          <w:i/>
        </w:rPr>
        <w:t>”. Boletín Oficial del Estado núm. 299</w:t>
      </w:r>
      <w:r w:rsidRPr="00F6377A">
        <w:t>. 12 de diciembre de 2016. Pp. 86580-86646.</w:t>
      </w:r>
    </w:p>
  </w:footnote>
  <w:footnote w:id="95">
    <w:p w:rsidR="00C3474F" w:rsidRDefault="00C3474F" w:rsidP="005130D6">
      <w:pPr>
        <w:pStyle w:val="Textonotapie"/>
        <w:spacing w:line="360" w:lineRule="auto"/>
        <w:jc w:val="both"/>
      </w:pPr>
      <w:r w:rsidRPr="00F6377A">
        <w:rPr>
          <w:rStyle w:val="Refdenotaalpie"/>
        </w:rPr>
        <w:footnoteRef/>
      </w:r>
      <w:r w:rsidRPr="00F6377A">
        <w:t xml:space="preserve"> Véase Ibid. Fundamento jurídico 15: </w:t>
      </w:r>
      <w:r w:rsidRPr="00F6377A">
        <w:rPr>
          <w:i/>
        </w:rPr>
        <w:t>“la medida de suspensión en sus funciones de las autoridades o empleados públicos del art. 92.4 b) LOTC es, desde luego, una consecuencia jurídica gravosa para la autoridad o empleado público al que se le aplique, pero ello no la convierte sin más en una medida punitiva”</w:t>
      </w:r>
      <w:r w:rsidRPr="00F6377A">
        <w:t>.</w:t>
      </w:r>
    </w:p>
  </w:footnote>
  <w:footnote w:id="96">
    <w:p w:rsidR="00C3474F" w:rsidRPr="00EE002F" w:rsidRDefault="00C3474F" w:rsidP="005130D6">
      <w:pPr>
        <w:pStyle w:val="Textonotapie"/>
        <w:spacing w:line="360" w:lineRule="auto"/>
        <w:jc w:val="both"/>
        <w:rPr>
          <w:lang w:val="en-US"/>
        </w:rPr>
      </w:pPr>
      <w:r w:rsidRPr="00F6377A">
        <w:rPr>
          <w:rStyle w:val="Refdenotaalpie"/>
        </w:rPr>
        <w:footnoteRef/>
      </w:r>
      <w:r w:rsidRPr="00A51AB5">
        <w:rPr>
          <w:lang w:val="en-US"/>
        </w:rPr>
        <w:t xml:space="preserve"> Ibid. P. 86616.</w:t>
      </w:r>
    </w:p>
  </w:footnote>
  <w:footnote w:id="97">
    <w:p w:rsidR="00C3474F" w:rsidRPr="00EE002F" w:rsidRDefault="00C3474F" w:rsidP="005130D6">
      <w:pPr>
        <w:pStyle w:val="Textonotapie"/>
        <w:spacing w:line="360" w:lineRule="auto"/>
        <w:jc w:val="both"/>
        <w:rPr>
          <w:lang w:val="en-US"/>
        </w:rPr>
      </w:pPr>
      <w:r w:rsidRPr="00F6377A">
        <w:rPr>
          <w:rStyle w:val="Refdenotaalpie"/>
        </w:rPr>
        <w:footnoteRef/>
      </w:r>
      <w:r w:rsidRPr="00A51AB5">
        <w:rPr>
          <w:lang w:val="en-US"/>
        </w:rPr>
        <w:t xml:space="preserve"> Ibid. P. 86626.</w:t>
      </w:r>
    </w:p>
  </w:footnote>
  <w:footnote w:id="98">
    <w:p w:rsidR="00C3474F" w:rsidRPr="00EE002F" w:rsidRDefault="00C3474F" w:rsidP="005130D6">
      <w:pPr>
        <w:pStyle w:val="Textonotapie"/>
        <w:spacing w:line="360" w:lineRule="auto"/>
        <w:jc w:val="both"/>
        <w:rPr>
          <w:lang w:val="en-US"/>
        </w:rPr>
      </w:pPr>
      <w:r w:rsidRPr="00F6377A">
        <w:rPr>
          <w:rStyle w:val="Refdenotaalpie"/>
        </w:rPr>
        <w:footnoteRef/>
      </w:r>
      <w:r w:rsidRPr="00A51AB5">
        <w:rPr>
          <w:lang w:val="en-US"/>
        </w:rPr>
        <w:t xml:space="preserve"> Ibid. P. 86635-86636.</w:t>
      </w:r>
    </w:p>
  </w:footnote>
  <w:footnote w:id="99">
    <w:p w:rsidR="00C3474F" w:rsidRDefault="00C3474F" w:rsidP="005130D6">
      <w:pPr>
        <w:pStyle w:val="Textonotapie"/>
        <w:spacing w:line="360" w:lineRule="auto"/>
        <w:jc w:val="both"/>
      </w:pPr>
      <w:r w:rsidRPr="00F6377A">
        <w:rPr>
          <w:rStyle w:val="Refdenotaalpie"/>
        </w:rPr>
        <w:footnoteRef/>
      </w:r>
      <w:r w:rsidRPr="00F6377A">
        <w:t xml:space="preserve"> Hernández Ramos, M. (2016). “Ley Orgánica 15/2015, de 16 de octubre, de reforma de la Ley Orgánica 2/1979, de 3 de octubre, del Tribunal Constitucional, para la ejecución de las resoluciones del Tribunal Constitucional como garantía del Estado de Derecho. Un paso en la dirección equivocada”. </w:t>
      </w:r>
      <w:r w:rsidRPr="00F6377A">
        <w:rPr>
          <w:i/>
        </w:rPr>
        <w:t>Ars Iuris Salmanticensis, vol. 4</w:t>
      </w:r>
      <w:r w:rsidRPr="00F6377A">
        <w:t>. Salamanca, Ediciones Universidad de Salamanca. Pp. 252-255.</w:t>
      </w:r>
    </w:p>
  </w:footnote>
  <w:footnote w:id="100">
    <w:p w:rsidR="00C3474F" w:rsidRDefault="00C3474F" w:rsidP="005130D6">
      <w:pPr>
        <w:pStyle w:val="Textonotapie"/>
        <w:spacing w:line="360" w:lineRule="auto"/>
        <w:jc w:val="both"/>
      </w:pPr>
      <w:r w:rsidRPr="00457B38">
        <w:rPr>
          <w:rStyle w:val="Refdenotaalpie"/>
        </w:rPr>
        <w:footnoteRef/>
      </w:r>
      <w:r w:rsidRPr="00457B38">
        <w:t xml:space="preserve"> España. </w:t>
      </w:r>
      <w:r>
        <w:t>“</w:t>
      </w:r>
      <w:r w:rsidRPr="007E1FC5">
        <w:t xml:space="preserve">Ley Orgánica 10/1995, de 23 de noviembre, del Código Penal. </w:t>
      </w:r>
      <w:r w:rsidRPr="00C47CBE">
        <w:rPr>
          <w:i/>
        </w:rPr>
        <w:t>Boletín Oficial del Estado núm. 95</w:t>
      </w:r>
      <w:r>
        <w:t>.</w:t>
      </w:r>
      <w:r w:rsidRPr="007E1FC5">
        <w:t xml:space="preserve"> 24 de noviembre de 1995</w:t>
      </w:r>
      <w:r>
        <w:t xml:space="preserve">”. </w:t>
      </w:r>
      <w:r w:rsidRPr="007E1FC5">
        <w:rPr>
          <w:i/>
        </w:rPr>
        <w:t>Boletín del Estado núm. 281.</w:t>
      </w:r>
      <w:r>
        <w:t xml:space="preserve"> P</w:t>
      </w:r>
      <w:r w:rsidRPr="007E1FC5">
        <w:t>p. 33987-34058.</w:t>
      </w:r>
    </w:p>
  </w:footnote>
  <w:footnote w:id="101">
    <w:p w:rsidR="00C3474F" w:rsidRDefault="00C3474F" w:rsidP="005130D6">
      <w:pPr>
        <w:pStyle w:val="Textonotapie"/>
        <w:spacing w:line="360" w:lineRule="auto"/>
        <w:jc w:val="both"/>
      </w:pPr>
      <w:r w:rsidRPr="00457B38">
        <w:rPr>
          <w:rStyle w:val="Refdenotaalpie"/>
        </w:rPr>
        <w:footnoteRef/>
      </w:r>
      <w:r w:rsidRPr="00457B38">
        <w:t xml:space="preserve"> Lorente Velasco, S.M. (2011). “Delitos de atentado contra la autoridad, sus agentes y los funcionarios públicos y de resistencia y desobediencia”. Madrid, Dykinson. Pp. </w:t>
      </w:r>
      <w:r>
        <w:t>254-268.</w:t>
      </w:r>
    </w:p>
  </w:footnote>
  <w:footnote w:id="102">
    <w:p w:rsidR="00C3474F" w:rsidRDefault="00C3474F" w:rsidP="005130D6">
      <w:pPr>
        <w:pStyle w:val="Textonotapie"/>
        <w:spacing w:line="360" w:lineRule="auto"/>
        <w:jc w:val="both"/>
      </w:pPr>
      <w:r w:rsidRPr="001D7B6E">
        <w:rPr>
          <w:rStyle w:val="Refdenotaalpie"/>
        </w:rPr>
        <w:footnoteRef/>
      </w:r>
      <w:r w:rsidRPr="001D7B6E">
        <w:t xml:space="preserve"> Peris Riera, J. (2015). “Delitos contra el orden público y la comunidad internacional”. </w:t>
      </w:r>
      <w:r w:rsidRPr="006D40B9">
        <w:rPr>
          <w:i/>
        </w:rPr>
        <w:t>Estudios sobre el Código Penal Reformado (Leyes Orgánicas 1/2015 y 2/2015)</w:t>
      </w:r>
      <w:r w:rsidRPr="001D7B6E">
        <w:t>. Madrid, Dykinson. Pp. 875-903.</w:t>
      </w:r>
    </w:p>
  </w:footnote>
  <w:footnote w:id="103">
    <w:p w:rsidR="00C3474F" w:rsidRDefault="00C3474F" w:rsidP="005130D6">
      <w:pPr>
        <w:pStyle w:val="Textonotapie"/>
        <w:spacing w:line="360" w:lineRule="auto"/>
        <w:jc w:val="both"/>
      </w:pPr>
      <w:r w:rsidRPr="00457B38">
        <w:rPr>
          <w:rStyle w:val="Refdenotaalpie"/>
        </w:rPr>
        <w:footnoteRef/>
      </w:r>
      <w:r w:rsidRPr="00457B38">
        <w:t xml:space="preserve"> España. Congreso de los Diputados. (1981). “Ley Orgánica 4/198.1, de 1 de junio, del estado de alarma, excepción y sitio. </w:t>
      </w:r>
      <w:r w:rsidRPr="00C47CBE">
        <w:rPr>
          <w:i/>
        </w:rPr>
        <w:t>Boletín Oficial del Estado núm. 134</w:t>
      </w:r>
      <w:r w:rsidRPr="00457B38">
        <w:t>. 5 de junio de 1981. Pp. 12541-12543.</w:t>
      </w:r>
    </w:p>
  </w:footnote>
  <w:footnote w:id="104">
    <w:p w:rsidR="00C3474F" w:rsidRDefault="00C3474F" w:rsidP="005130D6">
      <w:pPr>
        <w:pStyle w:val="Textonotapie"/>
        <w:spacing w:line="360" w:lineRule="auto"/>
        <w:jc w:val="both"/>
      </w:pPr>
      <w:r w:rsidRPr="005D4687">
        <w:rPr>
          <w:rStyle w:val="Refdenotaalpie"/>
        </w:rPr>
        <w:footnoteRef/>
      </w:r>
      <w:r w:rsidRPr="005D4687">
        <w:t xml:space="preserve"> Cruz Villalón, P. (1980). “El estado de sitio y la Constitución: la constitucionalización de la protección extraordinaria del Estado”. Madrid, Centro </w:t>
      </w:r>
      <w:r>
        <w:t>de Estudios Constitucionales. P</w:t>
      </w:r>
      <w:r w:rsidRPr="005D4687">
        <w:t xml:space="preserve">. </w:t>
      </w:r>
      <w:r>
        <w:t>296.</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474F" w:rsidRDefault="00C3474F">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285C3A"/>
    <w:multiLevelType w:val="hybridMultilevel"/>
    <w:tmpl w:val="6BDC2DB4"/>
    <w:lvl w:ilvl="0" w:tplc="0C0A000F">
      <w:start w:val="1"/>
      <w:numFmt w:val="decimal"/>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17B77919"/>
    <w:multiLevelType w:val="multilevel"/>
    <w:tmpl w:val="E7CAD0A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18581421"/>
    <w:multiLevelType w:val="hybridMultilevel"/>
    <w:tmpl w:val="B7EC6FA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nsid w:val="1F0A7B69"/>
    <w:multiLevelType w:val="hybridMultilevel"/>
    <w:tmpl w:val="7A604FC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nsid w:val="22C63F31"/>
    <w:multiLevelType w:val="hybridMultilevel"/>
    <w:tmpl w:val="C44E7364"/>
    <w:lvl w:ilvl="0" w:tplc="0C0A000F">
      <w:start w:val="1"/>
      <w:numFmt w:val="decimal"/>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24120A61"/>
    <w:multiLevelType w:val="hybridMultilevel"/>
    <w:tmpl w:val="3E6E8C7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2CAD332B"/>
    <w:multiLevelType w:val="hybridMultilevel"/>
    <w:tmpl w:val="9946937A"/>
    <w:lvl w:ilvl="0" w:tplc="0C0A000F">
      <w:start w:val="1"/>
      <w:numFmt w:val="decimal"/>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3B7F2642"/>
    <w:multiLevelType w:val="hybridMultilevel"/>
    <w:tmpl w:val="87844E40"/>
    <w:lvl w:ilvl="0" w:tplc="54CC9A3E">
      <w:start w:val="1"/>
      <w:numFmt w:val="bullet"/>
      <w:lvlText w:val="-"/>
      <w:lvlJc w:val="left"/>
      <w:pPr>
        <w:tabs>
          <w:tab w:val="num" w:pos="720"/>
        </w:tabs>
        <w:ind w:left="720" w:hanging="360"/>
      </w:pPr>
      <w:rPr>
        <w:rFonts w:ascii="Times New Roman" w:eastAsia="Times New Roman" w:hAnsi="Times New Roman"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nsid w:val="563E58A9"/>
    <w:multiLevelType w:val="hybridMultilevel"/>
    <w:tmpl w:val="0BF2991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nsid w:val="57132F1A"/>
    <w:multiLevelType w:val="hybridMultilevel"/>
    <w:tmpl w:val="07DE47B2"/>
    <w:lvl w:ilvl="0" w:tplc="0C0A000F">
      <w:start w:val="1"/>
      <w:numFmt w:val="decimal"/>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5726259F"/>
    <w:multiLevelType w:val="hybridMultilevel"/>
    <w:tmpl w:val="36025FC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5B3545C5"/>
    <w:multiLevelType w:val="hybridMultilevel"/>
    <w:tmpl w:val="9E0E2228"/>
    <w:lvl w:ilvl="0" w:tplc="54CC9A3E">
      <w:start w:val="1"/>
      <w:numFmt w:val="bullet"/>
      <w:lvlText w:val="-"/>
      <w:lvlJc w:val="left"/>
      <w:pPr>
        <w:tabs>
          <w:tab w:val="num" w:pos="720"/>
        </w:tabs>
        <w:ind w:left="720" w:hanging="360"/>
      </w:pPr>
      <w:rPr>
        <w:rFonts w:ascii="Times New Roman" w:eastAsia="Times New Roman" w:hAnsi="Times New Roman"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
    <w:nsid w:val="60864F21"/>
    <w:multiLevelType w:val="hybridMultilevel"/>
    <w:tmpl w:val="DC2AD7C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nsid w:val="60E876FE"/>
    <w:multiLevelType w:val="hybridMultilevel"/>
    <w:tmpl w:val="5218E388"/>
    <w:lvl w:ilvl="0" w:tplc="0C0A000F">
      <w:start w:val="1"/>
      <w:numFmt w:val="decimal"/>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739F7784"/>
    <w:multiLevelType w:val="hybridMultilevel"/>
    <w:tmpl w:val="BFD629E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12"/>
  </w:num>
  <w:num w:numId="2">
    <w:abstractNumId w:val="8"/>
  </w:num>
  <w:num w:numId="3">
    <w:abstractNumId w:val="3"/>
  </w:num>
  <w:num w:numId="4">
    <w:abstractNumId w:val="14"/>
  </w:num>
  <w:num w:numId="5">
    <w:abstractNumId w:val="2"/>
  </w:num>
  <w:num w:numId="6">
    <w:abstractNumId w:val="7"/>
  </w:num>
  <w:num w:numId="7">
    <w:abstractNumId w:val="11"/>
  </w:num>
  <w:num w:numId="8">
    <w:abstractNumId w:val="11"/>
  </w:num>
  <w:num w:numId="9">
    <w:abstractNumId w:val="7"/>
  </w:num>
  <w:num w:numId="10">
    <w:abstractNumId w:val="1"/>
  </w:num>
  <w:num w:numId="11">
    <w:abstractNumId w:val="6"/>
  </w:num>
  <w:num w:numId="12">
    <w:abstractNumId w:val="10"/>
  </w:num>
  <w:num w:numId="13">
    <w:abstractNumId w:val="5"/>
  </w:num>
  <w:num w:numId="14">
    <w:abstractNumId w:val="0"/>
  </w:num>
  <w:num w:numId="15">
    <w:abstractNumId w:val="13"/>
  </w:num>
  <w:num w:numId="16">
    <w:abstractNumId w:val="9"/>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57"/>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8453E"/>
    <w:rsid w:val="0000596D"/>
    <w:rsid w:val="00014133"/>
    <w:rsid w:val="0002135C"/>
    <w:rsid w:val="00033D27"/>
    <w:rsid w:val="00037948"/>
    <w:rsid w:val="00047BD3"/>
    <w:rsid w:val="00063DC0"/>
    <w:rsid w:val="000717E0"/>
    <w:rsid w:val="0008453E"/>
    <w:rsid w:val="000C7EDB"/>
    <w:rsid w:val="000D185A"/>
    <w:rsid w:val="000F0880"/>
    <w:rsid w:val="00102AB0"/>
    <w:rsid w:val="001411DD"/>
    <w:rsid w:val="001421EC"/>
    <w:rsid w:val="00144857"/>
    <w:rsid w:val="00146A22"/>
    <w:rsid w:val="001523DF"/>
    <w:rsid w:val="001651B2"/>
    <w:rsid w:val="00181EDB"/>
    <w:rsid w:val="00183868"/>
    <w:rsid w:val="0018519E"/>
    <w:rsid w:val="001A1D18"/>
    <w:rsid w:val="001B2CB7"/>
    <w:rsid w:val="001D3DD5"/>
    <w:rsid w:val="001D7B6E"/>
    <w:rsid w:val="0022080A"/>
    <w:rsid w:val="00225CE0"/>
    <w:rsid w:val="00254E01"/>
    <w:rsid w:val="00255386"/>
    <w:rsid w:val="00265656"/>
    <w:rsid w:val="00281766"/>
    <w:rsid w:val="002D6E7A"/>
    <w:rsid w:val="002F1BB5"/>
    <w:rsid w:val="002F54FB"/>
    <w:rsid w:val="00315458"/>
    <w:rsid w:val="003278D7"/>
    <w:rsid w:val="00342F2D"/>
    <w:rsid w:val="003511BA"/>
    <w:rsid w:val="00377477"/>
    <w:rsid w:val="0038025E"/>
    <w:rsid w:val="0038777B"/>
    <w:rsid w:val="003D196A"/>
    <w:rsid w:val="00402F7D"/>
    <w:rsid w:val="0045466B"/>
    <w:rsid w:val="00457B38"/>
    <w:rsid w:val="00462AF9"/>
    <w:rsid w:val="0048379A"/>
    <w:rsid w:val="00494784"/>
    <w:rsid w:val="004A7818"/>
    <w:rsid w:val="004B3A07"/>
    <w:rsid w:val="004F1313"/>
    <w:rsid w:val="005130D6"/>
    <w:rsid w:val="00524836"/>
    <w:rsid w:val="005264C2"/>
    <w:rsid w:val="00561BDB"/>
    <w:rsid w:val="00562AD3"/>
    <w:rsid w:val="00564E1F"/>
    <w:rsid w:val="0058085A"/>
    <w:rsid w:val="005D4687"/>
    <w:rsid w:val="005E4304"/>
    <w:rsid w:val="00616EB2"/>
    <w:rsid w:val="00642C3E"/>
    <w:rsid w:val="00681AC9"/>
    <w:rsid w:val="00682ED9"/>
    <w:rsid w:val="00692F72"/>
    <w:rsid w:val="006B434B"/>
    <w:rsid w:val="006B5AA4"/>
    <w:rsid w:val="006C3DC5"/>
    <w:rsid w:val="006D40B9"/>
    <w:rsid w:val="00714A8E"/>
    <w:rsid w:val="00740D5C"/>
    <w:rsid w:val="0074392C"/>
    <w:rsid w:val="007465D1"/>
    <w:rsid w:val="0077733E"/>
    <w:rsid w:val="0079585D"/>
    <w:rsid w:val="007A5F60"/>
    <w:rsid w:val="007C5576"/>
    <w:rsid w:val="007C5C4A"/>
    <w:rsid w:val="007E1FC5"/>
    <w:rsid w:val="00827622"/>
    <w:rsid w:val="0083003C"/>
    <w:rsid w:val="0083437A"/>
    <w:rsid w:val="0083780C"/>
    <w:rsid w:val="0085171D"/>
    <w:rsid w:val="00874135"/>
    <w:rsid w:val="008746F6"/>
    <w:rsid w:val="008855FD"/>
    <w:rsid w:val="00885BB4"/>
    <w:rsid w:val="00893C79"/>
    <w:rsid w:val="008B5F2E"/>
    <w:rsid w:val="008C450B"/>
    <w:rsid w:val="008D2692"/>
    <w:rsid w:val="008E1780"/>
    <w:rsid w:val="008E7277"/>
    <w:rsid w:val="00914D76"/>
    <w:rsid w:val="00935F0F"/>
    <w:rsid w:val="0095194F"/>
    <w:rsid w:val="00960637"/>
    <w:rsid w:val="00965B92"/>
    <w:rsid w:val="00972971"/>
    <w:rsid w:val="00975140"/>
    <w:rsid w:val="00982AF2"/>
    <w:rsid w:val="009B01A0"/>
    <w:rsid w:val="009C4598"/>
    <w:rsid w:val="009E5A24"/>
    <w:rsid w:val="009F4F12"/>
    <w:rsid w:val="00A0596F"/>
    <w:rsid w:val="00A059B4"/>
    <w:rsid w:val="00A17C8F"/>
    <w:rsid w:val="00A369B6"/>
    <w:rsid w:val="00A46A5A"/>
    <w:rsid w:val="00A473FF"/>
    <w:rsid w:val="00A51AB5"/>
    <w:rsid w:val="00A52907"/>
    <w:rsid w:val="00A53820"/>
    <w:rsid w:val="00A5637A"/>
    <w:rsid w:val="00A9160D"/>
    <w:rsid w:val="00A96634"/>
    <w:rsid w:val="00AB7C6D"/>
    <w:rsid w:val="00B452F2"/>
    <w:rsid w:val="00B83869"/>
    <w:rsid w:val="00B9129F"/>
    <w:rsid w:val="00B94396"/>
    <w:rsid w:val="00BC77C8"/>
    <w:rsid w:val="00BD493D"/>
    <w:rsid w:val="00BD6DA1"/>
    <w:rsid w:val="00BF746A"/>
    <w:rsid w:val="00C3474F"/>
    <w:rsid w:val="00C4150D"/>
    <w:rsid w:val="00C43858"/>
    <w:rsid w:val="00C457C2"/>
    <w:rsid w:val="00C47CBE"/>
    <w:rsid w:val="00C71746"/>
    <w:rsid w:val="00C9294F"/>
    <w:rsid w:val="00CC1B13"/>
    <w:rsid w:val="00D114D2"/>
    <w:rsid w:val="00D2233A"/>
    <w:rsid w:val="00D2476B"/>
    <w:rsid w:val="00D25012"/>
    <w:rsid w:val="00D315C9"/>
    <w:rsid w:val="00D406A5"/>
    <w:rsid w:val="00D5404E"/>
    <w:rsid w:val="00D55AAA"/>
    <w:rsid w:val="00D60AB2"/>
    <w:rsid w:val="00D72B41"/>
    <w:rsid w:val="00D865E1"/>
    <w:rsid w:val="00DB6592"/>
    <w:rsid w:val="00E0542A"/>
    <w:rsid w:val="00E1584D"/>
    <w:rsid w:val="00E3686C"/>
    <w:rsid w:val="00E67EAC"/>
    <w:rsid w:val="00E735C4"/>
    <w:rsid w:val="00E95B7F"/>
    <w:rsid w:val="00E97FB3"/>
    <w:rsid w:val="00ED3125"/>
    <w:rsid w:val="00ED6B69"/>
    <w:rsid w:val="00EE002F"/>
    <w:rsid w:val="00F03715"/>
    <w:rsid w:val="00F222AE"/>
    <w:rsid w:val="00F23877"/>
    <w:rsid w:val="00F6377A"/>
    <w:rsid w:val="00F6560A"/>
    <w:rsid w:val="00F66735"/>
    <w:rsid w:val="00F75775"/>
    <w:rsid w:val="00F7578C"/>
    <w:rsid w:val="00F961C4"/>
    <w:rsid w:val="00FA0D12"/>
    <w:rsid w:val="00FC6213"/>
    <w:rsid w:val="00FC7CAA"/>
    <w:rsid w:val="00FE0DF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AB7C6D"/>
  </w:style>
  <w:style w:type="paragraph" w:styleId="Ttulo1">
    <w:name w:val="heading 1"/>
    <w:basedOn w:val="Normal"/>
    <w:next w:val="Normal"/>
    <w:link w:val="Ttulo1Car"/>
    <w:uiPriority w:val="99"/>
    <w:qFormat/>
    <w:rsid w:val="00AB7C6D"/>
    <w:pPr>
      <w:keepNext/>
      <w:outlineLvl w:val="0"/>
    </w:pPr>
    <w:rPr>
      <w:rFonts w:ascii="Cambria" w:hAnsi="Cambria"/>
      <w:b/>
      <w:bCs/>
      <w:kern w:val="32"/>
      <w:sz w:val="32"/>
      <w:szCs w:val="32"/>
    </w:rPr>
  </w:style>
  <w:style w:type="paragraph" w:styleId="Ttulo2">
    <w:name w:val="heading 2"/>
    <w:basedOn w:val="Normal"/>
    <w:next w:val="Normal"/>
    <w:link w:val="Ttulo2Car"/>
    <w:uiPriority w:val="99"/>
    <w:qFormat/>
    <w:rsid w:val="00AB7C6D"/>
    <w:pPr>
      <w:keepNext/>
      <w:outlineLvl w:val="1"/>
    </w:pPr>
    <w:rPr>
      <w:rFonts w:ascii="Cambria" w:hAnsi="Cambria"/>
      <w:b/>
      <w:bCs/>
      <w:i/>
      <w:iCs/>
      <w:sz w:val="28"/>
      <w:szCs w:val="28"/>
    </w:rPr>
  </w:style>
  <w:style w:type="paragraph" w:styleId="Ttulo3">
    <w:name w:val="heading 3"/>
    <w:basedOn w:val="Normal"/>
    <w:next w:val="Normal"/>
    <w:link w:val="Ttulo3Car"/>
    <w:uiPriority w:val="99"/>
    <w:qFormat/>
    <w:rsid w:val="00AB7C6D"/>
    <w:pPr>
      <w:keepNext/>
      <w:jc w:val="center"/>
      <w:outlineLvl w:val="2"/>
    </w:pPr>
    <w:rPr>
      <w:rFonts w:ascii="Cambria" w:hAnsi="Cambria"/>
      <w:b/>
      <w:bCs/>
      <w:sz w:val="26"/>
      <w:szCs w:val="26"/>
    </w:rPr>
  </w:style>
  <w:style w:type="paragraph" w:styleId="Ttulo4">
    <w:name w:val="heading 4"/>
    <w:basedOn w:val="Normal"/>
    <w:next w:val="Normal"/>
    <w:link w:val="Ttulo4Car"/>
    <w:uiPriority w:val="99"/>
    <w:qFormat/>
    <w:rsid w:val="00AB7C6D"/>
    <w:pPr>
      <w:keepNext/>
      <w:jc w:val="center"/>
      <w:outlineLvl w:val="3"/>
    </w:pPr>
    <w:rPr>
      <w:rFonts w:ascii="Calibri" w:hAnsi="Calibri"/>
      <w:b/>
      <w:bCs/>
      <w:sz w:val="28"/>
      <w:szCs w:val="28"/>
    </w:rPr>
  </w:style>
  <w:style w:type="paragraph" w:styleId="Ttulo5">
    <w:name w:val="heading 5"/>
    <w:basedOn w:val="Normal"/>
    <w:next w:val="Normal"/>
    <w:link w:val="Ttulo5Car"/>
    <w:uiPriority w:val="99"/>
    <w:qFormat/>
    <w:rsid w:val="00AB7C6D"/>
    <w:pPr>
      <w:keepNext/>
      <w:outlineLvl w:val="4"/>
    </w:pPr>
    <w:rPr>
      <w:rFonts w:ascii="Calibri" w:hAnsi="Calibri"/>
      <w:b/>
      <w:bCs/>
      <w:i/>
      <w:iCs/>
      <w:sz w:val="26"/>
      <w:szCs w:val="26"/>
    </w:rPr>
  </w:style>
  <w:style w:type="paragraph" w:styleId="Ttulo6">
    <w:name w:val="heading 6"/>
    <w:basedOn w:val="Normal"/>
    <w:next w:val="Normal"/>
    <w:link w:val="Ttulo6Car"/>
    <w:uiPriority w:val="99"/>
    <w:qFormat/>
    <w:rsid w:val="00AB7C6D"/>
    <w:pPr>
      <w:keepNext/>
      <w:jc w:val="center"/>
      <w:outlineLvl w:val="5"/>
    </w:pPr>
    <w:rPr>
      <w:rFonts w:ascii="Calibri" w:hAnsi="Calibri"/>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9"/>
    <w:locked/>
    <w:rsid w:val="00A0596F"/>
    <w:rPr>
      <w:rFonts w:ascii="Cambria" w:hAnsi="Cambria" w:cs="Times New Roman"/>
      <w:b/>
      <w:kern w:val="32"/>
      <w:sz w:val="32"/>
    </w:rPr>
  </w:style>
  <w:style w:type="character" w:customStyle="1" w:styleId="Ttulo2Car">
    <w:name w:val="Título 2 Car"/>
    <w:link w:val="Ttulo2"/>
    <w:uiPriority w:val="99"/>
    <w:semiHidden/>
    <w:locked/>
    <w:rsid w:val="00A0596F"/>
    <w:rPr>
      <w:rFonts w:ascii="Cambria" w:hAnsi="Cambria" w:cs="Times New Roman"/>
      <w:b/>
      <w:i/>
      <w:sz w:val="28"/>
    </w:rPr>
  </w:style>
  <w:style w:type="character" w:customStyle="1" w:styleId="Ttulo3Car">
    <w:name w:val="Título 3 Car"/>
    <w:link w:val="Ttulo3"/>
    <w:uiPriority w:val="99"/>
    <w:semiHidden/>
    <w:locked/>
    <w:rsid w:val="00A0596F"/>
    <w:rPr>
      <w:rFonts w:ascii="Cambria" w:hAnsi="Cambria" w:cs="Times New Roman"/>
      <w:b/>
      <w:sz w:val="26"/>
    </w:rPr>
  </w:style>
  <w:style w:type="character" w:customStyle="1" w:styleId="Ttulo4Car">
    <w:name w:val="Título 4 Car"/>
    <w:link w:val="Ttulo4"/>
    <w:uiPriority w:val="99"/>
    <w:semiHidden/>
    <w:locked/>
    <w:rsid w:val="00A0596F"/>
    <w:rPr>
      <w:rFonts w:ascii="Calibri" w:hAnsi="Calibri" w:cs="Times New Roman"/>
      <w:b/>
      <w:sz w:val="28"/>
    </w:rPr>
  </w:style>
  <w:style w:type="character" w:customStyle="1" w:styleId="Ttulo5Car">
    <w:name w:val="Título 5 Car"/>
    <w:link w:val="Ttulo5"/>
    <w:uiPriority w:val="99"/>
    <w:semiHidden/>
    <w:locked/>
    <w:rsid w:val="00A0596F"/>
    <w:rPr>
      <w:rFonts w:ascii="Calibri" w:hAnsi="Calibri" w:cs="Times New Roman"/>
      <w:b/>
      <w:i/>
      <w:sz w:val="26"/>
    </w:rPr>
  </w:style>
  <w:style w:type="character" w:customStyle="1" w:styleId="Ttulo6Car">
    <w:name w:val="Título 6 Car"/>
    <w:link w:val="Ttulo6"/>
    <w:uiPriority w:val="99"/>
    <w:semiHidden/>
    <w:locked/>
    <w:rsid w:val="00A0596F"/>
    <w:rPr>
      <w:rFonts w:ascii="Calibri" w:hAnsi="Calibri" w:cs="Times New Roman"/>
      <w:b/>
    </w:rPr>
  </w:style>
  <w:style w:type="paragraph" w:styleId="Textoindependiente">
    <w:name w:val="Body Text"/>
    <w:basedOn w:val="Normal"/>
    <w:link w:val="TextoindependienteCar"/>
    <w:uiPriority w:val="99"/>
    <w:rsid w:val="00AB7C6D"/>
    <w:pPr>
      <w:jc w:val="center"/>
    </w:pPr>
  </w:style>
  <w:style w:type="character" w:customStyle="1" w:styleId="TextoindependienteCar">
    <w:name w:val="Texto independiente Car"/>
    <w:link w:val="Textoindependiente"/>
    <w:uiPriority w:val="99"/>
    <w:semiHidden/>
    <w:locked/>
    <w:rsid w:val="00A0596F"/>
    <w:rPr>
      <w:rFonts w:cs="Times New Roman"/>
      <w:sz w:val="20"/>
    </w:rPr>
  </w:style>
  <w:style w:type="paragraph" w:styleId="Textoindependiente2">
    <w:name w:val="Body Text 2"/>
    <w:basedOn w:val="Normal"/>
    <w:link w:val="Textoindependiente2Car"/>
    <w:uiPriority w:val="99"/>
    <w:rsid w:val="00AB7C6D"/>
    <w:pPr>
      <w:jc w:val="center"/>
    </w:pPr>
  </w:style>
  <w:style w:type="character" w:customStyle="1" w:styleId="Textoindependiente2Car">
    <w:name w:val="Texto independiente 2 Car"/>
    <w:link w:val="Textoindependiente2"/>
    <w:uiPriority w:val="99"/>
    <w:semiHidden/>
    <w:locked/>
    <w:rsid w:val="00A0596F"/>
    <w:rPr>
      <w:rFonts w:cs="Times New Roman"/>
      <w:sz w:val="20"/>
    </w:rPr>
  </w:style>
  <w:style w:type="paragraph" w:styleId="Textodeglobo">
    <w:name w:val="Balloon Text"/>
    <w:basedOn w:val="Normal"/>
    <w:link w:val="TextodegloboCar"/>
    <w:uiPriority w:val="99"/>
    <w:rsid w:val="008E1780"/>
    <w:rPr>
      <w:rFonts w:ascii="Tahoma" w:hAnsi="Tahoma"/>
      <w:sz w:val="16"/>
      <w:szCs w:val="16"/>
    </w:rPr>
  </w:style>
  <w:style w:type="character" w:customStyle="1" w:styleId="TextodegloboCar">
    <w:name w:val="Texto de globo Car"/>
    <w:link w:val="Textodeglobo"/>
    <w:uiPriority w:val="99"/>
    <w:locked/>
    <w:rsid w:val="008E1780"/>
    <w:rPr>
      <w:rFonts w:ascii="Tahoma" w:hAnsi="Tahoma" w:cs="Times New Roman"/>
      <w:sz w:val="16"/>
    </w:rPr>
  </w:style>
  <w:style w:type="paragraph" w:customStyle="1" w:styleId="Textonotapie1">
    <w:name w:val="Texto nota pie1"/>
    <w:basedOn w:val="Normal"/>
    <w:next w:val="Textonotapie"/>
    <w:link w:val="TextonotapieCar"/>
    <w:uiPriority w:val="99"/>
    <w:semiHidden/>
    <w:rsid w:val="005130D6"/>
  </w:style>
  <w:style w:type="character" w:customStyle="1" w:styleId="TextonotapieCar">
    <w:name w:val="Texto nota pie Car"/>
    <w:link w:val="Textonotapie1"/>
    <w:uiPriority w:val="99"/>
    <w:semiHidden/>
    <w:locked/>
    <w:rsid w:val="005130D6"/>
    <w:rPr>
      <w:sz w:val="20"/>
    </w:rPr>
  </w:style>
  <w:style w:type="character" w:styleId="Refdenotaalpie">
    <w:name w:val="footnote reference"/>
    <w:uiPriority w:val="99"/>
    <w:semiHidden/>
    <w:rsid w:val="005130D6"/>
    <w:rPr>
      <w:rFonts w:cs="Times New Roman"/>
      <w:vertAlign w:val="superscript"/>
    </w:rPr>
  </w:style>
  <w:style w:type="paragraph" w:styleId="Textonotapie">
    <w:name w:val="footnote text"/>
    <w:basedOn w:val="Normal"/>
    <w:link w:val="TextonotapieCar1"/>
    <w:uiPriority w:val="99"/>
    <w:semiHidden/>
    <w:rsid w:val="005130D6"/>
  </w:style>
  <w:style w:type="character" w:customStyle="1" w:styleId="TextonotapieCar1">
    <w:name w:val="Texto nota pie Car1"/>
    <w:link w:val="Textonotapie"/>
    <w:uiPriority w:val="99"/>
    <w:semiHidden/>
    <w:locked/>
    <w:rsid w:val="005130D6"/>
    <w:rPr>
      <w:rFonts w:cs="Times New Roman"/>
    </w:rPr>
  </w:style>
  <w:style w:type="paragraph" w:styleId="Encabezado">
    <w:name w:val="header"/>
    <w:basedOn w:val="Normal"/>
    <w:link w:val="EncabezadoCar"/>
    <w:uiPriority w:val="99"/>
    <w:rsid w:val="005130D6"/>
    <w:pPr>
      <w:tabs>
        <w:tab w:val="center" w:pos="4252"/>
        <w:tab w:val="right" w:pos="8504"/>
      </w:tabs>
    </w:pPr>
  </w:style>
  <w:style w:type="character" w:customStyle="1" w:styleId="EncabezadoCar">
    <w:name w:val="Encabezado Car"/>
    <w:link w:val="Encabezado"/>
    <w:uiPriority w:val="99"/>
    <w:locked/>
    <w:rsid w:val="005130D6"/>
    <w:rPr>
      <w:rFonts w:cs="Times New Roman"/>
    </w:rPr>
  </w:style>
  <w:style w:type="paragraph" w:styleId="Piedepgina">
    <w:name w:val="footer"/>
    <w:basedOn w:val="Normal"/>
    <w:link w:val="PiedepginaCar"/>
    <w:uiPriority w:val="99"/>
    <w:rsid w:val="005130D6"/>
    <w:pPr>
      <w:tabs>
        <w:tab w:val="center" w:pos="4252"/>
        <w:tab w:val="right" w:pos="8504"/>
      </w:tabs>
    </w:pPr>
  </w:style>
  <w:style w:type="character" w:customStyle="1" w:styleId="PiedepginaCar">
    <w:name w:val="Pie de página Car"/>
    <w:link w:val="Piedepgina"/>
    <w:uiPriority w:val="99"/>
    <w:locked/>
    <w:rsid w:val="005130D6"/>
    <w:rPr>
      <w:rFonts w:cs="Times New Roman"/>
    </w:rPr>
  </w:style>
  <w:style w:type="paragraph" w:styleId="Mapadeldocumento">
    <w:name w:val="Document Map"/>
    <w:basedOn w:val="Normal"/>
    <w:link w:val="MapadeldocumentoCar"/>
    <w:uiPriority w:val="99"/>
    <w:semiHidden/>
    <w:rsid w:val="00FE0DF5"/>
    <w:pPr>
      <w:shd w:val="clear" w:color="auto" w:fill="000080"/>
    </w:pPr>
    <w:rPr>
      <w:sz w:val="2"/>
    </w:rPr>
  </w:style>
  <w:style w:type="character" w:customStyle="1" w:styleId="MapadeldocumentoCar">
    <w:name w:val="Mapa del documento Car"/>
    <w:link w:val="Mapadeldocumento"/>
    <w:uiPriority w:val="99"/>
    <w:semiHidden/>
    <w:locked/>
    <w:rsid w:val="00A0596F"/>
    <w:rPr>
      <w:rFonts w:cs="Times New Roman"/>
      <w:sz w:val="2"/>
    </w:rPr>
  </w:style>
  <w:style w:type="character" w:customStyle="1" w:styleId="apple-converted-space">
    <w:name w:val="apple-converted-space"/>
    <w:uiPriority w:val="99"/>
    <w:rsid w:val="00014133"/>
    <w:rPr>
      <w:rFonts w:cs="Times New Roman"/>
    </w:rPr>
  </w:style>
  <w:style w:type="character" w:styleId="Hipervnculo">
    <w:name w:val="Hyperlink"/>
    <w:uiPriority w:val="99"/>
    <w:unhideWhenUsed/>
    <w:locked/>
    <w:rsid w:val="00146A22"/>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0304667">
      <w:bodyDiv w:val="1"/>
      <w:marLeft w:val="0"/>
      <w:marRight w:val="0"/>
      <w:marTop w:val="0"/>
      <w:marBottom w:val="0"/>
      <w:divBdr>
        <w:top w:val="none" w:sz="0" w:space="0" w:color="auto"/>
        <w:left w:val="none" w:sz="0" w:space="0" w:color="auto"/>
        <w:bottom w:val="none" w:sz="0" w:space="0" w:color="auto"/>
        <w:right w:val="none" w:sz="0" w:space="0" w:color="auto"/>
      </w:divBdr>
    </w:div>
    <w:div w:id="1224833128">
      <w:marLeft w:val="0"/>
      <w:marRight w:val="0"/>
      <w:marTop w:val="0"/>
      <w:marBottom w:val="0"/>
      <w:divBdr>
        <w:top w:val="none" w:sz="0" w:space="0" w:color="auto"/>
        <w:left w:val="none" w:sz="0" w:space="0" w:color="auto"/>
        <w:bottom w:val="none" w:sz="0" w:space="0" w:color="auto"/>
        <w:right w:val="none" w:sz="0" w:space="0" w:color="auto"/>
      </w:divBdr>
    </w:div>
    <w:div w:id="1224833129">
      <w:marLeft w:val="0"/>
      <w:marRight w:val="0"/>
      <w:marTop w:val="0"/>
      <w:marBottom w:val="0"/>
      <w:divBdr>
        <w:top w:val="none" w:sz="0" w:space="0" w:color="auto"/>
        <w:left w:val="none" w:sz="0" w:space="0" w:color="auto"/>
        <w:bottom w:val="none" w:sz="0" w:space="0" w:color="auto"/>
        <w:right w:val="none" w:sz="0" w:space="0" w:color="auto"/>
      </w:divBdr>
    </w:div>
    <w:div w:id="1417021643">
      <w:bodyDiv w:val="1"/>
      <w:marLeft w:val="0"/>
      <w:marRight w:val="0"/>
      <w:marTop w:val="0"/>
      <w:marBottom w:val="0"/>
      <w:divBdr>
        <w:top w:val="none" w:sz="0" w:space="0" w:color="auto"/>
        <w:left w:val="none" w:sz="0" w:space="0" w:color="auto"/>
        <w:bottom w:val="none" w:sz="0" w:space="0" w:color="auto"/>
        <w:right w:val="none" w:sz="0" w:space="0" w:color="auto"/>
      </w:divBdr>
    </w:div>
    <w:div w:id="1676608327">
      <w:bodyDiv w:val="1"/>
      <w:marLeft w:val="0"/>
      <w:marRight w:val="0"/>
      <w:marTop w:val="0"/>
      <w:marBottom w:val="0"/>
      <w:divBdr>
        <w:top w:val="none" w:sz="0" w:space="0" w:color="auto"/>
        <w:left w:val="none" w:sz="0" w:space="0" w:color="auto"/>
        <w:bottom w:val="none" w:sz="0" w:space="0" w:color="auto"/>
        <w:right w:val="none" w:sz="0" w:space="0" w:color="auto"/>
      </w:divBdr>
    </w:div>
    <w:div w:id="1813133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lpais.com/elpais/2017/05/16/opinion/1494956189_937598.html?id_externo_rsoc=TW_CC"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elperiodico.com/es/noticias/opinion/referendum-vinculante-imposible-xavier-arbos-5791866"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elperiodico.com/es/noticias/opinion/demasiado-confuso-unilateral-363796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DAFDB1-EB88-4873-8DDF-C57910548C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755</TotalTime>
  <Pages>60</Pages>
  <Words>15632</Words>
  <Characters>85980</Characters>
  <Application>Microsoft Office Word</Application>
  <DocSecurity>0</DocSecurity>
  <Lines>716</Lines>
  <Paragraphs>202</Paragraphs>
  <ScaleCrop>false</ScaleCrop>
  <HeadingPairs>
    <vt:vector size="2" baseType="variant">
      <vt:variant>
        <vt:lpstr>Título</vt:lpstr>
      </vt:variant>
      <vt:variant>
        <vt:i4>1</vt:i4>
      </vt:variant>
    </vt:vector>
  </HeadingPairs>
  <TitlesOfParts>
    <vt:vector size="1" baseType="lpstr">
      <vt:lpstr>Portada TFG</vt:lpstr>
    </vt:vector>
  </TitlesOfParts>
  <Company>Universidad de Jaén</Company>
  <LinksUpToDate>false</LinksUpToDate>
  <CharactersWithSpaces>101410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Portada TFG</dc:title>
  <dc:subject/>
  <dc:creator>UJA</dc:creator>
  <cp:keywords>Portada TFG</cp:keywords>
  <dc:description/>
  <cp:lastModifiedBy>Usuario de Windows</cp:lastModifiedBy>
  <cp:revision>70</cp:revision>
  <cp:lastPrinted>2014-04-29T09:22:00Z</cp:lastPrinted>
  <dcterms:created xsi:type="dcterms:W3CDTF">2014-04-29T10:25:00Z</dcterms:created>
  <dcterms:modified xsi:type="dcterms:W3CDTF">2017-05-25T17:19:00Z</dcterms:modified>
</cp:coreProperties>
</file>