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0C70" w:rsidRDefault="00700C70" w:rsidP="0050306F">
      <w:pPr>
        <w:jc w:val="both"/>
        <w:rPr>
          <w:rFonts w:ascii="Times New Roman" w:hAnsi="Times New Roman" w:cs="Times New Roman"/>
          <w:b/>
          <w:sz w:val="24"/>
          <w:szCs w:val="24"/>
          <w:u w:val="single"/>
        </w:rPr>
      </w:pPr>
      <w:r>
        <w:rPr>
          <w:noProof/>
          <w:lang w:eastAsia="es-ES"/>
        </w:rPr>
        <w:drawing>
          <wp:inline distT="0" distB="0" distL="0" distR="0" wp14:anchorId="26490124" wp14:editId="55FFE6FD">
            <wp:extent cx="3762375" cy="52578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762375" cy="5257800"/>
                    </a:xfrm>
                    <a:prstGeom prst="rect">
                      <a:avLst/>
                    </a:prstGeom>
                  </pic:spPr>
                </pic:pic>
              </a:graphicData>
            </a:graphic>
          </wp:inline>
        </w:drawing>
      </w: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700C70" w:rsidRDefault="00700C70" w:rsidP="0050306F">
      <w:pPr>
        <w:jc w:val="both"/>
        <w:rPr>
          <w:rFonts w:ascii="Times New Roman" w:hAnsi="Times New Roman" w:cs="Times New Roman"/>
          <w:b/>
          <w:sz w:val="24"/>
          <w:szCs w:val="24"/>
          <w:u w:val="single"/>
        </w:rPr>
      </w:pPr>
    </w:p>
    <w:p w:rsidR="0050306F" w:rsidRDefault="0050306F" w:rsidP="0050306F">
      <w:pPr>
        <w:jc w:val="both"/>
        <w:rPr>
          <w:rFonts w:ascii="Times New Roman" w:hAnsi="Times New Roman" w:cs="Times New Roman"/>
          <w:b/>
          <w:sz w:val="24"/>
          <w:szCs w:val="24"/>
          <w:u w:val="single"/>
        </w:rPr>
      </w:pPr>
      <w:bookmarkStart w:id="0" w:name="_GoBack"/>
      <w:bookmarkEnd w:id="0"/>
      <w:r w:rsidRPr="00534AFD">
        <w:rPr>
          <w:rFonts w:ascii="Times New Roman" w:hAnsi="Times New Roman" w:cs="Times New Roman"/>
          <w:b/>
          <w:sz w:val="24"/>
          <w:szCs w:val="24"/>
          <w:u w:val="single"/>
        </w:rPr>
        <w:lastRenderedPageBreak/>
        <w:t>TÍTULO: EXPANSIÓN DE LOS DELITOS</w:t>
      </w:r>
      <w:r>
        <w:rPr>
          <w:rFonts w:ascii="Times New Roman" w:hAnsi="Times New Roman" w:cs="Times New Roman"/>
          <w:b/>
          <w:sz w:val="24"/>
          <w:szCs w:val="24"/>
          <w:u w:val="single"/>
        </w:rPr>
        <w:t xml:space="preserve"> PATRIMONIALES</w:t>
      </w:r>
      <w:r w:rsidRPr="00534AFD">
        <w:rPr>
          <w:rFonts w:ascii="Times New Roman" w:hAnsi="Times New Roman" w:cs="Times New Roman"/>
          <w:b/>
          <w:sz w:val="24"/>
          <w:szCs w:val="24"/>
          <w:u w:val="single"/>
        </w:rPr>
        <w:t xml:space="preserve"> DE APODERAMIENTO SIN VIOLENCIA NI INTIMIDACIÓN</w:t>
      </w:r>
      <w:r>
        <w:rPr>
          <w:rFonts w:ascii="Times New Roman" w:hAnsi="Times New Roman" w:cs="Times New Roman"/>
          <w:b/>
          <w:sz w:val="24"/>
          <w:szCs w:val="24"/>
          <w:u w:val="single"/>
        </w:rPr>
        <w:t>.</w:t>
      </w:r>
    </w:p>
    <w:p w:rsidR="0050306F" w:rsidRPr="00295CCB" w:rsidRDefault="0050306F" w:rsidP="0050306F">
      <w:pPr>
        <w:jc w:val="both"/>
        <w:rPr>
          <w:rFonts w:ascii="Times New Roman" w:hAnsi="Times New Roman" w:cs="Times New Roman"/>
          <w:b/>
          <w:sz w:val="24"/>
          <w:szCs w:val="24"/>
          <w:u w:val="single"/>
        </w:rPr>
      </w:pPr>
    </w:p>
    <w:p w:rsidR="0050306F" w:rsidRPr="000613B1" w:rsidRDefault="0050306F" w:rsidP="0050306F">
      <w:pPr>
        <w:jc w:val="both"/>
        <w:rPr>
          <w:rFonts w:ascii="Times New Roman" w:hAnsi="Times New Roman" w:cs="Times New Roman"/>
          <w:sz w:val="24"/>
          <w:szCs w:val="24"/>
          <w:u w:val="single"/>
        </w:rPr>
      </w:pPr>
      <w:r w:rsidRPr="000613B1">
        <w:rPr>
          <w:rFonts w:ascii="Times New Roman" w:hAnsi="Times New Roman" w:cs="Times New Roman"/>
          <w:sz w:val="24"/>
          <w:szCs w:val="24"/>
          <w:u w:val="single"/>
        </w:rPr>
        <w:t>CAPÍTULO 1: ASPECTOS BÁSICOS</w:t>
      </w:r>
      <w:r w:rsidRPr="00CF7469">
        <w:rPr>
          <w:rFonts w:ascii="Times New Roman" w:hAnsi="Times New Roman" w:cs="Times New Roman"/>
          <w:sz w:val="24"/>
          <w:szCs w:val="24"/>
        </w:rPr>
        <w:t>…………………………………………………</w:t>
      </w:r>
      <w:r>
        <w:rPr>
          <w:rFonts w:ascii="Times New Roman" w:hAnsi="Times New Roman" w:cs="Times New Roman"/>
          <w:sz w:val="24"/>
          <w:szCs w:val="24"/>
        </w:rPr>
        <w:t>3</w:t>
      </w:r>
    </w:p>
    <w:p w:rsidR="0050306F" w:rsidRPr="000613B1" w:rsidRDefault="0050306F" w:rsidP="0050306F">
      <w:pPr>
        <w:pStyle w:val="Prrafodelista"/>
        <w:numPr>
          <w:ilvl w:val="1"/>
          <w:numId w:val="3"/>
        </w:numPr>
        <w:jc w:val="both"/>
        <w:rPr>
          <w:rFonts w:ascii="Times New Roman" w:hAnsi="Times New Roman" w:cs="Times New Roman"/>
          <w:sz w:val="24"/>
          <w:szCs w:val="24"/>
          <w:u w:val="single"/>
        </w:rPr>
      </w:pPr>
      <w:r w:rsidRPr="000613B1">
        <w:rPr>
          <w:rFonts w:ascii="Times New Roman" w:hAnsi="Times New Roman" w:cs="Times New Roman"/>
          <w:sz w:val="24"/>
          <w:szCs w:val="24"/>
          <w:u w:val="single"/>
        </w:rPr>
        <w:t>ELEMENTOS COMUNES AL DELITO DE HURTO Y DE ROBO CON FUERZA EN LAS COSAS</w:t>
      </w:r>
      <w:r w:rsidRPr="00CF7469">
        <w:rPr>
          <w:rFonts w:ascii="Times New Roman" w:hAnsi="Times New Roman" w:cs="Times New Roman"/>
          <w:sz w:val="24"/>
          <w:szCs w:val="24"/>
        </w:rPr>
        <w:t>…………………………4</w:t>
      </w:r>
    </w:p>
    <w:p w:rsidR="0050306F" w:rsidRDefault="0050306F" w:rsidP="0050306F">
      <w:pPr>
        <w:pStyle w:val="Prrafodelista"/>
        <w:numPr>
          <w:ilvl w:val="2"/>
          <w:numId w:val="5"/>
        </w:numPr>
        <w:jc w:val="both"/>
        <w:rPr>
          <w:rFonts w:ascii="Times New Roman" w:hAnsi="Times New Roman" w:cs="Times New Roman"/>
          <w:sz w:val="24"/>
          <w:szCs w:val="24"/>
        </w:rPr>
      </w:pPr>
      <w:r>
        <w:rPr>
          <w:rFonts w:ascii="Times New Roman" w:hAnsi="Times New Roman" w:cs="Times New Roman"/>
          <w:sz w:val="24"/>
          <w:szCs w:val="24"/>
        </w:rPr>
        <w:t>BIEN JURÍDICO PROTEGIDO……………………..4</w:t>
      </w:r>
    </w:p>
    <w:p w:rsidR="0050306F" w:rsidRDefault="0050306F" w:rsidP="0050306F">
      <w:pPr>
        <w:pStyle w:val="Prrafodelista"/>
        <w:numPr>
          <w:ilvl w:val="2"/>
          <w:numId w:val="5"/>
        </w:numPr>
        <w:jc w:val="both"/>
        <w:rPr>
          <w:rFonts w:ascii="Times New Roman" w:hAnsi="Times New Roman" w:cs="Times New Roman"/>
          <w:sz w:val="24"/>
          <w:szCs w:val="24"/>
        </w:rPr>
      </w:pPr>
      <w:r>
        <w:rPr>
          <w:rFonts w:ascii="Times New Roman" w:hAnsi="Times New Roman" w:cs="Times New Roman"/>
          <w:sz w:val="24"/>
          <w:szCs w:val="24"/>
        </w:rPr>
        <w:t>OBJETO MATERIAL………...……………………...5</w:t>
      </w:r>
    </w:p>
    <w:p w:rsidR="0050306F" w:rsidRDefault="0050306F" w:rsidP="0050306F">
      <w:pPr>
        <w:pStyle w:val="Prrafodelista"/>
        <w:numPr>
          <w:ilvl w:val="2"/>
          <w:numId w:val="5"/>
        </w:numPr>
        <w:jc w:val="both"/>
        <w:rPr>
          <w:rFonts w:ascii="Times New Roman" w:hAnsi="Times New Roman" w:cs="Times New Roman"/>
          <w:sz w:val="24"/>
          <w:szCs w:val="24"/>
        </w:rPr>
      </w:pPr>
      <w:r>
        <w:rPr>
          <w:rFonts w:ascii="Times New Roman" w:hAnsi="Times New Roman" w:cs="Times New Roman"/>
          <w:sz w:val="24"/>
          <w:szCs w:val="24"/>
        </w:rPr>
        <w:t>ELEMENTO SUBJETIVO…………………..………7</w:t>
      </w:r>
    </w:p>
    <w:p w:rsidR="0050306F" w:rsidRDefault="0050306F" w:rsidP="0050306F">
      <w:pPr>
        <w:pStyle w:val="Prrafodelista"/>
        <w:numPr>
          <w:ilvl w:val="2"/>
          <w:numId w:val="5"/>
        </w:numPr>
        <w:jc w:val="both"/>
        <w:rPr>
          <w:rFonts w:ascii="Times New Roman" w:hAnsi="Times New Roman" w:cs="Times New Roman"/>
          <w:sz w:val="24"/>
          <w:szCs w:val="24"/>
        </w:rPr>
      </w:pPr>
      <w:r>
        <w:rPr>
          <w:rFonts w:ascii="Times New Roman" w:hAnsi="Times New Roman" w:cs="Times New Roman"/>
          <w:sz w:val="24"/>
          <w:szCs w:val="24"/>
        </w:rPr>
        <w:t>VERBO UTILIZADO EN LA CON</w:t>
      </w:r>
      <w:r w:rsidR="00904F02">
        <w:rPr>
          <w:rFonts w:ascii="Times New Roman" w:hAnsi="Times New Roman" w:cs="Times New Roman"/>
          <w:sz w:val="24"/>
          <w:szCs w:val="24"/>
        </w:rPr>
        <w:t>DUCTA TÍPICA……………………………………………….8</w:t>
      </w:r>
    </w:p>
    <w:p w:rsidR="0050306F" w:rsidRDefault="0050306F" w:rsidP="0050306F">
      <w:pPr>
        <w:pStyle w:val="Prrafodelista"/>
        <w:numPr>
          <w:ilvl w:val="1"/>
          <w:numId w:val="3"/>
        </w:numPr>
        <w:jc w:val="both"/>
        <w:rPr>
          <w:rFonts w:ascii="Times New Roman" w:hAnsi="Times New Roman" w:cs="Times New Roman"/>
          <w:sz w:val="24"/>
          <w:szCs w:val="24"/>
          <w:u w:val="single"/>
        </w:rPr>
      </w:pPr>
      <w:r w:rsidRPr="000613B1">
        <w:rPr>
          <w:rFonts w:ascii="Times New Roman" w:hAnsi="Times New Roman" w:cs="Times New Roman"/>
          <w:sz w:val="24"/>
          <w:szCs w:val="24"/>
          <w:u w:val="single"/>
        </w:rPr>
        <w:t>DISTINCIÓN ENTRE AMBAS FIGURAS DELICTIVAS</w:t>
      </w:r>
      <w:r w:rsidRPr="00BB1655">
        <w:rPr>
          <w:rFonts w:ascii="Times New Roman" w:hAnsi="Times New Roman" w:cs="Times New Roman"/>
          <w:sz w:val="24"/>
          <w:szCs w:val="24"/>
        </w:rPr>
        <w:t>……..8</w:t>
      </w:r>
    </w:p>
    <w:p w:rsidR="0050306F" w:rsidRPr="00BB1655" w:rsidRDefault="0050306F" w:rsidP="0050306F">
      <w:pPr>
        <w:jc w:val="both"/>
        <w:rPr>
          <w:rFonts w:ascii="Times New Roman" w:hAnsi="Times New Roman" w:cs="Times New Roman"/>
          <w:sz w:val="24"/>
          <w:szCs w:val="24"/>
        </w:rPr>
      </w:pPr>
      <w:r>
        <w:rPr>
          <w:rFonts w:ascii="Times New Roman" w:hAnsi="Times New Roman" w:cs="Times New Roman"/>
          <w:sz w:val="24"/>
          <w:szCs w:val="24"/>
          <w:u w:val="single"/>
        </w:rPr>
        <w:t>CAPÍTULO 2: AFECTACIÓN AL DELITO DE HURTO POR LA REFORMA OPERADA POR LA LEY ORGÁNICA 1/2015</w:t>
      </w:r>
      <w:r w:rsidRPr="00BB1655">
        <w:rPr>
          <w:rFonts w:ascii="Times New Roman" w:hAnsi="Times New Roman" w:cs="Times New Roman"/>
          <w:sz w:val="24"/>
          <w:szCs w:val="24"/>
        </w:rPr>
        <w:t>……………………………………….9</w:t>
      </w:r>
    </w:p>
    <w:p w:rsidR="0050306F" w:rsidRDefault="0050306F" w:rsidP="0050306F">
      <w:pPr>
        <w:jc w:val="both"/>
        <w:rPr>
          <w:rFonts w:ascii="Times New Roman" w:hAnsi="Times New Roman" w:cs="Times New Roman"/>
          <w:sz w:val="24"/>
          <w:szCs w:val="24"/>
        </w:rPr>
      </w:pPr>
      <w:r>
        <w:rPr>
          <w:rFonts w:ascii="Times New Roman" w:hAnsi="Times New Roman" w:cs="Times New Roman"/>
          <w:sz w:val="24"/>
          <w:szCs w:val="24"/>
        </w:rPr>
        <w:t xml:space="preserve">                    2.1)</w:t>
      </w:r>
      <w:r w:rsidRPr="000613B1">
        <w:rPr>
          <w:rFonts w:ascii="Times New Roman" w:hAnsi="Times New Roman" w:cs="Times New Roman"/>
          <w:sz w:val="24"/>
          <w:szCs w:val="24"/>
        </w:rPr>
        <w:t xml:space="preserve">     DISTINCIÓN ENTRE EL TIPO BÁSICO DEL DELITO DE </w:t>
      </w:r>
      <w:r>
        <w:rPr>
          <w:rFonts w:ascii="Times New Roman" w:hAnsi="Times New Roman" w:cs="Times New Roman"/>
          <w:sz w:val="24"/>
          <w:szCs w:val="24"/>
        </w:rPr>
        <w:t xml:space="preserve">              </w:t>
      </w:r>
      <w:r w:rsidRPr="000613B1">
        <w:rPr>
          <w:rFonts w:ascii="Times New Roman" w:hAnsi="Times New Roman" w:cs="Times New Roman"/>
          <w:sz w:val="24"/>
          <w:szCs w:val="24"/>
        </w:rPr>
        <w:t>HURTO Y EL DELITO LEVE DE HURTO</w:t>
      </w:r>
      <w:r w:rsidR="00904F02">
        <w:rPr>
          <w:rFonts w:ascii="Times New Roman" w:hAnsi="Times New Roman" w:cs="Times New Roman"/>
          <w:sz w:val="24"/>
          <w:szCs w:val="24"/>
        </w:rPr>
        <w:t>………………..…………………………12</w:t>
      </w:r>
    </w:p>
    <w:p w:rsidR="0050306F" w:rsidRDefault="0050306F" w:rsidP="0050306F">
      <w:pPr>
        <w:jc w:val="both"/>
        <w:rPr>
          <w:rFonts w:ascii="Times New Roman" w:hAnsi="Times New Roman" w:cs="Times New Roman"/>
          <w:sz w:val="24"/>
          <w:szCs w:val="24"/>
        </w:rPr>
      </w:pPr>
      <w:r>
        <w:rPr>
          <w:rFonts w:ascii="Times New Roman" w:hAnsi="Times New Roman" w:cs="Times New Roman"/>
          <w:sz w:val="24"/>
          <w:szCs w:val="24"/>
        </w:rPr>
        <w:t xml:space="preserve">                    2.2)      TIPO CUALIFICADO DEL ARTÍCULO 234.3CP………</w:t>
      </w:r>
      <w:r w:rsidR="00904F02">
        <w:rPr>
          <w:rFonts w:ascii="Times New Roman" w:hAnsi="Times New Roman" w:cs="Times New Roman"/>
          <w:sz w:val="24"/>
          <w:szCs w:val="24"/>
        </w:rPr>
        <w:t>…….16</w:t>
      </w:r>
    </w:p>
    <w:p w:rsidR="0050306F" w:rsidRDefault="0050306F" w:rsidP="0050306F">
      <w:pPr>
        <w:jc w:val="both"/>
        <w:rPr>
          <w:rFonts w:ascii="Times New Roman" w:hAnsi="Times New Roman" w:cs="Times New Roman"/>
          <w:sz w:val="24"/>
          <w:szCs w:val="24"/>
        </w:rPr>
      </w:pPr>
      <w:r>
        <w:rPr>
          <w:rFonts w:ascii="Times New Roman" w:hAnsi="Times New Roman" w:cs="Times New Roman"/>
          <w:sz w:val="24"/>
          <w:szCs w:val="24"/>
        </w:rPr>
        <w:t xml:space="preserve">                    2.3)      MODIFICACIÓN DEL CATÁLOGO DE AGRAVANTES DEL ARTÍCULO 235 CP. ESPECIAL MENC</w:t>
      </w:r>
      <w:r w:rsidR="00904F02">
        <w:rPr>
          <w:rFonts w:ascii="Times New Roman" w:hAnsi="Times New Roman" w:cs="Times New Roman"/>
          <w:sz w:val="24"/>
          <w:szCs w:val="24"/>
        </w:rPr>
        <w:t>IÓN A LA MULTIRREINCIDENCIA…….19</w:t>
      </w:r>
    </w:p>
    <w:p w:rsidR="0050306F" w:rsidRPr="00BB1655" w:rsidRDefault="0050306F" w:rsidP="0050306F">
      <w:pPr>
        <w:jc w:val="both"/>
        <w:rPr>
          <w:rFonts w:ascii="Times New Roman" w:hAnsi="Times New Roman" w:cs="Times New Roman"/>
          <w:sz w:val="24"/>
          <w:szCs w:val="24"/>
        </w:rPr>
      </w:pPr>
      <w:r w:rsidRPr="00593DE5">
        <w:rPr>
          <w:rFonts w:ascii="Times New Roman" w:hAnsi="Times New Roman" w:cs="Times New Roman"/>
          <w:sz w:val="24"/>
          <w:szCs w:val="24"/>
          <w:u w:val="single"/>
        </w:rPr>
        <w:t>CAPÍTULO 3: AFECTACIÓN AL DELITO DE ROBO CON FUERZA EN LAS COSAS POR LA LEY ORGÁNICA 1/2015</w:t>
      </w:r>
      <w:r w:rsidR="00904F02">
        <w:rPr>
          <w:rFonts w:ascii="Times New Roman" w:hAnsi="Times New Roman" w:cs="Times New Roman"/>
          <w:sz w:val="24"/>
          <w:szCs w:val="24"/>
        </w:rPr>
        <w:t>…………………………………………..28</w:t>
      </w:r>
    </w:p>
    <w:p w:rsidR="0050306F" w:rsidRDefault="0050306F" w:rsidP="0050306F">
      <w:pPr>
        <w:jc w:val="both"/>
        <w:rPr>
          <w:rFonts w:ascii="Times New Roman" w:hAnsi="Times New Roman" w:cs="Times New Roman"/>
          <w:sz w:val="24"/>
          <w:szCs w:val="24"/>
        </w:rPr>
      </w:pPr>
      <w:r w:rsidRPr="00593DE5">
        <w:rPr>
          <w:rFonts w:ascii="Times New Roman" w:hAnsi="Times New Roman" w:cs="Times New Roman"/>
          <w:sz w:val="24"/>
          <w:szCs w:val="24"/>
        </w:rPr>
        <w:t xml:space="preserve">                  3.1)</w:t>
      </w:r>
      <w:r>
        <w:rPr>
          <w:rFonts w:ascii="Times New Roman" w:hAnsi="Times New Roman" w:cs="Times New Roman"/>
          <w:sz w:val="24"/>
          <w:szCs w:val="24"/>
        </w:rPr>
        <w:t xml:space="preserve">       NUEVA DEFINICIÓN DE ROBO CON FUERZA EN LAS COSAS…………</w:t>
      </w:r>
      <w:r w:rsidR="00904F02">
        <w:rPr>
          <w:rFonts w:ascii="Times New Roman" w:hAnsi="Times New Roman" w:cs="Times New Roman"/>
          <w:sz w:val="24"/>
          <w:szCs w:val="24"/>
        </w:rPr>
        <w:t>……………………………………..………………………………..30</w:t>
      </w:r>
    </w:p>
    <w:p w:rsidR="0050306F" w:rsidRDefault="0050306F" w:rsidP="0050306F">
      <w:pPr>
        <w:jc w:val="both"/>
        <w:rPr>
          <w:rFonts w:ascii="Times New Roman" w:hAnsi="Times New Roman" w:cs="Times New Roman"/>
          <w:sz w:val="24"/>
          <w:szCs w:val="24"/>
        </w:rPr>
      </w:pPr>
      <w:r>
        <w:rPr>
          <w:rFonts w:ascii="Times New Roman" w:hAnsi="Times New Roman" w:cs="Times New Roman"/>
          <w:sz w:val="24"/>
          <w:szCs w:val="24"/>
        </w:rPr>
        <w:t xml:space="preserve">                  3.2)       NUEVO A</w:t>
      </w:r>
      <w:r w:rsidR="00904F02">
        <w:rPr>
          <w:rFonts w:ascii="Times New Roman" w:hAnsi="Times New Roman" w:cs="Times New Roman"/>
          <w:sz w:val="24"/>
          <w:szCs w:val="24"/>
        </w:rPr>
        <w:t>RTÍCULO 240.2CP……………………………….….34</w:t>
      </w:r>
    </w:p>
    <w:p w:rsidR="0050306F" w:rsidRDefault="0050306F" w:rsidP="0050306F">
      <w:pPr>
        <w:jc w:val="both"/>
        <w:rPr>
          <w:rFonts w:ascii="Times New Roman" w:hAnsi="Times New Roman" w:cs="Times New Roman"/>
          <w:sz w:val="24"/>
          <w:szCs w:val="24"/>
        </w:rPr>
      </w:pPr>
      <w:r>
        <w:rPr>
          <w:rFonts w:ascii="Times New Roman" w:hAnsi="Times New Roman" w:cs="Times New Roman"/>
          <w:sz w:val="24"/>
          <w:szCs w:val="24"/>
        </w:rPr>
        <w:t xml:space="preserve">                  3.3)       INTRODUCCIÓN DE UN SEGUNDO PÁRRAFO EN EL ARTÍCULO 241.</w:t>
      </w:r>
      <w:r w:rsidR="00904F02">
        <w:rPr>
          <w:rFonts w:ascii="Times New Roman" w:hAnsi="Times New Roman" w:cs="Times New Roman"/>
          <w:sz w:val="24"/>
          <w:szCs w:val="24"/>
        </w:rPr>
        <w:t>1CP……………………………………………………………….….35</w:t>
      </w:r>
    </w:p>
    <w:p w:rsidR="0050306F" w:rsidRDefault="0050306F" w:rsidP="0050306F">
      <w:pPr>
        <w:jc w:val="both"/>
        <w:rPr>
          <w:rFonts w:ascii="Times New Roman" w:hAnsi="Times New Roman" w:cs="Times New Roman"/>
          <w:sz w:val="24"/>
          <w:szCs w:val="24"/>
        </w:rPr>
      </w:pPr>
      <w:r>
        <w:rPr>
          <w:rFonts w:ascii="Times New Roman" w:hAnsi="Times New Roman" w:cs="Times New Roman"/>
          <w:sz w:val="24"/>
          <w:szCs w:val="24"/>
        </w:rPr>
        <w:t xml:space="preserve">                  3.4)       NUEVO TIPO CUALI</w:t>
      </w:r>
      <w:r w:rsidR="00904F02">
        <w:rPr>
          <w:rFonts w:ascii="Times New Roman" w:hAnsi="Times New Roman" w:cs="Times New Roman"/>
          <w:sz w:val="24"/>
          <w:szCs w:val="24"/>
        </w:rPr>
        <w:t>FICADO DEL ARTÍCULO 241.4CP…..40</w:t>
      </w:r>
    </w:p>
    <w:p w:rsidR="0050306F" w:rsidRPr="000B6346" w:rsidRDefault="0050306F" w:rsidP="0050306F">
      <w:pPr>
        <w:jc w:val="both"/>
        <w:rPr>
          <w:rFonts w:ascii="Times New Roman" w:hAnsi="Times New Roman" w:cs="Times New Roman"/>
          <w:sz w:val="24"/>
          <w:szCs w:val="24"/>
          <w:u w:val="single"/>
        </w:rPr>
      </w:pPr>
      <w:r>
        <w:rPr>
          <w:rFonts w:ascii="Times New Roman" w:hAnsi="Times New Roman" w:cs="Times New Roman"/>
          <w:sz w:val="24"/>
          <w:szCs w:val="24"/>
          <w:u w:val="single"/>
        </w:rPr>
        <w:t>CAPÍTULO 4: CONCLUSIO</w:t>
      </w:r>
      <w:r w:rsidRPr="000B6346">
        <w:rPr>
          <w:rFonts w:ascii="Times New Roman" w:hAnsi="Times New Roman" w:cs="Times New Roman"/>
          <w:sz w:val="24"/>
          <w:szCs w:val="24"/>
          <w:u w:val="single"/>
        </w:rPr>
        <w:t>N</w:t>
      </w:r>
      <w:r>
        <w:rPr>
          <w:rFonts w:ascii="Times New Roman" w:hAnsi="Times New Roman" w:cs="Times New Roman"/>
          <w:sz w:val="24"/>
          <w:szCs w:val="24"/>
          <w:u w:val="single"/>
        </w:rPr>
        <w:t>ES</w:t>
      </w:r>
      <w:r w:rsidR="00904F02">
        <w:rPr>
          <w:rFonts w:ascii="Times New Roman" w:hAnsi="Times New Roman" w:cs="Times New Roman"/>
          <w:sz w:val="24"/>
          <w:szCs w:val="24"/>
        </w:rPr>
        <w:t>…………………………………………………….42</w:t>
      </w:r>
    </w:p>
    <w:p w:rsidR="0050306F" w:rsidRPr="00295CCB" w:rsidRDefault="0050306F" w:rsidP="0050306F">
      <w:pPr>
        <w:rPr>
          <w:rFonts w:ascii="Times New Roman" w:hAnsi="Times New Roman" w:cs="Times New Roman"/>
          <w:sz w:val="24"/>
          <w:szCs w:val="24"/>
        </w:rPr>
      </w:pPr>
      <w:r w:rsidRPr="00295CCB">
        <w:rPr>
          <w:rFonts w:ascii="Times New Roman" w:hAnsi="Times New Roman" w:cs="Times New Roman"/>
          <w:sz w:val="24"/>
          <w:szCs w:val="24"/>
        </w:rPr>
        <w:t>BIBIOGRAFIA……………………………………………………………</w:t>
      </w:r>
      <w:r w:rsidR="004A10EC">
        <w:rPr>
          <w:rFonts w:ascii="Times New Roman" w:hAnsi="Times New Roman" w:cs="Times New Roman"/>
          <w:sz w:val="24"/>
          <w:szCs w:val="24"/>
        </w:rPr>
        <w:t>..................45</w:t>
      </w:r>
    </w:p>
    <w:p w:rsidR="00CF7469" w:rsidRDefault="00CF7469" w:rsidP="00931F05">
      <w:pPr>
        <w:spacing w:line="360" w:lineRule="auto"/>
        <w:jc w:val="both"/>
        <w:rPr>
          <w:rFonts w:ascii="Times New Roman" w:hAnsi="Times New Roman" w:cs="Times New Roman"/>
          <w:sz w:val="24"/>
          <w:szCs w:val="24"/>
        </w:rPr>
      </w:pPr>
    </w:p>
    <w:p w:rsidR="00CF7469" w:rsidRDefault="00CF7469" w:rsidP="00931F05">
      <w:pPr>
        <w:spacing w:line="360" w:lineRule="auto"/>
        <w:jc w:val="both"/>
        <w:rPr>
          <w:rFonts w:ascii="Times New Roman" w:hAnsi="Times New Roman" w:cs="Times New Roman"/>
          <w:sz w:val="24"/>
          <w:szCs w:val="24"/>
        </w:rPr>
      </w:pPr>
    </w:p>
    <w:p w:rsidR="0050306F" w:rsidRDefault="0050306F" w:rsidP="00931F05">
      <w:pPr>
        <w:spacing w:line="360" w:lineRule="auto"/>
        <w:jc w:val="both"/>
        <w:rPr>
          <w:rFonts w:ascii="Times New Roman" w:hAnsi="Times New Roman" w:cs="Times New Roman"/>
          <w:sz w:val="24"/>
          <w:szCs w:val="24"/>
        </w:rPr>
      </w:pPr>
    </w:p>
    <w:p w:rsidR="00AB0C7B" w:rsidRPr="00AB0C7B" w:rsidRDefault="00AB0C7B" w:rsidP="00931F05">
      <w:pPr>
        <w:spacing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RESUMEN/</w:t>
      </w:r>
      <w:r>
        <w:rPr>
          <w:rFonts w:ascii="Times New Roman" w:hAnsi="Times New Roman" w:cs="Times New Roman"/>
          <w:i/>
          <w:sz w:val="24"/>
          <w:szCs w:val="24"/>
        </w:rPr>
        <w:t>SUMMARY</w:t>
      </w:r>
    </w:p>
    <w:p w:rsidR="00AB0C7B" w:rsidRDefault="00AB0C7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este trabajo me he centrado en desarrollar la nueva regulación de los delitos de hurto y de robo con fuerza en las cosas, tras la reforma operada en 2015. Además, he realizado una breve referencia a los elementos básicos que configuran ambas figuras delictivas,  con el objetivo de ofrecerles una explicación inicial, para poder analizar en profundidad las modificaciones más relevantes en esta materia.</w:t>
      </w:r>
    </w:p>
    <w:p w:rsidR="00E60C97" w:rsidRDefault="00E60C97" w:rsidP="00931F05">
      <w:pPr>
        <w:spacing w:line="360" w:lineRule="auto"/>
        <w:jc w:val="both"/>
        <w:rPr>
          <w:rFonts w:ascii="Times New Roman" w:hAnsi="Times New Roman" w:cs="Times New Roman"/>
          <w:i/>
          <w:sz w:val="24"/>
          <w:szCs w:val="24"/>
        </w:rPr>
      </w:pPr>
    </w:p>
    <w:p w:rsidR="00E60C97" w:rsidRDefault="00E60C97" w:rsidP="00931F05">
      <w:pPr>
        <w:spacing w:line="360" w:lineRule="auto"/>
        <w:jc w:val="both"/>
        <w:rPr>
          <w:rFonts w:ascii="Times New Roman" w:hAnsi="Times New Roman" w:cs="Times New Roman"/>
          <w:i/>
          <w:sz w:val="24"/>
          <w:szCs w:val="24"/>
        </w:rPr>
      </w:pPr>
    </w:p>
    <w:p w:rsidR="00E60C97" w:rsidRDefault="00E60C97" w:rsidP="00931F05">
      <w:pPr>
        <w:spacing w:line="360" w:lineRule="auto"/>
        <w:jc w:val="both"/>
        <w:rPr>
          <w:rFonts w:ascii="Times New Roman" w:hAnsi="Times New Roman" w:cs="Times New Roman"/>
          <w:i/>
          <w:sz w:val="24"/>
          <w:szCs w:val="24"/>
        </w:rPr>
      </w:pPr>
    </w:p>
    <w:p w:rsidR="00AB0C7B" w:rsidRPr="00AB0C7B" w:rsidRDefault="00AB0C7B" w:rsidP="00931F05">
      <w:pPr>
        <w:spacing w:line="360" w:lineRule="auto"/>
        <w:jc w:val="both"/>
        <w:rPr>
          <w:rFonts w:ascii="Times New Roman" w:hAnsi="Times New Roman" w:cs="Times New Roman"/>
          <w:i/>
          <w:sz w:val="24"/>
          <w:szCs w:val="24"/>
        </w:rPr>
      </w:pPr>
      <w:r w:rsidRPr="00AB0C7B">
        <w:rPr>
          <w:rFonts w:ascii="Times New Roman" w:hAnsi="Times New Roman" w:cs="Times New Roman"/>
          <w:i/>
          <w:sz w:val="24"/>
          <w:szCs w:val="24"/>
        </w:rPr>
        <w:t xml:space="preserve">In </w:t>
      </w:r>
      <w:proofErr w:type="spellStart"/>
      <w:r w:rsidRPr="00AB0C7B">
        <w:rPr>
          <w:rFonts w:ascii="Times New Roman" w:hAnsi="Times New Roman" w:cs="Times New Roman"/>
          <w:i/>
          <w:sz w:val="24"/>
          <w:szCs w:val="24"/>
        </w:rPr>
        <w:t>this</w:t>
      </w:r>
      <w:proofErr w:type="spellEnd"/>
      <w:r w:rsidRPr="00AB0C7B">
        <w:rPr>
          <w:rFonts w:ascii="Times New Roman" w:hAnsi="Times New Roman" w:cs="Times New Roman"/>
          <w:i/>
          <w:sz w:val="24"/>
          <w:szCs w:val="24"/>
        </w:rPr>
        <w:t xml:space="preserve"> </w:t>
      </w:r>
      <w:proofErr w:type="spellStart"/>
      <w:r w:rsidRPr="00AB0C7B">
        <w:rPr>
          <w:rFonts w:ascii="Times New Roman" w:hAnsi="Times New Roman" w:cs="Times New Roman"/>
          <w:i/>
          <w:sz w:val="24"/>
          <w:szCs w:val="24"/>
        </w:rPr>
        <w:t>work</w:t>
      </w:r>
      <w:proofErr w:type="spellEnd"/>
      <w:r w:rsidRPr="00AB0C7B">
        <w:rPr>
          <w:rFonts w:ascii="Times New Roman" w:hAnsi="Times New Roman" w:cs="Times New Roman"/>
          <w:i/>
          <w:sz w:val="24"/>
          <w:szCs w:val="24"/>
        </w:rPr>
        <w:t xml:space="preserve"> I </w:t>
      </w:r>
      <w:proofErr w:type="spellStart"/>
      <w:r w:rsidRPr="00AB0C7B">
        <w:rPr>
          <w:rFonts w:ascii="Times New Roman" w:hAnsi="Times New Roman" w:cs="Times New Roman"/>
          <w:i/>
          <w:sz w:val="24"/>
          <w:szCs w:val="24"/>
        </w:rPr>
        <w:t>have</w:t>
      </w:r>
      <w:proofErr w:type="spellEnd"/>
      <w:r w:rsidRPr="00AB0C7B">
        <w:rPr>
          <w:rFonts w:ascii="Times New Roman" w:hAnsi="Times New Roman" w:cs="Times New Roman"/>
          <w:i/>
          <w:sz w:val="24"/>
          <w:szCs w:val="24"/>
        </w:rPr>
        <w:t xml:space="preserve"> </w:t>
      </w:r>
      <w:proofErr w:type="spellStart"/>
      <w:r>
        <w:rPr>
          <w:rFonts w:ascii="Times New Roman" w:hAnsi="Times New Roman" w:cs="Times New Roman"/>
          <w:i/>
          <w:sz w:val="24"/>
          <w:szCs w:val="24"/>
        </w:rPr>
        <w:t>focused</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developing</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the</w:t>
      </w:r>
      <w:proofErr w:type="spellEnd"/>
      <w:r>
        <w:rPr>
          <w:rFonts w:ascii="Times New Roman" w:hAnsi="Times New Roman" w:cs="Times New Roman"/>
          <w:i/>
          <w:sz w:val="24"/>
          <w:szCs w:val="24"/>
        </w:rPr>
        <w:t xml:space="preserve"> new </w:t>
      </w:r>
      <w:proofErr w:type="spellStart"/>
      <w:r>
        <w:rPr>
          <w:rFonts w:ascii="Times New Roman" w:hAnsi="Times New Roman" w:cs="Times New Roman"/>
          <w:i/>
          <w:sz w:val="24"/>
          <w:szCs w:val="24"/>
        </w:rPr>
        <w:t>regulation</w:t>
      </w:r>
      <w:proofErr w:type="spellEnd"/>
      <w:r>
        <w:rPr>
          <w:rFonts w:ascii="Times New Roman" w:hAnsi="Times New Roman" w:cs="Times New Roman"/>
          <w:i/>
          <w:sz w:val="24"/>
          <w:szCs w:val="24"/>
        </w:rPr>
        <w:t xml:space="preserve"> of </w:t>
      </w:r>
      <w:proofErr w:type="spellStart"/>
      <w:r>
        <w:rPr>
          <w:rFonts w:ascii="Times New Roman" w:hAnsi="Times New Roman" w:cs="Times New Roman"/>
          <w:i/>
          <w:sz w:val="24"/>
          <w:szCs w:val="24"/>
        </w:rPr>
        <w:t>the</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crimes</w:t>
      </w:r>
      <w:proofErr w:type="spellEnd"/>
      <w:r>
        <w:rPr>
          <w:rFonts w:ascii="Times New Roman" w:hAnsi="Times New Roman" w:cs="Times New Roman"/>
          <w:i/>
          <w:sz w:val="24"/>
          <w:szCs w:val="24"/>
        </w:rPr>
        <w:t xml:space="preserve"> </w:t>
      </w:r>
      <w:r w:rsidR="00E60C97">
        <w:rPr>
          <w:rFonts w:ascii="Times New Roman" w:hAnsi="Times New Roman" w:cs="Times New Roman"/>
          <w:i/>
          <w:sz w:val="24"/>
          <w:szCs w:val="24"/>
        </w:rPr>
        <w:t xml:space="preserve">of </w:t>
      </w:r>
      <w:proofErr w:type="spellStart"/>
      <w:r w:rsidR="00E60C97">
        <w:rPr>
          <w:rFonts w:ascii="Times New Roman" w:hAnsi="Times New Roman" w:cs="Times New Roman"/>
          <w:i/>
          <w:sz w:val="24"/>
          <w:szCs w:val="24"/>
        </w:rPr>
        <w:t>theft</w:t>
      </w:r>
      <w:proofErr w:type="spellEnd"/>
      <w:r w:rsidR="00E60C97">
        <w:rPr>
          <w:rFonts w:ascii="Times New Roman" w:hAnsi="Times New Roman" w:cs="Times New Roman"/>
          <w:i/>
          <w:sz w:val="24"/>
          <w:szCs w:val="24"/>
        </w:rPr>
        <w:t xml:space="preserve"> and </w:t>
      </w:r>
      <w:proofErr w:type="spellStart"/>
      <w:r w:rsidR="00E60C97">
        <w:rPr>
          <w:rFonts w:ascii="Times New Roman" w:hAnsi="Times New Roman" w:cs="Times New Roman"/>
          <w:i/>
          <w:sz w:val="24"/>
          <w:szCs w:val="24"/>
        </w:rPr>
        <w:t>robbery</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with</w:t>
      </w:r>
      <w:proofErr w:type="spellEnd"/>
      <w:r w:rsidR="00E60C97">
        <w:rPr>
          <w:rFonts w:ascii="Times New Roman" w:hAnsi="Times New Roman" w:cs="Times New Roman"/>
          <w:i/>
          <w:sz w:val="24"/>
          <w:szCs w:val="24"/>
        </w:rPr>
        <w:t xml:space="preserve"> forcé in </w:t>
      </w:r>
      <w:proofErr w:type="spellStart"/>
      <w:r w:rsidR="00E60C97">
        <w:rPr>
          <w:rFonts w:ascii="Times New Roman" w:hAnsi="Times New Roman" w:cs="Times New Roman"/>
          <w:i/>
          <w:sz w:val="24"/>
          <w:szCs w:val="24"/>
        </w:rPr>
        <w:t>the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things</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afther</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the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reforms</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operated</w:t>
      </w:r>
      <w:proofErr w:type="spellEnd"/>
      <w:r w:rsidR="00E60C97">
        <w:rPr>
          <w:rFonts w:ascii="Times New Roman" w:hAnsi="Times New Roman" w:cs="Times New Roman"/>
          <w:i/>
          <w:sz w:val="24"/>
          <w:szCs w:val="24"/>
        </w:rPr>
        <w:t xml:space="preserve"> in 2015. In </w:t>
      </w:r>
      <w:proofErr w:type="spellStart"/>
      <w:r w:rsidR="00E60C97">
        <w:rPr>
          <w:rFonts w:ascii="Times New Roman" w:hAnsi="Times New Roman" w:cs="Times New Roman"/>
          <w:i/>
          <w:sz w:val="24"/>
          <w:szCs w:val="24"/>
        </w:rPr>
        <w:t>addition</w:t>
      </w:r>
      <w:proofErr w:type="spellEnd"/>
      <w:r w:rsidR="00E60C97">
        <w:rPr>
          <w:rFonts w:ascii="Times New Roman" w:hAnsi="Times New Roman" w:cs="Times New Roman"/>
          <w:i/>
          <w:sz w:val="24"/>
          <w:szCs w:val="24"/>
        </w:rPr>
        <w:t xml:space="preserve">, I </w:t>
      </w:r>
      <w:proofErr w:type="spellStart"/>
      <w:r w:rsidR="00E60C97">
        <w:rPr>
          <w:rFonts w:ascii="Times New Roman" w:hAnsi="Times New Roman" w:cs="Times New Roman"/>
          <w:i/>
          <w:sz w:val="24"/>
          <w:szCs w:val="24"/>
        </w:rPr>
        <w:t>have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made</w:t>
      </w:r>
      <w:proofErr w:type="spellEnd"/>
      <w:r w:rsidR="00E60C97">
        <w:rPr>
          <w:rFonts w:ascii="Times New Roman" w:hAnsi="Times New Roman" w:cs="Times New Roman"/>
          <w:i/>
          <w:sz w:val="24"/>
          <w:szCs w:val="24"/>
        </w:rPr>
        <w:t xml:space="preserve"> a </w:t>
      </w:r>
      <w:proofErr w:type="spellStart"/>
      <w:r w:rsidR="00E60C97">
        <w:rPr>
          <w:rFonts w:ascii="Times New Roman" w:hAnsi="Times New Roman" w:cs="Times New Roman"/>
          <w:i/>
          <w:sz w:val="24"/>
          <w:szCs w:val="24"/>
        </w:rPr>
        <w:t>brief</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reference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to</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the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basic</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elements</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that</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make</w:t>
      </w:r>
      <w:proofErr w:type="spellEnd"/>
      <w:r w:rsidR="00E60C97">
        <w:rPr>
          <w:rFonts w:ascii="Times New Roman" w:hAnsi="Times New Roman" w:cs="Times New Roman"/>
          <w:i/>
          <w:sz w:val="24"/>
          <w:szCs w:val="24"/>
        </w:rPr>
        <w:t xml:space="preserve"> up </w:t>
      </w:r>
      <w:proofErr w:type="spellStart"/>
      <w:r w:rsidR="00E60C97">
        <w:rPr>
          <w:rFonts w:ascii="Times New Roman" w:hAnsi="Times New Roman" w:cs="Times New Roman"/>
          <w:i/>
          <w:sz w:val="24"/>
          <w:szCs w:val="24"/>
        </w:rPr>
        <w:t>both</w:t>
      </w:r>
      <w:proofErr w:type="spellEnd"/>
      <w:r w:rsidR="00E60C97">
        <w:rPr>
          <w:rFonts w:ascii="Times New Roman" w:hAnsi="Times New Roman" w:cs="Times New Roman"/>
          <w:i/>
          <w:sz w:val="24"/>
          <w:szCs w:val="24"/>
        </w:rPr>
        <w:t xml:space="preserve"> criminal figures, </w:t>
      </w:r>
      <w:proofErr w:type="spellStart"/>
      <w:r w:rsidR="00E60C97">
        <w:rPr>
          <w:rFonts w:ascii="Times New Roman" w:hAnsi="Times New Roman" w:cs="Times New Roman"/>
          <w:i/>
          <w:sz w:val="24"/>
          <w:szCs w:val="24"/>
        </w:rPr>
        <w:t>with</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the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aim</w:t>
      </w:r>
      <w:proofErr w:type="spellEnd"/>
      <w:r w:rsidR="00E60C97">
        <w:rPr>
          <w:rFonts w:ascii="Times New Roman" w:hAnsi="Times New Roman" w:cs="Times New Roman"/>
          <w:i/>
          <w:sz w:val="24"/>
          <w:szCs w:val="24"/>
        </w:rPr>
        <w:t xml:space="preserve"> of </w:t>
      </w:r>
      <w:proofErr w:type="spellStart"/>
      <w:r w:rsidR="00E60C97">
        <w:rPr>
          <w:rFonts w:ascii="Times New Roman" w:hAnsi="Times New Roman" w:cs="Times New Roman"/>
          <w:i/>
          <w:sz w:val="24"/>
          <w:szCs w:val="24"/>
        </w:rPr>
        <w:t>offering</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an</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initial</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explanation</w:t>
      </w:r>
      <w:proofErr w:type="spellEnd"/>
      <w:r w:rsidR="00E60C97">
        <w:rPr>
          <w:rFonts w:ascii="Times New Roman" w:hAnsi="Times New Roman" w:cs="Times New Roman"/>
          <w:i/>
          <w:sz w:val="24"/>
          <w:szCs w:val="24"/>
        </w:rPr>
        <w:t xml:space="preserve">, in </w:t>
      </w:r>
      <w:proofErr w:type="spellStart"/>
      <w:r w:rsidR="00E60C97">
        <w:rPr>
          <w:rFonts w:ascii="Times New Roman" w:hAnsi="Times New Roman" w:cs="Times New Roman"/>
          <w:i/>
          <w:sz w:val="24"/>
          <w:szCs w:val="24"/>
        </w:rPr>
        <w:t>order</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to</w:t>
      </w:r>
      <w:proofErr w:type="spellEnd"/>
      <w:r w:rsidR="00E60C97">
        <w:rPr>
          <w:rFonts w:ascii="Times New Roman" w:hAnsi="Times New Roman" w:cs="Times New Roman"/>
          <w:i/>
          <w:sz w:val="24"/>
          <w:szCs w:val="24"/>
        </w:rPr>
        <w:t xml:space="preserve"> be </w:t>
      </w:r>
      <w:proofErr w:type="spellStart"/>
      <w:r w:rsidR="00E60C97">
        <w:rPr>
          <w:rFonts w:ascii="Times New Roman" w:hAnsi="Times New Roman" w:cs="Times New Roman"/>
          <w:i/>
          <w:sz w:val="24"/>
          <w:szCs w:val="24"/>
        </w:rPr>
        <w:t>able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to</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analyze</w:t>
      </w:r>
      <w:proofErr w:type="spellEnd"/>
      <w:r w:rsidR="00E60C97">
        <w:rPr>
          <w:rFonts w:ascii="Times New Roman" w:hAnsi="Times New Roman" w:cs="Times New Roman"/>
          <w:i/>
          <w:sz w:val="24"/>
          <w:szCs w:val="24"/>
        </w:rPr>
        <w:t xml:space="preserve"> in </w:t>
      </w:r>
      <w:proofErr w:type="spellStart"/>
      <w:r w:rsidR="00E60C97">
        <w:rPr>
          <w:rFonts w:ascii="Times New Roman" w:hAnsi="Times New Roman" w:cs="Times New Roman"/>
          <w:i/>
          <w:sz w:val="24"/>
          <w:szCs w:val="24"/>
        </w:rPr>
        <w:t>depth</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the</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most</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revelant</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changes</w:t>
      </w:r>
      <w:proofErr w:type="spellEnd"/>
      <w:r w:rsidR="00E60C97">
        <w:rPr>
          <w:rFonts w:ascii="Times New Roman" w:hAnsi="Times New Roman" w:cs="Times New Roman"/>
          <w:i/>
          <w:sz w:val="24"/>
          <w:szCs w:val="24"/>
        </w:rPr>
        <w:t xml:space="preserve"> in </w:t>
      </w:r>
      <w:proofErr w:type="spellStart"/>
      <w:r w:rsidR="00E60C97">
        <w:rPr>
          <w:rFonts w:ascii="Times New Roman" w:hAnsi="Times New Roman" w:cs="Times New Roman"/>
          <w:i/>
          <w:sz w:val="24"/>
          <w:szCs w:val="24"/>
        </w:rPr>
        <w:t>this</w:t>
      </w:r>
      <w:proofErr w:type="spellEnd"/>
      <w:r w:rsidR="00E60C97">
        <w:rPr>
          <w:rFonts w:ascii="Times New Roman" w:hAnsi="Times New Roman" w:cs="Times New Roman"/>
          <w:i/>
          <w:sz w:val="24"/>
          <w:szCs w:val="24"/>
        </w:rPr>
        <w:t xml:space="preserve"> </w:t>
      </w:r>
      <w:proofErr w:type="spellStart"/>
      <w:r w:rsidR="00E60C97">
        <w:rPr>
          <w:rFonts w:ascii="Times New Roman" w:hAnsi="Times New Roman" w:cs="Times New Roman"/>
          <w:i/>
          <w:sz w:val="24"/>
          <w:szCs w:val="24"/>
        </w:rPr>
        <w:t>matter</w:t>
      </w:r>
      <w:proofErr w:type="spellEnd"/>
      <w:r w:rsidR="00E60C97">
        <w:rPr>
          <w:rFonts w:ascii="Times New Roman" w:hAnsi="Times New Roman" w:cs="Times New Roman"/>
          <w:i/>
          <w:sz w:val="24"/>
          <w:szCs w:val="24"/>
        </w:rPr>
        <w:t>.</w:t>
      </w:r>
    </w:p>
    <w:p w:rsidR="0050306F" w:rsidRDefault="0050306F"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E60C97" w:rsidRDefault="00E60C97" w:rsidP="00931F05">
      <w:pPr>
        <w:spacing w:line="360" w:lineRule="auto"/>
        <w:jc w:val="both"/>
        <w:rPr>
          <w:rFonts w:ascii="Times New Roman" w:hAnsi="Times New Roman" w:cs="Times New Roman"/>
          <w:sz w:val="24"/>
          <w:szCs w:val="24"/>
        </w:rPr>
      </w:pPr>
    </w:p>
    <w:p w:rsidR="00286CDE" w:rsidRDefault="00286CD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CAPÍTU</w:t>
      </w:r>
      <w:r w:rsidR="00C236CA">
        <w:rPr>
          <w:rFonts w:ascii="Times New Roman" w:hAnsi="Times New Roman" w:cs="Times New Roman"/>
          <w:sz w:val="24"/>
          <w:szCs w:val="24"/>
        </w:rPr>
        <w:t>L</w:t>
      </w:r>
      <w:r>
        <w:rPr>
          <w:rFonts w:ascii="Times New Roman" w:hAnsi="Times New Roman" w:cs="Times New Roman"/>
          <w:sz w:val="24"/>
          <w:szCs w:val="24"/>
        </w:rPr>
        <w:t>O 1: ASPECTOS BÁSICOS.</w:t>
      </w:r>
    </w:p>
    <w:p w:rsidR="005239DF" w:rsidRDefault="005239DF" w:rsidP="00931F05">
      <w:pPr>
        <w:spacing w:line="360" w:lineRule="auto"/>
        <w:jc w:val="both"/>
        <w:rPr>
          <w:rFonts w:ascii="Times New Roman" w:hAnsi="Times New Roman" w:cs="Times New Roman"/>
          <w:sz w:val="24"/>
          <w:szCs w:val="24"/>
        </w:rPr>
      </w:pPr>
    </w:p>
    <w:p w:rsidR="004F4374" w:rsidRDefault="004F437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este primer capítulo, con un carácter introductorio, haré referencia a los elementos comunes de las dos figuras delictivas en cuestión, los cuales son causa de su tipificación próxima en Código penal, además de analizar la distinción entre el hurto y el robo con fuerza en las cosas, que hace que se encuentren en distintos artículos.</w:t>
      </w:r>
    </w:p>
    <w:p w:rsidR="00C646A6" w:rsidRDefault="00C646A6"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considero conveniente hacer una contextualización histórica, de modo que con la Ley Orgánica 10/1995, de 23 de noviembre, se incluye un Título XIII denominado `` De los delitos contra el patrimonio y el orden socioeconómico´´, rompiendo con la clásica rúbrica `` delitos contra la propiedad´´, que permanecía invariable desde el Código penal de 1848</w:t>
      </w:r>
      <w:r w:rsidR="0002210B">
        <w:rPr>
          <w:rStyle w:val="Refdenotaalpie"/>
          <w:rFonts w:ascii="Times New Roman" w:hAnsi="Times New Roman" w:cs="Times New Roman"/>
          <w:sz w:val="24"/>
          <w:szCs w:val="24"/>
        </w:rPr>
        <w:footnoteReference w:id="1"/>
      </w:r>
      <w:r>
        <w:rPr>
          <w:rFonts w:ascii="Times New Roman" w:hAnsi="Times New Roman" w:cs="Times New Roman"/>
          <w:sz w:val="24"/>
          <w:szCs w:val="24"/>
        </w:rPr>
        <w:t xml:space="preserve">. De esta forma, </w:t>
      </w:r>
      <w:r w:rsidR="000B48B9">
        <w:rPr>
          <w:rFonts w:ascii="Times New Roman" w:hAnsi="Times New Roman" w:cs="Times New Roman"/>
          <w:sz w:val="24"/>
          <w:szCs w:val="24"/>
        </w:rPr>
        <w:t>respecto a los delitos patrimoniales de apoderamiento, la tradición codificadora española tipificaba, en primer lugar, el delito de robo para, a continuación, dedicar un capítulo al delito de hurto. Así, la definición del delito de hurto dispuesta en el párrafo primero del artículo 426 CP del Código penal de 1848 señalaba que `` son reos de hurto los que con ánimo de lucro y sin violencia o intimidación en las personas</w:t>
      </w:r>
      <w:r w:rsidR="002F1D18">
        <w:rPr>
          <w:rFonts w:ascii="Times New Roman" w:hAnsi="Times New Roman" w:cs="Times New Roman"/>
          <w:sz w:val="24"/>
          <w:szCs w:val="24"/>
        </w:rPr>
        <w:t>, ni fuerza en las cosas, toman las cosas muebles ajenas sin la voluntad de su dueño´´. Por ello, dicha definición hacía referencia a estas circunstancias que, de concurrir, se calificaría la conducta como delito de robo, tipificado ant</w:t>
      </w:r>
      <w:r w:rsidR="0086180E">
        <w:rPr>
          <w:rFonts w:ascii="Times New Roman" w:hAnsi="Times New Roman" w:cs="Times New Roman"/>
          <w:sz w:val="24"/>
          <w:szCs w:val="24"/>
        </w:rPr>
        <w:t>eriormente al delito de hurto. Con el Código pena</w:t>
      </w:r>
      <w:r w:rsidR="005239DF">
        <w:rPr>
          <w:rFonts w:ascii="Times New Roman" w:hAnsi="Times New Roman" w:cs="Times New Roman"/>
          <w:sz w:val="24"/>
          <w:szCs w:val="24"/>
        </w:rPr>
        <w:t>l de 1995, llamado de la Democracia, se modifica la estructuración de los delitos de apoderamiento, comenzando como figura delictiva general con el delito de hurto, para continuar con la especialidad del delito de robo, de concurrir en los hechos fuerza en las cosas o violencia o intimidación en las personas. Sin embargo, como bien se puede observar, la concepción tradicional del delito de hurto se mantiene vigente hasta nuestros días.</w:t>
      </w:r>
      <w:r w:rsidR="00DF1542">
        <w:rPr>
          <w:rStyle w:val="Refdenotaalpie"/>
          <w:rFonts w:ascii="Times New Roman" w:hAnsi="Times New Roman" w:cs="Times New Roman"/>
          <w:sz w:val="24"/>
          <w:szCs w:val="24"/>
        </w:rPr>
        <w:footnoteReference w:id="2"/>
      </w:r>
    </w:p>
    <w:p w:rsidR="00E5215A" w:rsidRDefault="002F78C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Una vez realizada esta contextualización histórica, c</w:t>
      </w:r>
      <w:r w:rsidR="00F87194">
        <w:rPr>
          <w:rFonts w:ascii="Times New Roman" w:hAnsi="Times New Roman" w:cs="Times New Roman"/>
          <w:sz w:val="24"/>
          <w:szCs w:val="24"/>
        </w:rPr>
        <w:t>omo bien se puede observar en la rúbrica utilizada en el Título XIII, en el mismo se tutelan tanto intereses patrimoniales individuales (como la propiedad en los delitos que aquí examinamos), como intereses patrimoniales con una proyección de colectividad.</w:t>
      </w:r>
      <w:r>
        <w:rPr>
          <w:rFonts w:ascii="Times New Roman" w:hAnsi="Times New Roman" w:cs="Times New Roman"/>
          <w:sz w:val="24"/>
          <w:szCs w:val="24"/>
        </w:rPr>
        <w:t xml:space="preserve"> A lo largo del presente trabajo, me centraré en los delitos de hurto y de robo con fuerza en las cosas y, concretamente, en </w:t>
      </w:r>
      <w:r>
        <w:rPr>
          <w:rFonts w:ascii="Times New Roman" w:hAnsi="Times New Roman" w:cs="Times New Roman"/>
          <w:sz w:val="24"/>
          <w:szCs w:val="24"/>
        </w:rPr>
        <w:lastRenderedPageBreak/>
        <w:t>este primer capítulo daré unas breves pinceladas a los nexos de unión de ambas figuras delictivas, como son, el bien jurídico protegido, el objeto material del delito, el elemento subjetivo subyacente</w:t>
      </w:r>
      <w:r w:rsidR="007E69F8">
        <w:rPr>
          <w:rFonts w:ascii="Times New Roman" w:hAnsi="Times New Roman" w:cs="Times New Roman"/>
          <w:sz w:val="24"/>
          <w:szCs w:val="24"/>
        </w:rPr>
        <w:t>, así como el verbo utilizado para la definición de la conducta típica. Del mismo modo, con la intención de fundamentar su tipificación en distintos artículos, hare referencia en un apartado posterior a los detalles que marcan la diferencia entre ambas infracciones delictivas, los cuales se resumen</w:t>
      </w:r>
      <w:r w:rsidR="00C312A2">
        <w:rPr>
          <w:rFonts w:ascii="Times New Roman" w:hAnsi="Times New Roman" w:cs="Times New Roman"/>
          <w:sz w:val="24"/>
          <w:szCs w:val="24"/>
        </w:rPr>
        <w:t xml:space="preserve"> en la necesidad de la concurrencia en los hechos de la fuerza típica, la cual es necesaria para poder calificar la conducta como delito de robo con fuerza en las cosas.</w:t>
      </w:r>
      <w:r w:rsidR="00A732BF">
        <w:rPr>
          <w:rStyle w:val="Refdenotaalpie"/>
          <w:rFonts w:ascii="Times New Roman" w:hAnsi="Times New Roman" w:cs="Times New Roman"/>
          <w:sz w:val="24"/>
          <w:szCs w:val="24"/>
        </w:rPr>
        <w:footnoteReference w:id="3"/>
      </w:r>
    </w:p>
    <w:p w:rsidR="00E5215A" w:rsidRDefault="00E5215A" w:rsidP="00931F05">
      <w:pPr>
        <w:spacing w:line="360" w:lineRule="auto"/>
        <w:jc w:val="both"/>
        <w:rPr>
          <w:rFonts w:ascii="Times New Roman" w:hAnsi="Times New Roman" w:cs="Times New Roman"/>
          <w:sz w:val="24"/>
          <w:szCs w:val="24"/>
        </w:rPr>
      </w:pPr>
    </w:p>
    <w:p w:rsidR="00286CDE" w:rsidRDefault="00286CDE" w:rsidP="00931F05">
      <w:pPr>
        <w:spacing w:line="360" w:lineRule="auto"/>
        <w:jc w:val="both"/>
        <w:rPr>
          <w:rFonts w:ascii="Times New Roman" w:hAnsi="Times New Roman" w:cs="Times New Roman"/>
          <w:sz w:val="24"/>
          <w:szCs w:val="24"/>
        </w:rPr>
      </w:pPr>
    </w:p>
    <w:p w:rsidR="00286CDE" w:rsidRPr="00286CDE" w:rsidRDefault="00286CDE" w:rsidP="00931F05">
      <w:pPr>
        <w:pStyle w:val="Prrafodelista"/>
        <w:numPr>
          <w:ilvl w:val="1"/>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ELEMENTOS COMUNES AL DELITO DE HURTO Y DE ROBO CON FUERZA EN LAS COSAS.</w:t>
      </w:r>
    </w:p>
    <w:p w:rsidR="000613B1" w:rsidRDefault="00EA7AA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Tratándose de delitos patrimoniales de enriquecimiento, en su modalidad de apoderamiento, a continuación procederé a reflejar distintos elementos comunes a ambas fuerzas delictivas. En este sentido, un nexo de semejanza entre ambos delitos subyace </w:t>
      </w:r>
      <w:r w:rsidR="003D2334">
        <w:rPr>
          <w:rFonts w:ascii="Times New Roman" w:hAnsi="Times New Roman" w:cs="Times New Roman"/>
          <w:sz w:val="24"/>
          <w:szCs w:val="24"/>
        </w:rPr>
        <w:t>de la idea de enriquecimiento injusto del sujeto activo, de lo que deriva un perjuicio patrimonial en el sujeto pasivo. Por otro lado, la acción de apoderamiento une a dichas figuras dentro del Título XII</w:t>
      </w:r>
      <w:r w:rsidR="00E244BE">
        <w:rPr>
          <w:rFonts w:ascii="Times New Roman" w:hAnsi="Times New Roman" w:cs="Times New Roman"/>
          <w:sz w:val="24"/>
          <w:szCs w:val="24"/>
        </w:rPr>
        <w:t>I del libro II del Código penal, requiriendo un desplazamiento físico del objeto del delito, es decir, un comportamiento físico activo.</w:t>
      </w:r>
    </w:p>
    <w:p w:rsidR="006B7051" w:rsidRDefault="006B705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6B7051" w:rsidRDefault="006B7051" w:rsidP="00931F05">
      <w:pPr>
        <w:pStyle w:val="Prrafodelista"/>
        <w:numPr>
          <w:ilvl w:val="2"/>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BIEN JURÍDICO PROTEGIDO</w:t>
      </w:r>
    </w:p>
    <w:p w:rsidR="006B7051" w:rsidRDefault="007A6F6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La rúbrica del título anteriormente mencionado nos orienta a la determinación del bien jurídico protegido, analizando con detalle, por tanto, el concepto de patrimonio. El mismo se puede definir como un conjunto de derechos y obligaciones que tienen un valor económico y que, de esta manera, deben ser valorables en dinero. Una cuestión a la que considero conveniente hacer referencia es a aquellas cosas que carecen de un valor de cambio en dinero,</w:t>
      </w:r>
      <w:r w:rsidR="00DF2269">
        <w:rPr>
          <w:rFonts w:ascii="Times New Roman" w:hAnsi="Times New Roman" w:cs="Times New Roman"/>
          <w:sz w:val="24"/>
          <w:szCs w:val="24"/>
        </w:rPr>
        <w:t xml:space="preserve"> pero, por lo contrario, disponen de una entidad sentimental para el sujeto. En este caso, el Derecho penal, con una interpretación restrictiva, no </w:t>
      </w:r>
      <w:r w:rsidR="00DF2269">
        <w:rPr>
          <w:rFonts w:ascii="Times New Roman" w:hAnsi="Times New Roman" w:cs="Times New Roman"/>
          <w:sz w:val="24"/>
          <w:szCs w:val="24"/>
        </w:rPr>
        <w:lastRenderedPageBreak/>
        <w:t xml:space="preserve">comprende las mismas en el concepto de patrimonio. Tampoco es apto un concepto estrictamente </w:t>
      </w:r>
      <w:r w:rsidR="005601F1">
        <w:rPr>
          <w:rFonts w:ascii="Times New Roman" w:hAnsi="Times New Roman" w:cs="Times New Roman"/>
          <w:sz w:val="24"/>
          <w:szCs w:val="24"/>
        </w:rPr>
        <w:t>econ</w:t>
      </w:r>
      <w:r w:rsidR="00B96CF9">
        <w:rPr>
          <w:rFonts w:ascii="Times New Roman" w:hAnsi="Times New Roman" w:cs="Times New Roman"/>
          <w:sz w:val="24"/>
          <w:szCs w:val="24"/>
        </w:rPr>
        <w:t>ómico,  por el cual se considere la inexistencia de hurto</w:t>
      </w:r>
      <w:r w:rsidR="00DF3BB7">
        <w:rPr>
          <w:rFonts w:ascii="Times New Roman" w:hAnsi="Times New Roman" w:cs="Times New Roman"/>
          <w:sz w:val="24"/>
          <w:szCs w:val="24"/>
        </w:rPr>
        <w:t xml:space="preserve"> en el caso del apoderamiento de una cosa mueble ajena, con la consiguiente restitución de una de igual valor o del correspondiente dinero. Por lo tanto, el concepto de patrimonio, en la rama de Derecho penal, se caracteriza, además de por el valor económico de la cosa, por la protección jurídica que se concede a la relación entre la persona y la cosa. De ello deriva una concepción mixta jurídico-económica de patrimonio, según la cual, </w:t>
      </w:r>
      <w:r w:rsidR="00E55BBD">
        <w:rPr>
          <w:rFonts w:ascii="Times New Roman" w:hAnsi="Times New Roman" w:cs="Times New Roman"/>
          <w:sz w:val="24"/>
          <w:szCs w:val="24"/>
        </w:rPr>
        <w:t>además de la necesidad de que el bien esté dotado de valor económico, se requiere una relación entre el sujeto y la cosa digna de protección por el ordenamiento jurídico</w:t>
      </w:r>
      <w:r w:rsidR="00DE3206">
        <w:rPr>
          <w:rStyle w:val="Refdenotaalpie"/>
          <w:rFonts w:ascii="Times New Roman" w:hAnsi="Times New Roman" w:cs="Times New Roman"/>
          <w:sz w:val="24"/>
          <w:szCs w:val="24"/>
        </w:rPr>
        <w:footnoteReference w:id="4"/>
      </w:r>
      <w:r w:rsidR="00E55BBD">
        <w:rPr>
          <w:rFonts w:ascii="Times New Roman" w:hAnsi="Times New Roman" w:cs="Times New Roman"/>
          <w:sz w:val="24"/>
          <w:szCs w:val="24"/>
        </w:rPr>
        <w:t>.</w:t>
      </w:r>
    </w:p>
    <w:p w:rsidR="00546AE4" w:rsidRDefault="009F094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Considero importante hacer referencia al lucro cesante derivado del delito o, lo que es lo mismo, el incremento patrimonial dejado de percibir, dejando claro que el mismo no forma parte del patrimonio, sino que se reconduce a la posible responsabilidad civil.</w:t>
      </w:r>
      <w:r>
        <w:rPr>
          <w:rStyle w:val="Refdenotaalpie"/>
          <w:rFonts w:ascii="Times New Roman" w:hAnsi="Times New Roman" w:cs="Times New Roman"/>
          <w:sz w:val="24"/>
          <w:szCs w:val="24"/>
        </w:rPr>
        <w:footnoteReference w:id="5"/>
      </w:r>
    </w:p>
    <w:p w:rsidR="00E55BBD" w:rsidRDefault="00E55BB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fondo, tras un breve examen de la doctrina, lo que se tutela directamente con estas figuras delictivas es la propiedad, más teniendo en cuenta la exigencia típica </w:t>
      </w:r>
      <w:r w:rsidR="002245C7">
        <w:rPr>
          <w:rFonts w:ascii="Times New Roman" w:hAnsi="Times New Roman" w:cs="Times New Roman"/>
          <w:sz w:val="24"/>
          <w:szCs w:val="24"/>
        </w:rPr>
        <w:t>de que la cosa mueble sea ajena, así como de actuar sin la voluntad de su dueño. Lo mencionado se refuerza por remisión al artículo 236CP, el cual tutela la legítima posesión, tipificando la sustracción de la cosa mueble por su propietario de quien es su poseedor legítimo.</w:t>
      </w:r>
      <w:r w:rsidR="00DE3206">
        <w:rPr>
          <w:rStyle w:val="Refdenotaalpie"/>
          <w:rFonts w:ascii="Times New Roman" w:hAnsi="Times New Roman" w:cs="Times New Roman"/>
          <w:sz w:val="24"/>
          <w:szCs w:val="24"/>
        </w:rPr>
        <w:footnoteReference w:id="6"/>
      </w:r>
    </w:p>
    <w:p w:rsidR="00E5215A" w:rsidRDefault="00E5215A" w:rsidP="00931F05">
      <w:pPr>
        <w:spacing w:line="360" w:lineRule="auto"/>
        <w:jc w:val="both"/>
        <w:rPr>
          <w:rFonts w:ascii="Times New Roman" w:hAnsi="Times New Roman" w:cs="Times New Roman"/>
          <w:sz w:val="24"/>
          <w:szCs w:val="24"/>
        </w:rPr>
      </w:pPr>
    </w:p>
    <w:p w:rsidR="00FB21B6" w:rsidRDefault="00FB21B6" w:rsidP="00931F05">
      <w:pPr>
        <w:pStyle w:val="Prrafodelista"/>
        <w:numPr>
          <w:ilvl w:val="2"/>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OBJETO MATERIAL.</w:t>
      </w:r>
    </w:p>
    <w:p w:rsidR="00DE4471" w:rsidRDefault="00DE4471" w:rsidP="00931F05">
      <w:pPr>
        <w:spacing w:line="360" w:lineRule="auto"/>
        <w:jc w:val="both"/>
        <w:rPr>
          <w:rFonts w:ascii="Times New Roman" w:hAnsi="Times New Roman" w:cs="Times New Roman"/>
          <w:sz w:val="24"/>
          <w:szCs w:val="24"/>
        </w:rPr>
      </w:pPr>
    </w:p>
    <w:p w:rsidR="00FB21B6" w:rsidRPr="00FB21B6" w:rsidRDefault="00FB21B6"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El objeto material de ambas figuras delictivas está constituido por la cosa mueble ajena. Destacar, por un lado, el hecho que, en el ámbito de los delitos patrimoniales , la misma adquiere una concepción autónom</w:t>
      </w:r>
      <w:r w:rsidR="00D7627B">
        <w:rPr>
          <w:rFonts w:ascii="Times New Roman" w:hAnsi="Times New Roman" w:cs="Times New Roman"/>
          <w:sz w:val="24"/>
          <w:szCs w:val="24"/>
        </w:rPr>
        <w:t xml:space="preserve">a, aunque sin perder sus características definitorias derivadas del artículo 335 del Código civil, pudiendo ser objeto material las cosas con un valor económico determinado o determinable, susceptibles de ser aprehendidas y </w:t>
      </w:r>
      <w:r w:rsidR="00D7627B">
        <w:rPr>
          <w:rFonts w:ascii="Times New Roman" w:hAnsi="Times New Roman" w:cs="Times New Roman"/>
          <w:sz w:val="24"/>
          <w:szCs w:val="24"/>
        </w:rPr>
        <w:lastRenderedPageBreak/>
        <w:t>trasladadas de un punto a otro.</w:t>
      </w:r>
      <w:r w:rsidR="00635B4A">
        <w:rPr>
          <w:rStyle w:val="Refdenotaalpie"/>
          <w:rFonts w:ascii="Times New Roman" w:hAnsi="Times New Roman" w:cs="Times New Roman"/>
          <w:sz w:val="24"/>
          <w:szCs w:val="24"/>
        </w:rPr>
        <w:footnoteReference w:id="7"/>
      </w:r>
      <w:r w:rsidR="00D7627B">
        <w:rPr>
          <w:rFonts w:ascii="Times New Roman" w:hAnsi="Times New Roman" w:cs="Times New Roman"/>
          <w:sz w:val="24"/>
          <w:szCs w:val="24"/>
        </w:rPr>
        <w:t xml:space="preserve"> No olvidar que jurídicamente el concepto de cosa se fundamenta en todo aquello que puede ser objeto de derechos patrimoniales.</w:t>
      </w:r>
      <w:r w:rsidR="002118CC">
        <w:rPr>
          <w:rStyle w:val="Refdenotaalpie"/>
          <w:rFonts w:ascii="Times New Roman" w:hAnsi="Times New Roman" w:cs="Times New Roman"/>
          <w:sz w:val="24"/>
          <w:szCs w:val="24"/>
        </w:rPr>
        <w:footnoteReference w:id="8"/>
      </w:r>
    </w:p>
    <w:p w:rsidR="00326846" w:rsidRDefault="004A7FA0"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otro lado, la individualidad propia de la cosa mueble es necesaria para la existencia del delito, no pudiendo ser objeto material, a modo de ejemplo, las energías, los derechos, los pensamientos… Un aspecto importante a reseñar es el valor en el mercado que debe tener la cosa</w:t>
      </w:r>
      <w:r w:rsidR="00E32B5A">
        <w:rPr>
          <w:rFonts w:ascii="Times New Roman" w:hAnsi="Times New Roman" w:cs="Times New Roman"/>
          <w:sz w:val="24"/>
          <w:szCs w:val="24"/>
        </w:rPr>
        <w:t xml:space="preserve">, con independencia de que se encuentre fuera o dentro del tráfico comercial, manifestándose la jurisprudencia en este tema. Según la misma, las cosas </w:t>
      </w:r>
      <w:proofErr w:type="spellStart"/>
      <w:r w:rsidR="00E32B5A">
        <w:rPr>
          <w:rFonts w:ascii="Times New Roman" w:hAnsi="Times New Roman" w:cs="Times New Roman"/>
          <w:sz w:val="24"/>
          <w:szCs w:val="24"/>
        </w:rPr>
        <w:t>extracomercium</w:t>
      </w:r>
      <w:proofErr w:type="spellEnd"/>
      <w:r w:rsidR="00E32B5A">
        <w:rPr>
          <w:rFonts w:ascii="Times New Roman" w:hAnsi="Times New Roman" w:cs="Times New Roman"/>
          <w:sz w:val="24"/>
          <w:szCs w:val="24"/>
        </w:rPr>
        <w:t xml:space="preserve"> son ajenas y, por lo tanto, pueden constituir objeto material de los delitos en cuestión.</w:t>
      </w:r>
      <w:r w:rsidR="002118CC">
        <w:rPr>
          <w:rStyle w:val="Refdenotaalpie"/>
          <w:rFonts w:ascii="Times New Roman" w:hAnsi="Times New Roman" w:cs="Times New Roman"/>
          <w:sz w:val="24"/>
          <w:szCs w:val="24"/>
        </w:rPr>
        <w:footnoteReference w:id="9"/>
      </w:r>
    </w:p>
    <w:p w:rsidR="00E32B5A" w:rsidRDefault="00E32B5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Importante considero la no confusión de la necesidad de que la cosa sea evaluable económicamente</w:t>
      </w:r>
      <w:r w:rsidR="00C345D5">
        <w:rPr>
          <w:rFonts w:ascii="Times New Roman" w:hAnsi="Times New Roman" w:cs="Times New Roman"/>
          <w:sz w:val="24"/>
          <w:szCs w:val="24"/>
        </w:rPr>
        <w:t>, con el posible perjuicio ocasionado en el patrimonio del sujeto pasivo, más teniendo en cuenta que el mismo no se considera como elemento definitorio de la conducta típica, formando parte, si se ocasionara, de la responsabilidad civil derivada del delito.</w:t>
      </w:r>
      <w:r w:rsidR="00BD7AC9">
        <w:rPr>
          <w:rStyle w:val="Refdenotaalpie"/>
          <w:rFonts w:ascii="Times New Roman" w:hAnsi="Times New Roman" w:cs="Times New Roman"/>
          <w:sz w:val="24"/>
          <w:szCs w:val="24"/>
        </w:rPr>
        <w:footnoteReference w:id="10"/>
      </w:r>
    </w:p>
    <w:p w:rsidR="00C345D5" w:rsidRDefault="00C345D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determinación de la ajenidad de la cosa mueble debemos tener en cuenta, en primer lugar, </w:t>
      </w:r>
      <w:r w:rsidR="00F85208">
        <w:rPr>
          <w:rFonts w:ascii="Times New Roman" w:hAnsi="Times New Roman" w:cs="Times New Roman"/>
          <w:sz w:val="24"/>
          <w:szCs w:val="24"/>
        </w:rPr>
        <w:t>que se trata de un concepto jurídico civil</w:t>
      </w:r>
      <w:r w:rsidR="00B86A07">
        <w:rPr>
          <w:rFonts w:ascii="Times New Roman" w:hAnsi="Times New Roman" w:cs="Times New Roman"/>
          <w:sz w:val="24"/>
          <w:szCs w:val="24"/>
        </w:rPr>
        <w:t xml:space="preserve">. En este sentido, por el mismo debemos comprender la no pertenencia de la cosa en cuestión a un sujeto, no pudiendo ser objeto material </w:t>
      </w:r>
      <w:r w:rsidR="008145D8">
        <w:rPr>
          <w:rFonts w:ascii="Times New Roman" w:hAnsi="Times New Roman" w:cs="Times New Roman"/>
          <w:sz w:val="24"/>
          <w:szCs w:val="24"/>
        </w:rPr>
        <w:t>ni las cosas abandonadas, ni aquellas que nunca han tenido un dueño. En el caso de las cosas en condominio, la ajenidad, teniendo en cuenta las normas de Derecho civil, es sinónimo de la falta de legitimación para</w:t>
      </w:r>
      <w:r w:rsidR="000E1F9D">
        <w:rPr>
          <w:rFonts w:ascii="Times New Roman" w:hAnsi="Times New Roman" w:cs="Times New Roman"/>
          <w:sz w:val="24"/>
          <w:szCs w:val="24"/>
        </w:rPr>
        <w:t xml:space="preserve"> disponer de las cosas en común, sin el correspondiente permiso de la otra parte. Necesaria, por consiguiente, es la distinción entre aquellos condominios establecidos por cuotas ideales, para los cuales es difícil afirmar la ajenidad de la cosa, de aquellos basados en cuotas proporcionales, en los que podrá afirmarse la existencia de delito por el exceso de la parte que le corresponde al sujeto.</w:t>
      </w:r>
      <w:r w:rsidR="00BD7AC9">
        <w:rPr>
          <w:rStyle w:val="Refdenotaalpie"/>
          <w:rFonts w:ascii="Times New Roman" w:hAnsi="Times New Roman" w:cs="Times New Roman"/>
          <w:sz w:val="24"/>
          <w:szCs w:val="24"/>
        </w:rPr>
        <w:footnoteReference w:id="11"/>
      </w:r>
    </w:p>
    <w:p w:rsidR="00A3112B" w:rsidRDefault="00A3112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Por último, y sin intención de</w:t>
      </w:r>
      <w:r w:rsidR="00C3280B">
        <w:rPr>
          <w:rFonts w:ascii="Times New Roman" w:hAnsi="Times New Roman" w:cs="Times New Roman"/>
          <w:sz w:val="24"/>
          <w:szCs w:val="24"/>
        </w:rPr>
        <w:t xml:space="preserve"> poner énfasis en esta cuestión</w:t>
      </w:r>
      <w:r>
        <w:rPr>
          <w:rFonts w:ascii="Times New Roman" w:hAnsi="Times New Roman" w:cs="Times New Roman"/>
          <w:sz w:val="24"/>
          <w:szCs w:val="24"/>
        </w:rPr>
        <w:t>, la cosa objeto material del delito deberá valorarse objetivamente teniendo en cuenta las reglas del mercado, teniendo en cuenta algunos casos específicos</w:t>
      </w:r>
      <w:r w:rsidR="00C3280B">
        <w:rPr>
          <w:rFonts w:ascii="Times New Roman" w:hAnsi="Times New Roman" w:cs="Times New Roman"/>
          <w:sz w:val="24"/>
          <w:szCs w:val="24"/>
        </w:rPr>
        <w:t>, en relación con determinados documentos que acreditan un valor o aquellos casos que pueden suscitar problemas al determinar el valor del objeto material (por ejemplo, un boleto de lotería).</w:t>
      </w:r>
      <w:r w:rsidR="00BD7AC9">
        <w:rPr>
          <w:rStyle w:val="Refdenotaalpie"/>
          <w:rFonts w:ascii="Times New Roman" w:hAnsi="Times New Roman" w:cs="Times New Roman"/>
          <w:sz w:val="24"/>
          <w:szCs w:val="24"/>
        </w:rPr>
        <w:footnoteReference w:id="12"/>
      </w:r>
    </w:p>
    <w:p w:rsidR="00C3280B" w:rsidRDefault="00C3280B" w:rsidP="00931F05">
      <w:pPr>
        <w:spacing w:line="360" w:lineRule="auto"/>
        <w:jc w:val="both"/>
        <w:rPr>
          <w:rFonts w:ascii="Times New Roman" w:hAnsi="Times New Roman" w:cs="Times New Roman"/>
          <w:sz w:val="24"/>
          <w:szCs w:val="24"/>
        </w:rPr>
      </w:pPr>
    </w:p>
    <w:p w:rsidR="00C3280B" w:rsidRDefault="00C3280B" w:rsidP="00931F05">
      <w:pPr>
        <w:pStyle w:val="Prrafodelista"/>
        <w:numPr>
          <w:ilvl w:val="2"/>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ELEMENTO SUBJETIVO.</w:t>
      </w:r>
    </w:p>
    <w:p w:rsidR="00DE4471" w:rsidRDefault="00DE4471" w:rsidP="00931F05">
      <w:pPr>
        <w:spacing w:line="360" w:lineRule="auto"/>
        <w:jc w:val="both"/>
        <w:rPr>
          <w:rFonts w:ascii="Times New Roman" w:hAnsi="Times New Roman" w:cs="Times New Roman"/>
          <w:sz w:val="24"/>
          <w:szCs w:val="24"/>
        </w:rPr>
      </w:pPr>
    </w:p>
    <w:p w:rsidR="00993134" w:rsidRDefault="0099313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 aspecto común a ambas figuras delictivas se deriva de la exigencia de un elemento subjetivo del tipo que difiere del básico dolo o ánimo de apoderamiento de la cosa mueble ajena, en lo que se conoce como ánimo de lucro. </w:t>
      </w:r>
      <w:r w:rsidR="000A6FA9">
        <w:rPr>
          <w:rFonts w:ascii="Times New Roman" w:hAnsi="Times New Roman" w:cs="Times New Roman"/>
          <w:sz w:val="24"/>
          <w:szCs w:val="24"/>
        </w:rPr>
        <w:t>Por lo tanto, dicho ánimo no se corresponde con la voluntad de apropiarse de la cosa, sino que se manifiesta en cualquier ventaja o utilidad que busca obtener el sujeto activo de las cosas sustraídas. El problema deriva de la dificultad probatoria de dicho ánimo, debiendo deducirse del caso concreto mediante pruebas indirectas.</w:t>
      </w:r>
      <w:r w:rsidR="00A277D4">
        <w:rPr>
          <w:rFonts w:ascii="Times New Roman" w:hAnsi="Times New Roman" w:cs="Times New Roman"/>
          <w:sz w:val="24"/>
          <w:szCs w:val="24"/>
        </w:rPr>
        <w:t xml:space="preserve"> En este sentido, la doctrina ha sido crítica con la jurisprudencia del Tribunal Supremo, por el hecho de establecer que dicho ánimo se presume en toda sustracción dolosa de cosas ajena con valor económico apreciable. Destacar, por tanto, </w:t>
      </w:r>
      <w:r w:rsidR="005C2D92">
        <w:rPr>
          <w:rFonts w:ascii="Times New Roman" w:hAnsi="Times New Roman" w:cs="Times New Roman"/>
          <w:sz w:val="24"/>
          <w:szCs w:val="24"/>
        </w:rPr>
        <w:t>que en estos delitos el ánimo de lucro se agota en la finalidad de desapoderar de la cosa de forma definitiva al sujeto pasivo, incorporándola el sujeto activo a su propio ámbito de dominio (STS 10/03/2000). Así, es cierto que existen problemas prácticos para la delimitación del ánimo de lucro y del ánimo de apoderamiento, refiriéndose el primero</w:t>
      </w:r>
      <w:r w:rsidR="001B1AFB">
        <w:rPr>
          <w:rFonts w:ascii="Times New Roman" w:hAnsi="Times New Roman" w:cs="Times New Roman"/>
          <w:sz w:val="24"/>
          <w:szCs w:val="24"/>
        </w:rPr>
        <w:t xml:space="preserve"> a la finalidad de obtener una ventaja patrimonial ilícita en el momento de la acción típica. Sin una mayor expansión en esta cuestión, concluir con la necesidad de no confundir el ánimo de lucro con el efectivo enriquecimiento del sujeto activo, puesto que para la consumación de estas figuras delictivas no se requiere que se produzca la</w:t>
      </w:r>
      <w:r w:rsidR="00873976">
        <w:rPr>
          <w:rFonts w:ascii="Times New Roman" w:hAnsi="Times New Roman" w:cs="Times New Roman"/>
          <w:sz w:val="24"/>
          <w:szCs w:val="24"/>
        </w:rPr>
        <w:t xml:space="preserve"> correspondiente</w:t>
      </w:r>
      <w:r w:rsidR="001B1AFB">
        <w:rPr>
          <w:rFonts w:ascii="Times New Roman" w:hAnsi="Times New Roman" w:cs="Times New Roman"/>
          <w:sz w:val="24"/>
          <w:szCs w:val="24"/>
        </w:rPr>
        <w:t xml:space="preserve"> ventaja o beneficio económico, </w:t>
      </w:r>
      <w:r w:rsidR="00873976">
        <w:rPr>
          <w:rFonts w:ascii="Times New Roman" w:hAnsi="Times New Roman" w:cs="Times New Roman"/>
          <w:sz w:val="24"/>
          <w:szCs w:val="24"/>
        </w:rPr>
        <w:t>bastando con la mera intención de su obtención, la cual debe ser patente en el transcurso de la acción típica.</w:t>
      </w:r>
      <w:r w:rsidR="00EA5746">
        <w:rPr>
          <w:rStyle w:val="Refdenotaalpie"/>
          <w:rFonts w:ascii="Times New Roman" w:hAnsi="Times New Roman" w:cs="Times New Roman"/>
          <w:sz w:val="24"/>
          <w:szCs w:val="24"/>
        </w:rPr>
        <w:footnoteReference w:id="13"/>
      </w:r>
    </w:p>
    <w:p w:rsidR="006466B5" w:rsidRDefault="006466B5" w:rsidP="00931F05">
      <w:pPr>
        <w:spacing w:line="360" w:lineRule="auto"/>
        <w:jc w:val="both"/>
        <w:rPr>
          <w:rFonts w:ascii="Times New Roman" w:hAnsi="Times New Roman" w:cs="Times New Roman"/>
          <w:sz w:val="24"/>
          <w:szCs w:val="24"/>
        </w:rPr>
      </w:pPr>
    </w:p>
    <w:p w:rsidR="006466B5" w:rsidRDefault="006466B5" w:rsidP="00931F05">
      <w:pPr>
        <w:pStyle w:val="Prrafodelista"/>
        <w:numPr>
          <w:ilvl w:val="2"/>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VERBO UTILIZADO EN LA CONDUCTA TÍPICA.</w:t>
      </w:r>
    </w:p>
    <w:p w:rsidR="00DE4471" w:rsidRDefault="00DE4471" w:rsidP="00931F05">
      <w:pPr>
        <w:spacing w:line="360" w:lineRule="auto"/>
        <w:jc w:val="both"/>
        <w:rPr>
          <w:rFonts w:ascii="Times New Roman" w:hAnsi="Times New Roman" w:cs="Times New Roman"/>
          <w:sz w:val="24"/>
          <w:szCs w:val="24"/>
        </w:rPr>
      </w:pPr>
    </w:p>
    <w:p w:rsidR="006D4D12" w:rsidRDefault="006466B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Tanto el delito de robo con fuerza en las cosas como el delito de hurto son delitos de apoderamiento, por lo que si nos remitimos a la acción típica descrita por los artículos</w:t>
      </w:r>
      <w:r w:rsidR="000D355F">
        <w:rPr>
          <w:rFonts w:ascii="Times New Roman" w:hAnsi="Times New Roman" w:cs="Times New Roman"/>
          <w:sz w:val="24"/>
          <w:szCs w:val="24"/>
        </w:rPr>
        <w:t xml:space="preserve"> 234 y 237CP, respectivamente, el verbo utilizado en las diferentes conductas típicas no es en esencia diferente (tomar frente a apoderarse).</w:t>
      </w:r>
      <w:r w:rsidR="008729AA">
        <w:rPr>
          <w:rFonts w:ascii="Times New Roman" w:hAnsi="Times New Roman" w:cs="Times New Roman"/>
          <w:sz w:val="24"/>
          <w:szCs w:val="24"/>
        </w:rPr>
        <w:t xml:space="preserve"> A este respecto, destacar que la proximidad comisiva entre ambas figuras delictivas ha sido tradicionalmente manifestada por la doctrina, hasta el punto de llegar a calificar el robo con fuerza en las cosas como un hurto cualificado.</w:t>
      </w:r>
      <w:r w:rsidR="003A281D">
        <w:rPr>
          <w:rFonts w:ascii="Times New Roman" w:hAnsi="Times New Roman" w:cs="Times New Roman"/>
          <w:sz w:val="24"/>
          <w:szCs w:val="24"/>
        </w:rPr>
        <w:t xml:space="preserve"> Tras la entrada en vigor de la Ley Orgánica 1/2015, de 30 de Marzo y la correspondiente inclusión, como agravante específica del delito de hurto, de la eliminación o inutilización de los dispositivos de alarma o seguridad instalados en las propias cosas sustraídas</w:t>
      </w:r>
      <w:r w:rsidR="00883B38">
        <w:rPr>
          <w:rFonts w:ascii="Times New Roman" w:hAnsi="Times New Roman" w:cs="Times New Roman"/>
          <w:sz w:val="24"/>
          <w:szCs w:val="24"/>
        </w:rPr>
        <w:t xml:space="preserve"> del artículo 234.3CP</w:t>
      </w:r>
      <w:r w:rsidR="003A281D">
        <w:rPr>
          <w:rFonts w:ascii="Times New Roman" w:hAnsi="Times New Roman" w:cs="Times New Roman"/>
          <w:sz w:val="24"/>
          <w:szCs w:val="24"/>
        </w:rPr>
        <w:t>, la proximidad delictiva entre ambas figuras se ha intensificado.</w:t>
      </w:r>
      <w:r w:rsidR="00FD2293">
        <w:rPr>
          <w:rFonts w:ascii="Times New Roman" w:hAnsi="Times New Roman" w:cs="Times New Roman"/>
          <w:sz w:val="24"/>
          <w:szCs w:val="24"/>
        </w:rPr>
        <w:t xml:space="preserve"> En definitiva, la cuestión central descansa en la necesidad de un comportamiento físico activo, aspecto que, a su vez, marca la distinción con los delitos de naturaleza </w:t>
      </w:r>
      <w:r w:rsidR="00573A80">
        <w:rPr>
          <w:rFonts w:ascii="Times New Roman" w:hAnsi="Times New Roman" w:cs="Times New Roman"/>
          <w:sz w:val="24"/>
          <w:szCs w:val="24"/>
        </w:rPr>
        <w:t>defraudadora</w:t>
      </w:r>
      <w:r w:rsidR="00FD2293">
        <w:rPr>
          <w:rFonts w:ascii="Times New Roman" w:hAnsi="Times New Roman" w:cs="Times New Roman"/>
          <w:sz w:val="24"/>
          <w:szCs w:val="24"/>
        </w:rPr>
        <w:t>.</w:t>
      </w:r>
      <w:r w:rsidR="00FD2293">
        <w:rPr>
          <w:rStyle w:val="Refdenotaalpie"/>
          <w:rFonts w:ascii="Times New Roman" w:hAnsi="Times New Roman" w:cs="Times New Roman"/>
          <w:sz w:val="24"/>
          <w:szCs w:val="24"/>
        </w:rPr>
        <w:footnoteReference w:id="14"/>
      </w:r>
    </w:p>
    <w:p w:rsidR="006D4D12" w:rsidRDefault="006D4D12" w:rsidP="00931F05">
      <w:pPr>
        <w:spacing w:line="360" w:lineRule="auto"/>
        <w:jc w:val="both"/>
        <w:rPr>
          <w:rFonts w:ascii="Times New Roman" w:hAnsi="Times New Roman" w:cs="Times New Roman"/>
          <w:sz w:val="24"/>
          <w:szCs w:val="24"/>
        </w:rPr>
      </w:pPr>
    </w:p>
    <w:p w:rsidR="006D4D12" w:rsidRDefault="006D4D12" w:rsidP="00931F05">
      <w:pPr>
        <w:pStyle w:val="Prrafodelista"/>
        <w:numPr>
          <w:ilvl w:val="1"/>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DISTINCIÓN ENTRE AMBAS FIGURAS DELICTIVAS.</w:t>
      </w:r>
    </w:p>
    <w:p w:rsidR="00DE4471" w:rsidRDefault="00DE4471" w:rsidP="00931F05">
      <w:pPr>
        <w:spacing w:line="360" w:lineRule="auto"/>
        <w:jc w:val="both"/>
        <w:rPr>
          <w:rFonts w:ascii="Times New Roman" w:hAnsi="Times New Roman" w:cs="Times New Roman"/>
          <w:sz w:val="24"/>
          <w:szCs w:val="24"/>
        </w:rPr>
      </w:pPr>
    </w:p>
    <w:p w:rsidR="006D4D12" w:rsidRDefault="000C1CF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primer lugar, considerar que la dinámica comisiva propia del delito de robo con fuerza en las </w:t>
      </w:r>
      <w:r w:rsidR="00B04B00">
        <w:rPr>
          <w:rFonts w:ascii="Times New Roman" w:hAnsi="Times New Roman" w:cs="Times New Roman"/>
          <w:sz w:val="24"/>
          <w:szCs w:val="24"/>
        </w:rPr>
        <w:t xml:space="preserve">cosas </w:t>
      </w:r>
      <w:r>
        <w:rPr>
          <w:rFonts w:ascii="Times New Roman" w:hAnsi="Times New Roman" w:cs="Times New Roman"/>
          <w:sz w:val="24"/>
          <w:szCs w:val="24"/>
        </w:rPr>
        <w:t>fundamenta su ti</w:t>
      </w:r>
      <w:r w:rsidR="00B04B00">
        <w:rPr>
          <w:rFonts w:ascii="Times New Roman" w:hAnsi="Times New Roman" w:cs="Times New Roman"/>
          <w:sz w:val="24"/>
          <w:szCs w:val="24"/>
        </w:rPr>
        <w:t>pificación</w:t>
      </w:r>
      <w:r>
        <w:rPr>
          <w:rFonts w:ascii="Times New Roman" w:hAnsi="Times New Roman" w:cs="Times New Roman"/>
          <w:sz w:val="24"/>
          <w:szCs w:val="24"/>
        </w:rPr>
        <w:t xml:space="preserve"> en el Capítulo </w:t>
      </w:r>
      <w:r w:rsidR="00B04B00">
        <w:rPr>
          <w:rFonts w:ascii="Times New Roman" w:hAnsi="Times New Roman" w:cs="Times New Roman"/>
          <w:sz w:val="24"/>
          <w:szCs w:val="24"/>
        </w:rPr>
        <w:t>segundo del Título XIII del libro segundo del Código penal, de una manera separada al delito de hurto. En este sentido, la diferencia en la calificación del hecho</w:t>
      </w:r>
      <w:r w:rsidR="006C763F">
        <w:rPr>
          <w:rFonts w:ascii="Times New Roman" w:hAnsi="Times New Roman" w:cs="Times New Roman"/>
          <w:sz w:val="24"/>
          <w:szCs w:val="24"/>
        </w:rPr>
        <w:t xml:space="preserve"> vendrá determinada por la exigencia típica de concurrir fuerza en las cosas en el delito de robo, entendiéndose por la misma exclusivamente lo establecido en el artículo 238CP</w:t>
      </w:r>
      <w:r w:rsidR="00DE5A4B">
        <w:rPr>
          <w:rFonts w:ascii="Times New Roman" w:hAnsi="Times New Roman" w:cs="Times New Roman"/>
          <w:sz w:val="24"/>
          <w:szCs w:val="24"/>
        </w:rPr>
        <w:t>.</w:t>
      </w:r>
      <w:r w:rsidR="00664B8D">
        <w:rPr>
          <w:rStyle w:val="Refdenotaalpie"/>
          <w:rFonts w:ascii="Times New Roman" w:hAnsi="Times New Roman" w:cs="Times New Roman"/>
          <w:sz w:val="24"/>
          <w:szCs w:val="24"/>
        </w:rPr>
        <w:footnoteReference w:id="15"/>
      </w:r>
      <w:r w:rsidR="00DE5A4B">
        <w:rPr>
          <w:rFonts w:ascii="Times New Roman" w:hAnsi="Times New Roman" w:cs="Times New Roman"/>
          <w:sz w:val="24"/>
          <w:szCs w:val="24"/>
        </w:rPr>
        <w:t xml:space="preserve"> </w:t>
      </w:r>
      <w:r w:rsidR="006C763F">
        <w:rPr>
          <w:rFonts w:ascii="Times New Roman" w:hAnsi="Times New Roman" w:cs="Times New Roman"/>
          <w:sz w:val="24"/>
          <w:szCs w:val="24"/>
        </w:rPr>
        <w:t xml:space="preserve">De esta manera y teniendo en cuenta el carácter residual del delito de hurto, cualquier otro medio comisivo no permitirá calificar el hecho como robo, debiendo ser reconducido a la modalidad </w:t>
      </w:r>
      <w:r w:rsidR="006C763F">
        <w:rPr>
          <w:rFonts w:ascii="Times New Roman" w:hAnsi="Times New Roman" w:cs="Times New Roman"/>
          <w:sz w:val="24"/>
          <w:szCs w:val="24"/>
        </w:rPr>
        <w:lastRenderedPageBreak/>
        <w:t>delictiva de este primero</w:t>
      </w:r>
      <w:r w:rsidR="00761B8F">
        <w:rPr>
          <w:rFonts w:ascii="Times New Roman" w:hAnsi="Times New Roman" w:cs="Times New Roman"/>
          <w:sz w:val="24"/>
          <w:szCs w:val="24"/>
        </w:rPr>
        <w:t>.</w:t>
      </w:r>
      <w:r w:rsidR="00DE5A4B">
        <w:rPr>
          <w:rStyle w:val="Refdenotaalpie"/>
          <w:rFonts w:ascii="Times New Roman" w:hAnsi="Times New Roman" w:cs="Times New Roman"/>
          <w:sz w:val="24"/>
          <w:szCs w:val="24"/>
        </w:rPr>
        <w:footnoteReference w:id="16"/>
      </w:r>
      <w:r w:rsidR="00761B8F">
        <w:rPr>
          <w:rFonts w:ascii="Times New Roman" w:hAnsi="Times New Roman" w:cs="Times New Roman"/>
          <w:sz w:val="24"/>
          <w:szCs w:val="24"/>
        </w:rPr>
        <w:t xml:space="preserve"> A este respecto se menciona la STS de 29/05/2000, haciendo uso del concepto de fuerza típica, según el cual la fuerza ejercida debe comprender alguna de las modalidades descritas por el legislador (escalamiento, rompimiento de pared, uso de llaves falsas…).</w:t>
      </w:r>
      <w:r w:rsidR="00DE5A4B">
        <w:rPr>
          <w:rStyle w:val="Refdenotaalpie"/>
          <w:rFonts w:ascii="Times New Roman" w:hAnsi="Times New Roman" w:cs="Times New Roman"/>
          <w:sz w:val="24"/>
          <w:szCs w:val="24"/>
        </w:rPr>
        <w:footnoteReference w:id="17"/>
      </w:r>
      <w:r w:rsidR="003F0FAD">
        <w:rPr>
          <w:rFonts w:ascii="Times New Roman" w:hAnsi="Times New Roman" w:cs="Times New Roman"/>
          <w:sz w:val="24"/>
          <w:szCs w:val="24"/>
        </w:rPr>
        <w:t xml:space="preserve"> Por lo tanto, y a modo de resumen, aunque la dimensión finalista en ambos delitos es la misma, es decir, conseguir el apoderamiento de la cosa mueble, la figura del hurto se construye bajo la ausencia de fuerza en las cosas.</w:t>
      </w:r>
    </w:p>
    <w:p w:rsidR="003F0FAD" w:rsidRDefault="00945A0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otro lado, en la modalidad delictiva de robo con fuerza en las cosas, a diferencia que en el hurto, no se tipifica la figura del delito leve, por lo que, de cumplir las exigencias típicas, la conducta será constitutiva de robo, con independencia de si el valor de la cosa mueble ajena es inferior o superior a 400€, aunque la misma debe tener un determinado valor económico.</w:t>
      </w:r>
      <w:r w:rsidR="00C236CA">
        <w:rPr>
          <w:rFonts w:ascii="Times New Roman" w:hAnsi="Times New Roman" w:cs="Times New Roman"/>
          <w:sz w:val="24"/>
          <w:szCs w:val="24"/>
        </w:rPr>
        <w:t xml:space="preserve"> Así, produciéndose la dinámica comisiva, el hecho será castigado como delito por poco que sea el valor económico de lo sustraído.</w:t>
      </w:r>
      <w:r w:rsidR="00DE5A4B">
        <w:rPr>
          <w:rStyle w:val="Refdenotaalpie"/>
          <w:rFonts w:ascii="Times New Roman" w:hAnsi="Times New Roman" w:cs="Times New Roman"/>
          <w:sz w:val="24"/>
          <w:szCs w:val="24"/>
        </w:rPr>
        <w:footnoteReference w:id="18"/>
      </w:r>
    </w:p>
    <w:p w:rsidR="00573A80" w:rsidRDefault="00573A80"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A modo de resumen, el desvalor de la conducta sigue un camino, que empieza en el delito de robo con violencia e intimidación (modalidad no analizada en el presente trabajo), siguiendo con la modalidad de robo con fuerza en las cosas, para concluir en el hurto.</w:t>
      </w:r>
      <w:r w:rsidR="00CE17CB">
        <w:rPr>
          <w:rStyle w:val="Refdenotaalpie"/>
          <w:rFonts w:ascii="Times New Roman" w:hAnsi="Times New Roman" w:cs="Times New Roman"/>
          <w:sz w:val="24"/>
          <w:szCs w:val="24"/>
        </w:rPr>
        <w:footnoteReference w:id="19"/>
      </w:r>
    </w:p>
    <w:p w:rsidR="003F1ECA" w:rsidRDefault="003F1ECA" w:rsidP="00931F05">
      <w:pPr>
        <w:spacing w:line="360" w:lineRule="auto"/>
        <w:jc w:val="both"/>
        <w:rPr>
          <w:rFonts w:ascii="Times New Roman" w:hAnsi="Times New Roman" w:cs="Times New Roman"/>
          <w:sz w:val="24"/>
          <w:szCs w:val="24"/>
        </w:rPr>
      </w:pPr>
    </w:p>
    <w:p w:rsidR="00C236CA" w:rsidRDefault="00C236C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7194">
        <w:rPr>
          <w:rFonts w:ascii="Times New Roman" w:hAnsi="Times New Roman" w:cs="Times New Roman"/>
          <w:sz w:val="24"/>
          <w:szCs w:val="24"/>
        </w:rPr>
        <w:t>CAPÍTULO 2:</w:t>
      </w:r>
      <w:r>
        <w:rPr>
          <w:rFonts w:ascii="Times New Roman" w:hAnsi="Times New Roman" w:cs="Times New Roman"/>
          <w:sz w:val="24"/>
          <w:szCs w:val="24"/>
        </w:rPr>
        <w:t xml:space="preserve"> AFECTACIÓN AL DELITO DE HURTO POR LA REFORMA OPERADA POR LA LEY ORGÁNICA 1/2015.</w:t>
      </w:r>
    </w:p>
    <w:p w:rsidR="003F1ECA" w:rsidRDefault="003F1ECA" w:rsidP="00931F05">
      <w:pPr>
        <w:spacing w:line="360" w:lineRule="auto"/>
        <w:jc w:val="both"/>
        <w:rPr>
          <w:rFonts w:ascii="Times New Roman" w:hAnsi="Times New Roman" w:cs="Times New Roman"/>
          <w:sz w:val="24"/>
          <w:szCs w:val="24"/>
        </w:rPr>
      </w:pPr>
    </w:p>
    <w:p w:rsidR="003F1ECA" w:rsidRDefault="003F1EC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capítulo segundo, como bien se puede observar en su título, me centraré en los aspectos novedosos que, con la nueva regulación, han surgido en torno al delito de hurto. No siendo mi finalidad la de realizar un análisis pormenorizado del delito en </w:t>
      </w:r>
      <w:r>
        <w:rPr>
          <w:rFonts w:ascii="Times New Roman" w:hAnsi="Times New Roman" w:cs="Times New Roman"/>
          <w:sz w:val="24"/>
          <w:szCs w:val="24"/>
        </w:rPr>
        <w:lastRenderedPageBreak/>
        <w:t xml:space="preserve">cuestión, en el sentido de mi pretensión de </w:t>
      </w:r>
      <w:r w:rsidR="00764A4B">
        <w:rPr>
          <w:rFonts w:ascii="Times New Roman" w:hAnsi="Times New Roman" w:cs="Times New Roman"/>
          <w:sz w:val="24"/>
          <w:szCs w:val="24"/>
        </w:rPr>
        <w:t>centrarme en la afectación de la nueva regulación, en los siguientes párrafos dedicaré unas líneas a ello.</w:t>
      </w:r>
    </w:p>
    <w:p w:rsidR="00764A4B" w:rsidRDefault="00764A4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un lado, en relación a los sujetos del delito, se trata de un delito común, por lo que cualquiera puede ser el sujeto activo, con la excepción del propietario </w:t>
      </w:r>
      <w:r w:rsidR="007C00D2">
        <w:rPr>
          <w:rFonts w:ascii="Times New Roman" w:hAnsi="Times New Roman" w:cs="Times New Roman"/>
          <w:sz w:val="24"/>
          <w:szCs w:val="24"/>
        </w:rPr>
        <w:t>de la cosa mueble, debido a que no se cumpliría la exigencia típica de la `` ajenidad ´´. Desde el punto de vista contrario, el sujeto pasivo del delito será siempre el dueño de la cosa mueble, aunque puede haber una tercera persona, denominada sujeto pasivo de la acción, que dispone de la posesión del objeto material en el momento de realizarse la conducta típica.</w:t>
      </w:r>
      <w:r w:rsidR="00BB78EF">
        <w:rPr>
          <w:rStyle w:val="Refdenotaalpie"/>
          <w:rFonts w:ascii="Times New Roman" w:hAnsi="Times New Roman" w:cs="Times New Roman"/>
          <w:sz w:val="24"/>
          <w:szCs w:val="24"/>
        </w:rPr>
        <w:footnoteReference w:id="20"/>
      </w:r>
    </w:p>
    <w:p w:rsidR="007C00D2" w:rsidRDefault="00BE497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referente a la conducta típica, destacar que se trata de delito de resultado, siendo necesario para su consumación que el sujeto activo tenga la posesión y la disponibilidad del objeto material. De esta forma, se admiten las formas imperfectas de ejecución, en el caso de apoderarse de cierta cosa, sin llegar a tener su disponibilidad. </w:t>
      </w:r>
      <w:r w:rsidR="001C6C53">
        <w:rPr>
          <w:rFonts w:ascii="Times New Roman" w:hAnsi="Times New Roman" w:cs="Times New Roman"/>
          <w:sz w:val="24"/>
          <w:szCs w:val="24"/>
        </w:rPr>
        <w:t>Sin embargo, no intervienen en la consumación del delito ni las situaciones de enriquecimiento del autor, ni de empobrecimiento de la víctima, puesto que ambas no forman parte del resultado típico legalmente exigido</w:t>
      </w:r>
      <w:r w:rsidR="00381994">
        <w:rPr>
          <w:rFonts w:ascii="Times New Roman" w:hAnsi="Times New Roman" w:cs="Times New Roman"/>
          <w:sz w:val="24"/>
          <w:szCs w:val="24"/>
        </w:rPr>
        <w:t>.</w:t>
      </w:r>
      <w:r w:rsidR="00381994">
        <w:rPr>
          <w:rStyle w:val="Refdenotaalpie"/>
          <w:rFonts w:ascii="Times New Roman" w:hAnsi="Times New Roman" w:cs="Times New Roman"/>
          <w:sz w:val="24"/>
          <w:szCs w:val="24"/>
        </w:rPr>
        <w:footnoteReference w:id="21"/>
      </w:r>
      <w:r w:rsidR="00381994">
        <w:rPr>
          <w:rFonts w:ascii="Times New Roman" w:hAnsi="Times New Roman" w:cs="Times New Roman"/>
          <w:sz w:val="24"/>
          <w:szCs w:val="24"/>
        </w:rPr>
        <w:t xml:space="preserve"> </w:t>
      </w:r>
      <w:r w:rsidR="00092F66">
        <w:rPr>
          <w:rFonts w:ascii="Times New Roman" w:hAnsi="Times New Roman" w:cs="Times New Roman"/>
          <w:sz w:val="24"/>
          <w:szCs w:val="24"/>
        </w:rPr>
        <w:t>Destacar, por considerarlo relevante, que la definición del delito de hurto contemplada en el artículo 234 CP, no incorpora la nece</w:t>
      </w:r>
      <w:r w:rsidR="00525C22">
        <w:rPr>
          <w:rFonts w:ascii="Times New Roman" w:hAnsi="Times New Roman" w:cs="Times New Roman"/>
          <w:sz w:val="24"/>
          <w:szCs w:val="24"/>
        </w:rPr>
        <w:t>sidad de una ausencia de fuerza, por lo que, si en los hechos se ejerce la misma, pero no es típica a los efectos del delito de robo, la conducta será reconducida al delito de hurto.</w:t>
      </w:r>
      <w:r w:rsidR="00BB78EF">
        <w:rPr>
          <w:rStyle w:val="Refdenotaalpie"/>
          <w:rFonts w:ascii="Times New Roman" w:hAnsi="Times New Roman" w:cs="Times New Roman"/>
          <w:sz w:val="24"/>
          <w:szCs w:val="24"/>
        </w:rPr>
        <w:footnoteReference w:id="22"/>
      </w:r>
    </w:p>
    <w:p w:rsidR="000D230D" w:rsidRDefault="000D230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Otro requisito y elemento indispensable del delito </w:t>
      </w:r>
      <w:r w:rsidR="006E15DD">
        <w:rPr>
          <w:rFonts w:ascii="Times New Roman" w:hAnsi="Times New Roman" w:cs="Times New Roman"/>
          <w:sz w:val="24"/>
          <w:szCs w:val="24"/>
        </w:rPr>
        <w:t>se basa en la falta de consentimiento del dueño de la cosa, puesto que de dar su consenti</w:t>
      </w:r>
      <w:r w:rsidR="00F06725">
        <w:rPr>
          <w:rFonts w:ascii="Times New Roman" w:hAnsi="Times New Roman" w:cs="Times New Roman"/>
          <w:sz w:val="24"/>
          <w:szCs w:val="24"/>
        </w:rPr>
        <w:t>miento el propietario</w:t>
      </w:r>
      <w:r w:rsidR="006E15DD">
        <w:rPr>
          <w:rFonts w:ascii="Times New Roman" w:hAnsi="Times New Roman" w:cs="Times New Roman"/>
          <w:sz w:val="24"/>
          <w:szCs w:val="24"/>
        </w:rPr>
        <w:t>, la conducta sería irrelevante desde el punto de vista penal. En el caso de producirse el consentimiento una vez consumado el delito, el mismo no tendrá efecto en la punición del hurto, puesto que se trata de</w:t>
      </w:r>
      <w:r w:rsidR="00F06725">
        <w:rPr>
          <w:rFonts w:ascii="Times New Roman" w:hAnsi="Times New Roman" w:cs="Times New Roman"/>
          <w:sz w:val="24"/>
          <w:szCs w:val="24"/>
        </w:rPr>
        <w:t xml:space="preserve"> un</w:t>
      </w:r>
      <w:r w:rsidR="006E15DD">
        <w:rPr>
          <w:rFonts w:ascii="Times New Roman" w:hAnsi="Times New Roman" w:cs="Times New Roman"/>
          <w:sz w:val="24"/>
          <w:szCs w:val="24"/>
        </w:rPr>
        <w:t xml:space="preserve"> </w:t>
      </w:r>
      <w:r w:rsidR="00F06725">
        <w:rPr>
          <w:rFonts w:ascii="Times New Roman" w:hAnsi="Times New Roman" w:cs="Times New Roman"/>
          <w:sz w:val="24"/>
          <w:szCs w:val="24"/>
        </w:rPr>
        <w:t>delito público en el que no tiene relevancia el perdón del ofendido.</w:t>
      </w:r>
      <w:r w:rsidR="00BB78EF">
        <w:rPr>
          <w:rStyle w:val="Refdenotaalpie"/>
          <w:rFonts w:ascii="Times New Roman" w:hAnsi="Times New Roman" w:cs="Times New Roman"/>
          <w:sz w:val="24"/>
          <w:szCs w:val="24"/>
        </w:rPr>
        <w:footnoteReference w:id="23"/>
      </w:r>
    </w:p>
    <w:p w:rsidR="00617E16" w:rsidRDefault="00F0672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Sin extenderme más en el desarrollo de la configuración del delito en cuestión, puesto que el mismo está ampliamente especificado tanto en la doctrina como en la jurisprudencia,</w:t>
      </w:r>
      <w:r w:rsidR="008C2753">
        <w:rPr>
          <w:rFonts w:ascii="Times New Roman" w:hAnsi="Times New Roman" w:cs="Times New Roman"/>
          <w:sz w:val="24"/>
          <w:szCs w:val="24"/>
        </w:rPr>
        <w:t xml:space="preserve"> procedo a desarrollar con todo lujo de detalles, en los siguientes apartados,  los aspectos que resultan novedosos con la nueva regulación.</w:t>
      </w:r>
      <w:r w:rsidR="000E3C36">
        <w:rPr>
          <w:rFonts w:ascii="Times New Roman" w:hAnsi="Times New Roman" w:cs="Times New Roman"/>
          <w:sz w:val="24"/>
          <w:szCs w:val="24"/>
        </w:rPr>
        <w:t xml:space="preserve"> Teniendo en cuenta la Exposición de Motivos XIV de la Ley Orgánica 1/2015, por la que se modifica la Ley Orgánic</w:t>
      </w:r>
      <w:r w:rsidR="00270001">
        <w:rPr>
          <w:rFonts w:ascii="Times New Roman" w:hAnsi="Times New Roman" w:cs="Times New Roman"/>
          <w:sz w:val="24"/>
          <w:szCs w:val="24"/>
        </w:rPr>
        <w:t>a 10/1995, la nueva</w:t>
      </w:r>
      <w:r w:rsidR="000E3C36">
        <w:rPr>
          <w:rFonts w:ascii="Times New Roman" w:hAnsi="Times New Roman" w:cs="Times New Roman"/>
          <w:sz w:val="24"/>
          <w:szCs w:val="24"/>
        </w:rPr>
        <w:t xml:space="preserve"> regulación de los delitos contra el patrimonio tiene como finalidad esencial dar una respuesta óptima a los problemas que plantea la </w:t>
      </w:r>
      <w:proofErr w:type="spellStart"/>
      <w:r w:rsidR="000E3C36">
        <w:rPr>
          <w:rFonts w:ascii="Times New Roman" w:hAnsi="Times New Roman" w:cs="Times New Roman"/>
          <w:sz w:val="24"/>
          <w:szCs w:val="24"/>
        </w:rPr>
        <w:t>multirreincidencia</w:t>
      </w:r>
      <w:proofErr w:type="spellEnd"/>
      <w:r w:rsidR="000E3C36">
        <w:rPr>
          <w:rFonts w:ascii="Times New Roman" w:hAnsi="Times New Roman" w:cs="Times New Roman"/>
          <w:sz w:val="24"/>
          <w:szCs w:val="24"/>
        </w:rPr>
        <w:t xml:space="preserve"> y la criminalidad grave. Así, con base en este objetivo, y como comprobaremos a lo largo de los siguientes apartados,</w:t>
      </w:r>
      <w:r w:rsidR="000B2EDF">
        <w:rPr>
          <w:rFonts w:ascii="Times New Roman" w:hAnsi="Times New Roman" w:cs="Times New Roman"/>
          <w:sz w:val="24"/>
          <w:szCs w:val="24"/>
        </w:rPr>
        <w:t xml:space="preserve"> se suprime la falta de hurto, por lo que con la nueva redacción los supuestos de menor gravedad serán calificados como delitos leves, aunque la concurrencia de alguna de las circunstancias de agravación, impide tal calificación. De igual forma, con la nueva tipificación se modifica, en términos de ampliación, el catálogo de agravantes específicas del delito de hurto. En este sentido, con una visión de conjunto de la nueva redacción, se  puede </w:t>
      </w:r>
      <w:r w:rsidR="007725B6">
        <w:rPr>
          <w:rFonts w:ascii="Times New Roman" w:hAnsi="Times New Roman" w:cs="Times New Roman"/>
          <w:sz w:val="24"/>
          <w:szCs w:val="24"/>
        </w:rPr>
        <w:t>determinar que se hace frente a la delincuencia profesional y organizada, debido a que se ha pasado de condenar a estos delincuentes como autores de meras faltas, a imponerle</w:t>
      </w:r>
      <w:r w:rsidR="00696A79">
        <w:rPr>
          <w:rFonts w:ascii="Times New Roman" w:hAnsi="Times New Roman" w:cs="Times New Roman"/>
          <w:sz w:val="24"/>
          <w:szCs w:val="24"/>
        </w:rPr>
        <w:t>s</w:t>
      </w:r>
      <w:r w:rsidR="007725B6">
        <w:rPr>
          <w:rFonts w:ascii="Times New Roman" w:hAnsi="Times New Roman" w:cs="Times New Roman"/>
          <w:sz w:val="24"/>
          <w:szCs w:val="24"/>
        </w:rPr>
        <w:t xml:space="preserve"> la realización de un tipo cualificado condenado con la pena de prisión de uno a tres años de prisión.</w:t>
      </w:r>
      <w:r w:rsidR="00270001">
        <w:rPr>
          <w:rFonts w:ascii="Times New Roman" w:hAnsi="Times New Roman" w:cs="Times New Roman"/>
          <w:sz w:val="24"/>
          <w:szCs w:val="24"/>
        </w:rPr>
        <w:t xml:space="preserve"> </w:t>
      </w:r>
      <w:r w:rsidR="00037950">
        <w:rPr>
          <w:rStyle w:val="Refdenotaalpie"/>
          <w:rFonts w:ascii="Times New Roman" w:hAnsi="Times New Roman" w:cs="Times New Roman"/>
          <w:sz w:val="24"/>
          <w:szCs w:val="24"/>
        </w:rPr>
        <w:footnoteReference w:id="24"/>
      </w:r>
      <w:r w:rsidR="00270001">
        <w:rPr>
          <w:rFonts w:ascii="Times New Roman" w:hAnsi="Times New Roman" w:cs="Times New Roman"/>
          <w:sz w:val="24"/>
          <w:szCs w:val="24"/>
        </w:rPr>
        <w:t>Por último, analizaré</w:t>
      </w:r>
      <w:r w:rsidR="00696A79">
        <w:rPr>
          <w:rFonts w:ascii="Times New Roman" w:hAnsi="Times New Roman" w:cs="Times New Roman"/>
          <w:sz w:val="24"/>
          <w:szCs w:val="24"/>
        </w:rPr>
        <w:t>,</w:t>
      </w:r>
      <w:r w:rsidR="00270001">
        <w:rPr>
          <w:rFonts w:ascii="Times New Roman" w:hAnsi="Times New Roman" w:cs="Times New Roman"/>
          <w:sz w:val="24"/>
          <w:szCs w:val="24"/>
        </w:rPr>
        <w:t xml:space="preserve"> de una manera amplia</w:t>
      </w:r>
      <w:r w:rsidR="00696A79">
        <w:rPr>
          <w:rFonts w:ascii="Times New Roman" w:hAnsi="Times New Roman" w:cs="Times New Roman"/>
          <w:sz w:val="24"/>
          <w:szCs w:val="24"/>
        </w:rPr>
        <w:t>,</w:t>
      </w:r>
      <w:r w:rsidR="00270001">
        <w:rPr>
          <w:rFonts w:ascii="Times New Roman" w:hAnsi="Times New Roman" w:cs="Times New Roman"/>
          <w:sz w:val="24"/>
          <w:szCs w:val="24"/>
        </w:rPr>
        <w:t xml:space="preserve"> el nuevo tipo penal introducido en el artículo 234.3 CP, relativo a la neutralización de los dispositivos de alarma instalados en las propias cosas sustraídas.</w:t>
      </w:r>
      <w:r w:rsidR="00C236CA">
        <w:rPr>
          <w:rFonts w:ascii="Times New Roman" w:hAnsi="Times New Roman" w:cs="Times New Roman"/>
          <w:sz w:val="24"/>
          <w:szCs w:val="24"/>
        </w:rPr>
        <w:t xml:space="preserve">  </w:t>
      </w:r>
    </w:p>
    <w:p w:rsidR="00696A79" w:rsidRDefault="00617E16"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Concluir, a este respecto, que el delito de hurto se estructura en una modalidad básica, una leve y una serie de subtipos agravados, en orden a las condiciones del autor, de la acción realizada, o de las consecuencias de la misma.</w:t>
      </w:r>
      <w:r>
        <w:rPr>
          <w:rStyle w:val="Refdenotaalpie"/>
          <w:rFonts w:ascii="Times New Roman" w:hAnsi="Times New Roman" w:cs="Times New Roman"/>
          <w:sz w:val="24"/>
          <w:szCs w:val="24"/>
        </w:rPr>
        <w:footnoteReference w:id="25"/>
      </w:r>
      <w:r w:rsidR="00C236CA">
        <w:rPr>
          <w:rFonts w:ascii="Times New Roman" w:hAnsi="Times New Roman" w:cs="Times New Roman"/>
          <w:sz w:val="24"/>
          <w:szCs w:val="24"/>
        </w:rPr>
        <w:t xml:space="preserve">                  </w:t>
      </w:r>
    </w:p>
    <w:p w:rsidR="00696A79" w:rsidRDefault="00696A79" w:rsidP="00931F05">
      <w:pPr>
        <w:spacing w:line="360" w:lineRule="auto"/>
        <w:jc w:val="both"/>
        <w:rPr>
          <w:rFonts w:ascii="Times New Roman" w:hAnsi="Times New Roman" w:cs="Times New Roman"/>
          <w:sz w:val="24"/>
          <w:szCs w:val="24"/>
        </w:rPr>
      </w:pPr>
    </w:p>
    <w:p w:rsidR="00904F02" w:rsidRDefault="00696A7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04F02" w:rsidRDefault="00904F02" w:rsidP="00931F05">
      <w:pPr>
        <w:spacing w:line="360" w:lineRule="auto"/>
        <w:jc w:val="both"/>
        <w:rPr>
          <w:rFonts w:ascii="Times New Roman" w:hAnsi="Times New Roman" w:cs="Times New Roman"/>
          <w:sz w:val="24"/>
          <w:szCs w:val="24"/>
        </w:rPr>
      </w:pPr>
    </w:p>
    <w:p w:rsidR="00904F02" w:rsidRDefault="00904F02" w:rsidP="00931F05">
      <w:pPr>
        <w:spacing w:line="360" w:lineRule="auto"/>
        <w:jc w:val="both"/>
        <w:rPr>
          <w:rFonts w:ascii="Times New Roman" w:hAnsi="Times New Roman" w:cs="Times New Roman"/>
          <w:sz w:val="24"/>
          <w:szCs w:val="24"/>
        </w:rPr>
      </w:pPr>
    </w:p>
    <w:p w:rsidR="00C236CA" w:rsidRDefault="00696A7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C236CA">
        <w:rPr>
          <w:rFonts w:ascii="Times New Roman" w:hAnsi="Times New Roman" w:cs="Times New Roman"/>
          <w:sz w:val="24"/>
          <w:szCs w:val="24"/>
        </w:rPr>
        <w:t xml:space="preserve">    2.1) DISTINCIÓN ENTRE EL TIPO BÁSICO DEL DELITO DE HURTO Y EL DELITO LEVE DE HURTO.</w:t>
      </w:r>
    </w:p>
    <w:p w:rsidR="00DE4471" w:rsidRDefault="00DE4471" w:rsidP="00931F05">
      <w:pPr>
        <w:spacing w:line="360" w:lineRule="auto"/>
        <w:jc w:val="both"/>
        <w:rPr>
          <w:rFonts w:ascii="Times New Roman" w:hAnsi="Times New Roman" w:cs="Times New Roman"/>
          <w:sz w:val="24"/>
          <w:szCs w:val="24"/>
        </w:rPr>
      </w:pPr>
    </w:p>
    <w:p w:rsidR="00C236CA" w:rsidRDefault="002F1540"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Ley orgánica 1/2015 ha modificado en gran medida el artículo 234CP, con la finalidad de distinguir entre el delito leve de hurto y el tipo básico, ante la correspondiente supresión de la falta de hurto. Destacar, en primer lugar, el hecho de que la redacción vigente de dicho artículo tras la reforma operada por dicha Ley, no ha sido ni mucho menos sencilla, </w:t>
      </w:r>
      <w:r w:rsidR="00726E7F">
        <w:rPr>
          <w:rFonts w:ascii="Times New Roman" w:hAnsi="Times New Roman" w:cs="Times New Roman"/>
          <w:sz w:val="24"/>
          <w:szCs w:val="24"/>
        </w:rPr>
        <w:t>sino que ha habido varias modificaciones en la tramitación parlamentaria, afectando al Proyecto del Código Penal presentado al Congreso en el año 2013.</w:t>
      </w:r>
      <w:r w:rsidR="00037950">
        <w:rPr>
          <w:rStyle w:val="Refdenotaalpie"/>
          <w:rFonts w:ascii="Times New Roman" w:hAnsi="Times New Roman" w:cs="Times New Roman"/>
          <w:sz w:val="24"/>
          <w:szCs w:val="24"/>
        </w:rPr>
        <w:footnoteReference w:id="26"/>
      </w:r>
    </w:p>
    <w:p w:rsidR="00726E7F" w:rsidRDefault="00EB558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Antes de centrarnos en la nueva configuración de este artículo, considero relevante realizar una comparación típica del artículo 234CP, en un momento anterior y posterior a la entrada en vigor de la Ley en cuestión. Por lo referente al apartado primero,</w:t>
      </w:r>
      <w:r w:rsidR="00986DCA">
        <w:rPr>
          <w:rFonts w:ascii="Times New Roman" w:hAnsi="Times New Roman" w:cs="Times New Roman"/>
          <w:sz w:val="24"/>
          <w:szCs w:val="24"/>
        </w:rPr>
        <w:t xml:space="preserve"> no existe diferencia alguna en su configuración típica, manteniéndose, por razones de seguridad jurídica, el límite de la cuantía en 400€</w:t>
      </w:r>
      <w:r w:rsidR="00AF12DD">
        <w:rPr>
          <w:rFonts w:ascii="Times New Roman" w:hAnsi="Times New Roman" w:cs="Times New Roman"/>
          <w:sz w:val="24"/>
          <w:szCs w:val="24"/>
        </w:rPr>
        <w:t>. Lo relevante de este análisis se deriva del apartado segundo, el cual va a tipificar el delito leve de hurto que, tras la supresión de la correspondiente falta, fija una pena de multa de 1 a 3 meses</w:t>
      </w:r>
      <w:r w:rsidR="00D207ED">
        <w:rPr>
          <w:rFonts w:ascii="Times New Roman" w:hAnsi="Times New Roman" w:cs="Times New Roman"/>
          <w:sz w:val="24"/>
          <w:szCs w:val="24"/>
        </w:rPr>
        <w:t>, en el caso de que la cuantía de lo sustraído no excediese de 400€, salvo si concurriese alguna de las circunstancias del artículo 235CP.</w:t>
      </w:r>
    </w:p>
    <w:p w:rsidR="00143EC1" w:rsidRDefault="00D207E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Destacar, a su vez, </w:t>
      </w:r>
      <w:r w:rsidR="00823950">
        <w:rPr>
          <w:rFonts w:ascii="Times New Roman" w:hAnsi="Times New Roman" w:cs="Times New Roman"/>
          <w:sz w:val="24"/>
          <w:szCs w:val="24"/>
        </w:rPr>
        <w:t>que el desarrollo de este articulado no ha sido sencillo, sino que ha sufrido importantes modificaciones en la tramitación parlamentaria.</w:t>
      </w:r>
      <w:r w:rsidR="00204A85">
        <w:rPr>
          <w:rFonts w:ascii="Times New Roman" w:hAnsi="Times New Roman" w:cs="Times New Roman"/>
          <w:sz w:val="24"/>
          <w:szCs w:val="24"/>
        </w:rPr>
        <w:t xml:space="preserve"> En este sentido, el texto del Proyecto presentado en 2013, ante la necesidad de crear el delito leve de hurto, fijaba un límite de 1000€ para la distinción entre este último y el tipo básico. Además, para la tipificación de este nuevo delito leve se añadió una nueva descripción</w:t>
      </w:r>
      <w:r w:rsidR="00576127">
        <w:rPr>
          <w:rFonts w:ascii="Times New Roman" w:hAnsi="Times New Roman" w:cs="Times New Roman"/>
          <w:sz w:val="24"/>
          <w:szCs w:val="24"/>
        </w:rPr>
        <w:t>, refiriéndose a hechos que resultaran de escasa gravedad, lo cual se manifestaba por el escaso valor de los bienes sustraídos y la situación económica de la víctima.</w:t>
      </w:r>
      <w:r w:rsidR="00CB5D7B">
        <w:rPr>
          <w:rStyle w:val="Refdenotaalpie"/>
          <w:rFonts w:ascii="Times New Roman" w:hAnsi="Times New Roman" w:cs="Times New Roman"/>
          <w:sz w:val="24"/>
          <w:szCs w:val="24"/>
        </w:rPr>
        <w:footnoteReference w:id="27"/>
      </w:r>
      <w:r w:rsidR="00576127">
        <w:rPr>
          <w:rFonts w:ascii="Times New Roman" w:hAnsi="Times New Roman" w:cs="Times New Roman"/>
          <w:sz w:val="24"/>
          <w:szCs w:val="24"/>
        </w:rPr>
        <w:t xml:space="preserve"> Dicho texto fue objeto de numerosas críticas justificadas en la reiteración de criterios, en el sentido de que la alusión al </w:t>
      </w:r>
      <w:r w:rsidR="00C67D1C">
        <w:rPr>
          <w:rFonts w:ascii="Times New Roman" w:hAnsi="Times New Roman" w:cs="Times New Roman"/>
          <w:sz w:val="24"/>
          <w:szCs w:val="24"/>
        </w:rPr>
        <w:t>``</w:t>
      </w:r>
      <w:r w:rsidR="00576127">
        <w:rPr>
          <w:rFonts w:ascii="Times New Roman" w:hAnsi="Times New Roman" w:cs="Times New Roman"/>
          <w:sz w:val="24"/>
          <w:szCs w:val="24"/>
        </w:rPr>
        <w:t>escaso valor de los bienes sustraídos</w:t>
      </w:r>
      <w:r w:rsidR="00C67D1C">
        <w:rPr>
          <w:rFonts w:ascii="Times New Roman" w:hAnsi="Times New Roman" w:cs="Times New Roman"/>
          <w:sz w:val="24"/>
          <w:szCs w:val="24"/>
        </w:rPr>
        <w:t>´´</w:t>
      </w:r>
      <w:r w:rsidR="00576127">
        <w:rPr>
          <w:rFonts w:ascii="Times New Roman" w:hAnsi="Times New Roman" w:cs="Times New Roman"/>
          <w:sz w:val="24"/>
          <w:szCs w:val="24"/>
        </w:rPr>
        <w:t xml:space="preserve"> ya se había tenido en cuenta para la delimitación del delito grave </w:t>
      </w:r>
      <w:r w:rsidR="00C67D1C">
        <w:rPr>
          <w:rFonts w:ascii="Times New Roman" w:hAnsi="Times New Roman" w:cs="Times New Roman"/>
          <w:sz w:val="24"/>
          <w:szCs w:val="24"/>
        </w:rPr>
        <w:t xml:space="preserve">del leve, a su vez que la ``situación </w:t>
      </w:r>
      <w:r w:rsidR="00C67D1C">
        <w:rPr>
          <w:rFonts w:ascii="Times New Roman" w:hAnsi="Times New Roman" w:cs="Times New Roman"/>
          <w:sz w:val="24"/>
          <w:szCs w:val="24"/>
        </w:rPr>
        <w:lastRenderedPageBreak/>
        <w:t>económica de la víctima´´ ya se encontraba entre las circunstancias recogidas en el artículo 235CP</w:t>
      </w:r>
      <w:r w:rsidR="00CB5D7B">
        <w:rPr>
          <w:rStyle w:val="Refdenotaalpie"/>
          <w:rFonts w:ascii="Times New Roman" w:hAnsi="Times New Roman" w:cs="Times New Roman"/>
          <w:sz w:val="24"/>
          <w:szCs w:val="24"/>
        </w:rPr>
        <w:footnoteReference w:id="28"/>
      </w:r>
      <w:r w:rsidR="00C67D1C">
        <w:rPr>
          <w:rFonts w:ascii="Times New Roman" w:hAnsi="Times New Roman" w:cs="Times New Roman"/>
          <w:sz w:val="24"/>
          <w:szCs w:val="24"/>
        </w:rPr>
        <w:t>. Con base en esto, tras una enmienda introducida en el Congreso, se situó la cuantía delimitadora en 500€, aunque a través de otra enmienda desarrollada en el Senado, se vuelve al límite de 400€</w:t>
      </w:r>
      <w:r w:rsidR="00143EC1">
        <w:rPr>
          <w:rFonts w:ascii="Times New Roman" w:hAnsi="Times New Roman" w:cs="Times New Roman"/>
          <w:sz w:val="24"/>
          <w:szCs w:val="24"/>
        </w:rPr>
        <w:t>.</w:t>
      </w:r>
      <w:r w:rsidR="00CB5D7B">
        <w:rPr>
          <w:rStyle w:val="Refdenotaalpie"/>
          <w:rFonts w:ascii="Times New Roman" w:hAnsi="Times New Roman" w:cs="Times New Roman"/>
          <w:sz w:val="24"/>
          <w:szCs w:val="24"/>
        </w:rPr>
        <w:footnoteReference w:id="29"/>
      </w:r>
    </w:p>
    <w:p w:rsidR="00C236CA" w:rsidRDefault="008441B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al sentido de la modificación de la regulación aquí señalada, y teniendo en cuenta la exposición de motivos, se puede determinar como argumento el principio de intervención mínima, en busca de una mayor agilización de la justicia, derivando los asuntos menores a respuestas civiles y administrativas.</w:t>
      </w:r>
      <w:r w:rsidR="00B213C2">
        <w:rPr>
          <w:rFonts w:ascii="Times New Roman" w:hAnsi="Times New Roman" w:cs="Times New Roman"/>
          <w:sz w:val="24"/>
          <w:szCs w:val="24"/>
        </w:rPr>
        <w:t xml:space="preserve"> De esta manera, se pretende descargar de trabajo a los Juzgados de Instrucción, los cuales debían dedicar mucho tiempo a resolver los juicios de falta. Esto no significa que el legislador haya cambiado de parecer acerca de la penalidad de determinadas conductas, sino que ha aprovechado para depurar el ordenamiento jurídico. Así, en el momento actual</w:t>
      </w:r>
      <w:r w:rsidR="0034413E">
        <w:rPr>
          <w:rFonts w:ascii="Times New Roman" w:hAnsi="Times New Roman" w:cs="Times New Roman"/>
          <w:sz w:val="24"/>
          <w:szCs w:val="24"/>
        </w:rPr>
        <w:t>, carece de justificación la tipificación de determinadas conductas como falta por razones de política criminal, apreciándose, así mismo, una distorsión en comparación con el Derecho administrativo sancionador, el cual ofrece en muchos casos una respuesta sancionadora más potente.</w:t>
      </w:r>
      <w:r w:rsidR="00316C77">
        <w:rPr>
          <w:rStyle w:val="Refdenotaalpie"/>
          <w:rFonts w:ascii="Times New Roman" w:hAnsi="Times New Roman" w:cs="Times New Roman"/>
          <w:sz w:val="24"/>
          <w:szCs w:val="24"/>
        </w:rPr>
        <w:footnoteReference w:id="30"/>
      </w:r>
    </w:p>
    <w:p w:rsidR="0034413E" w:rsidRDefault="0034413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cómputo, </w:t>
      </w:r>
      <w:r w:rsidR="005E0596">
        <w:rPr>
          <w:rFonts w:ascii="Times New Roman" w:hAnsi="Times New Roman" w:cs="Times New Roman"/>
          <w:sz w:val="24"/>
          <w:szCs w:val="24"/>
        </w:rPr>
        <w:t xml:space="preserve">con la supresión de las infracciones constitutivas de falta, se introduce una mayor coherencia en el conjunto del sistema sancionador, manteniéndose solamente aquellas infracciones que requieran de un cierto reproche punitivo, como para poder insertarlas en el catálogo de delitos. El objetivo de esta nueva regulación </w:t>
      </w:r>
      <w:r w:rsidR="004E1406">
        <w:rPr>
          <w:rFonts w:ascii="Times New Roman" w:hAnsi="Times New Roman" w:cs="Times New Roman"/>
          <w:sz w:val="24"/>
          <w:szCs w:val="24"/>
        </w:rPr>
        <w:t>se deriva del hecho de reconducir al ámbito penal las conductas más graves de la sociedad.</w:t>
      </w:r>
      <w:r w:rsidR="008B31F6">
        <w:rPr>
          <w:rFonts w:ascii="Times New Roman" w:hAnsi="Times New Roman" w:cs="Times New Roman"/>
          <w:sz w:val="24"/>
          <w:szCs w:val="24"/>
        </w:rPr>
        <w:t xml:space="preserve"> Destacar, en este sentido, el hecho de que la atribución de la condición de delito leve se realiza </w:t>
      </w:r>
      <w:r w:rsidR="009C631D">
        <w:rPr>
          <w:rFonts w:ascii="Times New Roman" w:hAnsi="Times New Roman" w:cs="Times New Roman"/>
          <w:sz w:val="24"/>
          <w:szCs w:val="24"/>
        </w:rPr>
        <w:t>cuando la pena prevista, debido a su extensión, pueda considerarse como leve y menos grave, evitando la posibilidad de la consideración de delito grave por el amplio margen establecido para la pena. De manera general, el régimen sancionador de los delitos leves se manifiesta en penas de multa</w:t>
      </w:r>
      <w:r w:rsidR="00E9796E">
        <w:rPr>
          <w:rFonts w:ascii="Times New Roman" w:hAnsi="Times New Roman" w:cs="Times New Roman"/>
          <w:sz w:val="24"/>
          <w:szCs w:val="24"/>
        </w:rPr>
        <w:t xml:space="preserve">, por su adecuación para castigar infracciones de menor </w:t>
      </w:r>
      <w:r w:rsidR="00E9796E">
        <w:rPr>
          <w:rFonts w:ascii="Times New Roman" w:hAnsi="Times New Roman" w:cs="Times New Roman"/>
          <w:sz w:val="24"/>
          <w:szCs w:val="24"/>
        </w:rPr>
        <w:lastRenderedPageBreak/>
        <w:t>entidad, disponiendo el Juez o Tribunal de un amplio margen de apreciación que le permita valorar la gravedad de la conducta.</w:t>
      </w:r>
      <w:r w:rsidR="00BC42A8">
        <w:rPr>
          <w:rStyle w:val="Refdenotaalpie"/>
          <w:rFonts w:ascii="Times New Roman" w:hAnsi="Times New Roman" w:cs="Times New Roman"/>
          <w:sz w:val="24"/>
          <w:szCs w:val="24"/>
        </w:rPr>
        <w:footnoteReference w:id="31"/>
      </w:r>
    </w:p>
    <w:p w:rsidR="002334B9" w:rsidRDefault="00C6519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Otra cuestión a tener en cuenta en este apartado se basa en la no consideración de la existencia de conductas que pudieran ser excluidas de la calificación como delito, debido a su menos que escasa gravedad. Este aspecto será solucionado, en la medida de lo posible</w:t>
      </w:r>
      <w:r w:rsidR="00166BB9">
        <w:rPr>
          <w:rFonts w:ascii="Times New Roman" w:hAnsi="Times New Roman" w:cs="Times New Roman"/>
          <w:sz w:val="24"/>
          <w:szCs w:val="24"/>
        </w:rPr>
        <w:t>, a través de una modificación de la Ley de Enjuiciamiento Criminal, realizada en virtud de la propia Ley Orgánica 1/2015.</w:t>
      </w:r>
      <w:r w:rsidR="002334B9">
        <w:rPr>
          <w:rFonts w:ascii="Times New Roman" w:hAnsi="Times New Roman" w:cs="Times New Roman"/>
          <w:sz w:val="24"/>
          <w:szCs w:val="24"/>
        </w:rPr>
        <w:t xml:space="preserve"> Concretamente, me refiero al artículo 963LEcr, delimitando que, en el caso de la regulación del procedimiento a seguir en los delitos leves, cuyo enjuiciamiento le corresponde al Juez de Instrucción, el Ministerio Fiscal tendrá facultad para solicitar el archivo del procedimiento, en el caso de que el delito </w:t>
      </w:r>
      <w:r w:rsidR="00832776">
        <w:rPr>
          <w:rFonts w:ascii="Times New Roman" w:hAnsi="Times New Roman" w:cs="Times New Roman"/>
          <w:sz w:val="24"/>
          <w:szCs w:val="24"/>
        </w:rPr>
        <w:t xml:space="preserve">leve sea de muy escasa gravedad, teniendo en cuenta la naturaleza del hecho, sus circunstancias, y las personales del autor. A esto se añade  la necesidad de la ausencia de un interés público relevante en la persecución del hecho, </w:t>
      </w:r>
      <w:r w:rsidR="007C7225">
        <w:rPr>
          <w:rFonts w:ascii="Times New Roman" w:hAnsi="Times New Roman" w:cs="Times New Roman"/>
          <w:sz w:val="24"/>
          <w:szCs w:val="24"/>
        </w:rPr>
        <w:t>que, en los delitos leves patrimoniales, se entenderá cuando se hubiera procedido a la reparación del daño y, a su vez, no exista denuncia del perjudicado. Así, en el delito leve de hurto, los requisitos para que el Ministerio Fiscal pueda solicitar el archivo del procedimiento son cumulativos, no bastando la reparación del daño causado,</w:t>
      </w:r>
      <w:r w:rsidR="00683391">
        <w:rPr>
          <w:rFonts w:ascii="Times New Roman" w:hAnsi="Times New Roman" w:cs="Times New Roman"/>
          <w:sz w:val="24"/>
          <w:szCs w:val="24"/>
        </w:rPr>
        <w:t xml:space="preserve"> sino que se precisa la ausencia de denuncia por parte de la víctima.</w:t>
      </w:r>
      <w:r w:rsidR="00BC38C8">
        <w:rPr>
          <w:rStyle w:val="Refdenotaalpie"/>
          <w:rFonts w:ascii="Times New Roman" w:hAnsi="Times New Roman" w:cs="Times New Roman"/>
          <w:sz w:val="24"/>
          <w:szCs w:val="24"/>
        </w:rPr>
        <w:footnoteReference w:id="32"/>
      </w:r>
      <w:r w:rsidR="00683391">
        <w:rPr>
          <w:rFonts w:ascii="Times New Roman" w:hAnsi="Times New Roman" w:cs="Times New Roman"/>
          <w:sz w:val="24"/>
          <w:szCs w:val="24"/>
        </w:rPr>
        <w:t xml:space="preserve"> De esta manera, la doctrina manifiesta que la voluntad de suavizar los efectos de elevar a delito cualquier infracción constitutiva de hurto, ha quedado en gran medida sin valor práctico, siendo a estos efectos suficiente con la reparación del daño causado.</w:t>
      </w:r>
      <w:r w:rsidR="00450B5A">
        <w:rPr>
          <w:rFonts w:ascii="Times New Roman" w:hAnsi="Times New Roman" w:cs="Times New Roman"/>
          <w:sz w:val="24"/>
          <w:szCs w:val="24"/>
        </w:rPr>
        <w:t xml:space="preserve"> De esta forma, la actitud procesal del perjudicado condiciona fuertemente la postura del Ministerio Fiscal, siendo el primero el realmente capacitado para seguir el procedimiento por delito leve de hurto, en el caso de que el mismo tenga una escasa gravedad.</w:t>
      </w:r>
      <w:r w:rsidR="003D4B18">
        <w:rPr>
          <w:rFonts w:ascii="Times New Roman" w:hAnsi="Times New Roman" w:cs="Times New Roman"/>
          <w:sz w:val="24"/>
          <w:szCs w:val="24"/>
        </w:rPr>
        <w:t xml:space="preserve"> En efecto, se desvirtúa el cometido constitucional encomendado al Ministerio Fiscal, basado en la defensa del interés público a través de la justicia, debido a la capacidad de modulación del mismo por parte del perjudicado por el delito.</w:t>
      </w:r>
      <w:r w:rsidR="00C54F54">
        <w:rPr>
          <w:rStyle w:val="Refdenotaalpie"/>
          <w:rFonts w:ascii="Times New Roman" w:hAnsi="Times New Roman" w:cs="Times New Roman"/>
          <w:sz w:val="24"/>
          <w:szCs w:val="24"/>
        </w:rPr>
        <w:footnoteReference w:id="33"/>
      </w:r>
      <w:r w:rsidR="003D4B18">
        <w:rPr>
          <w:rFonts w:ascii="Times New Roman" w:hAnsi="Times New Roman" w:cs="Times New Roman"/>
          <w:sz w:val="24"/>
          <w:szCs w:val="24"/>
        </w:rPr>
        <w:t xml:space="preserve"> Así, en conclusión a esta cuestión, el legislador ha incorporado el parámetro de la gravedad del hecho a la ley procesal penal, a través de lo que se podría denominar un principio de oportunidad</w:t>
      </w:r>
      <w:r w:rsidR="00037788">
        <w:rPr>
          <w:rFonts w:ascii="Times New Roman" w:hAnsi="Times New Roman" w:cs="Times New Roman"/>
          <w:sz w:val="24"/>
          <w:szCs w:val="24"/>
        </w:rPr>
        <w:t xml:space="preserve"> que impida continuar la </w:t>
      </w:r>
      <w:r w:rsidR="00037788">
        <w:rPr>
          <w:rFonts w:ascii="Times New Roman" w:hAnsi="Times New Roman" w:cs="Times New Roman"/>
          <w:sz w:val="24"/>
          <w:szCs w:val="24"/>
        </w:rPr>
        <w:lastRenderedPageBreak/>
        <w:t>tramitación del procedimiento, debiendo extremarse, desde un punto de vista práctico, las posibilidades de reparación del perjuicio.</w:t>
      </w:r>
    </w:p>
    <w:p w:rsidR="00170E1D" w:rsidRDefault="00A160A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 este respecto, el delito leve de hurto plantea dos situaciones distintas. Por una lado, y como regla general, cuando el valor de lo sustraído sea inferior a 400€, con independencia de beneficio producido </w:t>
      </w:r>
      <w:r w:rsidR="001946AD">
        <w:rPr>
          <w:rFonts w:ascii="Times New Roman" w:hAnsi="Times New Roman" w:cs="Times New Roman"/>
          <w:sz w:val="24"/>
          <w:szCs w:val="24"/>
        </w:rPr>
        <w:t>para el autor o un para un tercero, así como sin tener en cuenta el posible perjuicio patrimonial producido al sujeto pasivo del delito o de la acción; será de aplicación dicha figura delictiva. Pero, por otro lado, la Ley Orgánica 1/2015 excluye de su ámbito aquellos casos en los que en los hechos concurran alguna de las circunstancias previstas en el artículo 235CP</w:t>
      </w:r>
      <w:r w:rsidR="00410009">
        <w:rPr>
          <w:rFonts w:ascii="Times New Roman" w:hAnsi="Times New Roman" w:cs="Times New Roman"/>
          <w:sz w:val="24"/>
          <w:szCs w:val="24"/>
        </w:rPr>
        <w:t xml:space="preserve">. En este sentido, se pueden distinguir dos posibilidades en aquellos supuestos en los que, dándose alguna de las circunstancias previstas en dicho artículo citado, el valor de la cosa mueble ajena sustraída sea inferior a 400€. De una parte, la aplicación directa del tipo básico del artículo 234.1CP o, de otra parte, </w:t>
      </w:r>
      <w:r w:rsidR="00027F1D">
        <w:rPr>
          <w:rFonts w:ascii="Times New Roman" w:hAnsi="Times New Roman" w:cs="Times New Roman"/>
          <w:sz w:val="24"/>
          <w:szCs w:val="24"/>
        </w:rPr>
        <w:t xml:space="preserve">la subsunción en el tipo agravado previsto en el artículo 235CP. La subsunción de los hechos en una u otra posibilidad dependerá de la fundamentación de la específica circunstancia agravante, de tal forma que en aquellos casos en los que la aplicación de la circunstancia agravante no requiera una especial gravedad del hecho, en relación a la cuantía de lo sustraído o al perjuicio ocasionado, </w:t>
      </w:r>
      <w:r w:rsidR="00A85461">
        <w:rPr>
          <w:rFonts w:ascii="Times New Roman" w:hAnsi="Times New Roman" w:cs="Times New Roman"/>
          <w:sz w:val="24"/>
          <w:szCs w:val="24"/>
        </w:rPr>
        <w:t xml:space="preserve">se aplicará el correspondiente tipo agravado. Así, teniendo en cuenta lo aquí mencionado, </w:t>
      </w:r>
      <w:r w:rsidR="00446C2C">
        <w:rPr>
          <w:rFonts w:ascii="Times New Roman" w:hAnsi="Times New Roman" w:cs="Times New Roman"/>
          <w:sz w:val="24"/>
          <w:szCs w:val="24"/>
        </w:rPr>
        <w:t>cuando se trate, por ejemplo, de cosas de primera necesidad o de productos agrarios o ganaderos, con un valor inferior  400€, será de aplicación el tipo básico del artículo 234.1CP.</w:t>
      </w:r>
      <w:r w:rsidR="00170E1D">
        <w:rPr>
          <w:rFonts w:ascii="Times New Roman" w:hAnsi="Times New Roman" w:cs="Times New Roman"/>
          <w:sz w:val="24"/>
          <w:szCs w:val="24"/>
        </w:rPr>
        <w:t xml:space="preserve"> Sin embargo, en el caso de que el sujeto hubiera sido condenado por al menos tres delitos comprendidos en este  Título, de la misma naturaleza, o, por ejemplo, cuando participe en los hechos como miembro </w:t>
      </w:r>
      <w:r w:rsidR="00636395">
        <w:rPr>
          <w:rFonts w:ascii="Times New Roman" w:hAnsi="Times New Roman" w:cs="Times New Roman"/>
          <w:sz w:val="24"/>
          <w:szCs w:val="24"/>
        </w:rPr>
        <w:t>de una organización criminal dedicada a los pequeños hurtos, el tipo aplicable será el artículo 235CP, que, a todas luces, parece bastante desproporcionado en relación a estos casos concretos.</w:t>
      </w:r>
      <w:r w:rsidR="006D3EC7">
        <w:rPr>
          <w:rStyle w:val="Refdenotaalpie"/>
          <w:rFonts w:ascii="Times New Roman" w:hAnsi="Times New Roman" w:cs="Times New Roman"/>
          <w:sz w:val="24"/>
          <w:szCs w:val="24"/>
        </w:rPr>
        <w:footnoteReference w:id="34"/>
      </w:r>
    </w:p>
    <w:p w:rsidR="00636395" w:rsidRDefault="001D61B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través del preámbulo de la Ley Orgánica 1/2015, de 30 de Marzo, dedicaré estas líneas a realizar un análisis conjunto del nuevo delito leve de hurto y del fenómeno de la delincuencia habitual, el cual en un momento posterior desarrollaré. De este modo, </w:t>
      </w:r>
      <w:r w:rsidR="007F057B">
        <w:rPr>
          <w:rFonts w:ascii="Times New Roman" w:hAnsi="Times New Roman" w:cs="Times New Roman"/>
          <w:sz w:val="24"/>
          <w:szCs w:val="24"/>
        </w:rPr>
        <w:t xml:space="preserve">y en palabras del legislador, los supuestos de menor gravedad castigados anteriormente como faltas, se regulan ahora como delitos leves, aunque es causa de exclusión de dicha </w:t>
      </w:r>
      <w:r w:rsidR="007F057B">
        <w:rPr>
          <w:rFonts w:ascii="Times New Roman" w:hAnsi="Times New Roman" w:cs="Times New Roman"/>
          <w:sz w:val="24"/>
          <w:szCs w:val="24"/>
        </w:rPr>
        <w:lastRenderedPageBreak/>
        <w:t>condición la concurrencia de alguna circunstancia de agravación y, en particular, la comisión reiterada de delitos contra la propiedad y el patrimonio.</w:t>
      </w:r>
    </w:p>
    <w:p w:rsidR="008C0EC5" w:rsidRDefault="00F57AD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c</w:t>
      </w:r>
      <w:r w:rsidR="008C0EC5">
        <w:rPr>
          <w:rFonts w:ascii="Times New Roman" w:hAnsi="Times New Roman" w:cs="Times New Roman"/>
          <w:sz w:val="24"/>
          <w:szCs w:val="24"/>
        </w:rPr>
        <w:t>onsecuencia de la novedosa configuración de este artículo es la supresión del delito de hurto por falta reiterada del artículo 623.1 CP. En este sentido, la Ley Orgánica 5/10, de 22 de junio, introdujo el antiguo artículo 234.2 CP, castigando al que en el plazo de un año realizara tres veces la acción descrita en la falta de hurto</w:t>
      </w:r>
      <w:r w:rsidR="00731B79">
        <w:rPr>
          <w:rFonts w:ascii="Times New Roman" w:hAnsi="Times New Roman" w:cs="Times New Roman"/>
          <w:sz w:val="24"/>
          <w:szCs w:val="24"/>
        </w:rPr>
        <w:t xml:space="preserve">, con el condicionamiento del límite cuantitativo delictivo. Dicha transformación de la falta reiterada de hurto generó tanto problemas prácticos de naturaleza procesal, como de carácter sustantivo. Es más, sin ir más lejos, diversos órganos jurisdiccionales plantearon cuestiones de inconstitucionalidad alrededor de este precepto, por entenderlo contrario a los principios de presunción de inocencia, </w:t>
      </w:r>
      <w:proofErr w:type="spellStart"/>
      <w:r w:rsidR="00731B79">
        <w:rPr>
          <w:rFonts w:ascii="Times New Roman" w:hAnsi="Times New Roman" w:cs="Times New Roman"/>
          <w:sz w:val="24"/>
          <w:szCs w:val="24"/>
        </w:rPr>
        <w:t>taxatividad</w:t>
      </w:r>
      <w:proofErr w:type="spellEnd"/>
      <w:r w:rsidR="00731B79">
        <w:rPr>
          <w:rFonts w:ascii="Times New Roman" w:hAnsi="Times New Roman" w:cs="Times New Roman"/>
          <w:sz w:val="24"/>
          <w:szCs w:val="24"/>
        </w:rPr>
        <w:t>, culpabilidad y legalidad</w:t>
      </w:r>
      <w:r w:rsidR="00483674">
        <w:rPr>
          <w:rFonts w:ascii="Times New Roman" w:hAnsi="Times New Roman" w:cs="Times New Roman"/>
          <w:sz w:val="24"/>
          <w:szCs w:val="24"/>
        </w:rPr>
        <w:t>. A pesar de esto, el Tribunal Constitucional se pronunció a favor de la constitucionalidad de este precepto, pero recurriendo a una interpretación conforme a los criterios hermenéuticos y axiológicos constitucionales, es decir, abarcando la acción cometida, la que hubiera sido así declarada en sentencia firme (STC 185/14, de 6 de noviembre y STC 3/15</w:t>
      </w:r>
      <w:r w:rsidR="00B53CDF">
        <w:rPr>
          <w:rFonts w:ascii="Times New Roman" w:hAnsi="Times New Roman" w:cs="Times New Roman"/>
          <w:sz w:val="24"/>
          <w:szCs w:val="24"/>
        </w:rPr>
        <w:t>, de 19 de enero).</w:t>
      </w:r>
      <w:r w:rsidR="000101E6">
        <w:rPr>
          <w:rStyle w:val="Refdenotaalpie"/>
          <w:rFonts w:ascii="Times New Roman" w:hAnsi="Times New Roman" w:cs="Times New Roman"/>
          <w:sz w:val="24"/>
          <w:szCs w:val="24"/>
        </w:rPr>
        <w:footnoteReference w:id="35"/>
      </w:r>
    </w:p>
    <w:p w:rsidR="00B53CDF" w:rsidRDefault="00B53CD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53CDF" w:rsidRDefault="00B53CD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2.2) TIPO CUALIFICADO DEL ARTÍCULO 234.3CP.</w:t>
      </w:r>
    </w:p>
    <w:p w:rsidR="004E63F9" w:rsidRDefault="004E63F9" w:rsidP="00931F05">
      <w:pPr>
        <w:spacing w:line="360" w:lineRule="auto"/>
        <w:jc w:val="both"/>
        <w:rPr>
          <w:rFonts w:ascii="Times New Roman" w:hAnsi="Times New Roman" w:cs="Times New Roman"/>
          <w:sz w:val="24"/>
          <w:szCs w:val="24"/>
        </w:rPr>
      </w:pPr>
    </w:p>
    <w:p w:rsidR="00B53CDF" w:rsidRDefault="00F57AD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delimitar que con este nuevo tipo cualificado se hace referencia a la neutralización, eliminación o inutilización, por cualquier medio, de los dispositivos de alarma o seguridad instalados en las propias cosas sustraídas.</w:t>
      </w:r>
    </w:p>
    <w:p w:rsidR="00F57AD1" w:rsidRDefault="00F57AD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hecha esta referencia, considero conveniente dilucidar una serie de cuestiones. En primer lugar, aquella que tiene que ver con la </w:t>
      </w:r>
      <w:r w:rsidR="006D5134">
        <w:rPr>
          <w:rFonts w:ascii="Times New Roman" w:hAnsi="Times New Roman" w:cs="Times New Roman"/>
          <w:sz w:val="24"/>
          <w:szCs w:val="24"/>
        </w:rPr>
        <w:t xml:space="preserve">ampliación de la fuerza a momentos posteriores al apoderamiento y que, teniendo en cuenta la escasa justificación incorporada en la Exposición de Motivos del Proyecto aprobado en septiembre de 2013, llevó a una primera interpretación de la voluntad del </w:t>
      </w:r>
      <w:proofErr w:type="spellStart"/>
      <w:r w:rsidR="006D5134">
        <w:rPr>
          <w:rFonts w:ascii="Times New Roman" w:hAnsi="Times New Roman" w:cs="Times New Roman"/>
          <w:sz w:val="24"/>
          <w:szCs w:val="24"/>
        </w:rPr>
        <w:t>prelegislador</w:t>
      </w:r>
      <w:proofErr w:type="spellEnd"/>
      <w:r w:rsidR="006D5134">
        <w:rPr>
          <w:rFonts w:ascii="Times New Roman" w:hAnsi="Times New Roman" w:cs="Times New Roman"/>
          <w:sz w:val="24"/>
          <w:szCs w:val="24"/>
        </w:rPr>
        <w:t>, basada en un concepto de robo con fuerza en las cosas</w:t>
      </w:r>
      <w:r w:rsidR="001A390B">
        <w:rPr>
          <w:rFonts w:ascii="Times New Roman" w:hAnsi="Times New Roman" w:cs="Times New Roman"/>
          <w:sz w:val="24"/>
          <w:szCs w:val="24"/>
        </w:rPr>
        <w:t xml:space="preserve"> que comprenda aquellos supuestos en los que se desactiva los dispositivos de alarma instalados en los objetos, para evitar la </w:t>
      </w:r>
      <w:r w:rsidR="001A390B">
        <w:rPr>
          <w:rFonts w:ascii="Times New Roman" w:hAnsi="Times New Roman" w:cs="Times New Roman"/>
          <w:sz w:val="24"/>
          <w:szCs w:val="24"/>
        </w:rPr>
        <w:lastRenderedPageBreak/>
        <w:t>identificación de la sustracción al salir del lugar del establecimiento.</w:t>
      </w:r>
      <w:r w:rsidR="00C30119">
        <w:rPr>
          <w:rFonts w:ascii="Times New Roman" w:hAnsi="Times New Roman" w:cs="Times New Roman"/>
          <w:sz w:val="24"/>
          <w:szCs w:val="24"/>
        </w:rPr>
        <w:t xml:space="preserve"> Sin embargo, dicha interpretación no era correcta, ni desde el punto de vista de la propia definición de robo con fuerza en las cosas,</w:t>
      </w:r>
      <w:r w:rsidR="000D7C62">
        <w:rPr>
          <w:rFonts w:ascii="Times New Roman" w:hAnsi="Times New Roman" w:cs="Times New Roman"/>
          <w:sz w:val="24"/>
          <w:szCs w:val="24"/>
        </w:rPr>
        <w:t xml:space="preserve"> ni mucho menos de considerar que sustracciones de objetos de escaso o insignificante valor se transformen de manera automática en delitos de robo con fuerza en las cosas.</w:t>
      </w:r>
      <w:r w:rsidR="008D37EF">
        <w:rPr>
          <w:rStyle w:val="Refdenotaalpie"/>
          <w:rFonts w:ascii="Times New Roman" w:hAnsi="Times New Roman" w:cs="Times New Roman"/>
          <w:sz w:val="24"/>
          <w:szCs w:val="24"/>
        </w:rPr>
        <w:footnoteReference w:id="36"/>
      </w:r>
      <w:r w:rsidR="000D7C62">
        <w:rPr>
          <w:rFonts w:ascii="Times New Roman" w:hAnsi="Times New Roman" w:cs="Times New Roman"/>
          <w:sz w:val="24"/>
          <w:szCs w:val="24"/>
        </w:rPr>
        <w:t xml:space="preserve"> Así, teniendo en cuenta lo aquí mencionado, el informe del CGPJ pretendió la reconducción de esta modalidad delictiva a los supuestos agravados del artículo 235CP.</w:t>
      </w:r>
      <w:r w:rsidR="00F9224D">
        <w:rPr>
          <w:rStyle w:val="Refdenotaalpie"/>
          <w:rFonts w:ascii="Times New Roman" w:hAnsi="Times New Roman" w:cs="Times New Roman"/>
          <w:sz w:val="24"/>
          <w:szCs w:val="24"/>
        </w:rPr>
        <w:footnoteReference w:id="37"/>
      </w:r>
    </w:p>
    <w:p w:rsidR="000D7C62" w:rsidRDefault="000D7C62"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segundo lugar, y aceptando de una manera parcial lo </w:t>
      </w:r>
      <w:r w:rsidR="0083590C">
        <w:rPr>
          <w:rFonts w:ascii="Times New Roman" w:hAnsi="Times New Roman" w:cs="Times New Roman"/>
          <w:sz w:val="24"/>
          <w:szCs w:val="24"/>
        </w:rPr>
        <w:t>dispuesto en el informe señalado, el legislador penal de 2015 considera conveniente la agravación de la pena en su mitad superior, en el caso del apoderamiento con ánimo de lucro de cosa mueble ajena sin el consentimiento de su titular, neutralizando, eliminando o inutilizando, los dispositivos de alarma o seguridad instalados en las cosas sustraídas.</w:t>
      </w:r>
      <w:r w:rsidR="00F9224D">
        <w:rPr>
          <w:rStyle w:val="Refdenotaalpie"/>
          <w:rFonts w:ascii="Times New Roman" w:hAnsi="Times New Roman" w:cs="Times New Roman"/>
          <w:sz w:val="24"/>
          <w:szCs w:val="24"/>
        </w:rPr>
        <w:footnoteReference w:id="38"/>
      </w:r>
    </w:p>
    <w:p w:rsidR="004D69EF" w:rsidRDefault="004D69E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otro lado, en el Proyecto de Reforma presentado en septiembre del año 2013 no se hacía referencia alguna a esta circunstancia agravante, aceptándose en el trámite ante el Congreso de los </w:t>
      </w:r>
      <w:r w:rsidR="00205329">
        <w:rPr>
          <w:rFonts w:ascii="Times New Roman" w:hAnsi="Times New Roman" w:cs="Times New Roman"/>
          <w:sz w:val="24"/>
          <w:szCs w:val="24"/>
        </w:rPr>
        <w:t>Diputados una enmienda del Grupo Parlamentario Andaluz, según la cual se admitía la misma, pero reconducida en exclusividad al ámbito del delito leve de hurto. Sin embargo, dicha enmienda no aparece en el texto final aprobado en el Congreso, lo que trae como consecuencia la introducción en el Senado, por parte del mismo Grupo Parlamentario, de otra enmienda caracterizada por una expansión del ámbito objetivo de la circunstancia agravante</w:t>
      </w:r>
      <w:r w:rsidR="00721DC7">
        <w:rPr>
          <w:rFonts w:ascii="Times New Roman" w:hAnsi="Times New Roman" w:cs="Times New Roman"/>
          <w:sz w:val="24"/>
          <w:szCs w:val="24"/>
        </w:rPr>
        <w:t>, abarcando, de esta forma, el tipo básico del delito en cuestión.</w:t>
      </w:r>
      <w:r w:rsidR="00F9224D">
        <w:rPr>
          <w:rStyle w:val="Refdenotaalpie"/>
          <w:rFonts w:ascii="Times New Roman" w:hAnsi="Times New Roman" w:cs="Times New Roman"/>
          <w:sz w:val="24"/>
          <w:szCs w:val="24"/>
        </w:rPr>
        <w:footnoteReference w:id="39"/>
      </w:r>
      <w:r w:rsidR="00721DC7">
        <w:rPr>
          <w:rFonts w:ascii="Times New Roman" w:hAnsi="Times New Roman" w:cs="Times New Roman"/>
          <w:sz w:val="24"/>
          <w:szCs w:val="24"/>
        </w:rPr>
        <w:t xml:space="preserve"> En este sentido, y tras haber traído a colación esta evolución, la Ley Orgánica 1/2015 incorpora en el artículo </w:t>
      </w:r>
      <w:r w:rsidR="0066453B">
        <w:rPr>
          <w:rFonts w:ascii="Times New Roman" w:hAnsi="Times New Roman" w:cs="Times New Roman"/>
          <w:sz w:val="24"/>
          <w:szCs w:val="24"/>
        </w:rPr>
        <w:t>234.3 CP una agravación específica aplicable tanto al tipo básico del delito de hurto como a su correspondiente delito leve.</w:t>
      </w:r>
    </w:p>
    <w:p w:rsidR="00721DC7" w:rsidRDefault="0066453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Centrándonos en su configuración típica, considerar que consiste en la neutralización, eliminación o inutilización, por cualquier medio, de los dispositivos de alarma o seguridad insertados en las propias cosas sustraídas, lo cual difiere de ``la </w:t>
      </w:r>
      <w:r w:rsidR="00037854">
        <w:rPr>
          <w:rFonts w:ascii="Times New Roman" w:hAnsi="Times New Roman" w:cs="Times New Roman"/>
          <w:sz w:val="24"/>
          <w:szCs w:val="24"/>
        </w:rPr>
        <w:t xml:space="preserve">inutilización de sistemas específicos de alarma o guarda´´ para acceder o abandonar el lugar donde la </w:t>
      </w:r>
      <w:r w:rsidR="00037854">
        <w:rPr>
          <w:rFonts w:ascii="Times New Roman" w:hAnsi="Times New Roman" w:cs="Times New Roman"/>
          <w:sz w:val="24"/>
          <w:szCs w:val="24"/>
        </w:rPr>
        <w:lastRenderedPageBreak/>
        <w:t>cosa se encuentra, constitutivo del delito de robo con fuerza en las cosas tipificado en el artículo 238.5 CP.</w:t>
      </w:r>
      <w:r w:rsidR="00660A77">
        <w:rPr>
          <w:rStyle w:val="Refdenotaalpie"/>
          <w:rFonts w:ascii="Times New Roman" w:hAnsi="Times New Roman" w:cs="Times New Roman"/>
          <w:sz w:val="24"/>
          <w:szCs w:val="24"/>
        </w:rPr>
        <w:footnoteReference w:id="40"/>
      </w:r>
    </w:p>
    <w:p w:rsidR="00037854" w:rsidRDefault="0003785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Realizando una analogía de la utilización práctica de esta circunstancia</w:t>
      </w:r>
      <w:r w:rsidR="00360908">
        <w:rPr>
          <w:rFonts w:ascii="Times New Roman" w:hAnsi="Times New Roman" w:cs="Times New Roman"/>
          <w:sz w:val="24"/>
          <w:szCs w:val="24"/>
        </w:rPr>
        <w:t xml:space="preserve"> agravante, su aplicación podrá originarse cuando el sujeto se dispone a retirar la etiqueta de seguridad adosada a la cosa o a desprender el mecanismo de seguridad instalado en un determinado objeto.</w:t>
      </w:r>
      <w:r w:rsidR="00660A77">
        <w:rPr>
          <w:rStyle w:val="Refdenotaalpie"/>
          <w:rFonts w:ascii="Times New Roman" w:hAnsi="Times New Roman" w:cs="Times New Roman"/>
          <w:sz w:val="24"/>
          <w:szCs w:val="24"/>
        </w:rPr>
        <w:footnoteReference w:id="41"/>
      </w:r>
      <w:r w:rsidR="00360908">
        <w:rPr>
          <w:rFonts w:ascii="Times New Roman" w:hAnsi="Times New Roman" w:cs="Times New Roman"/>
          <w:sz w:val="24"/>
          <w:szCs w:val="24"/>
        </w:rPr>
        <w:t xml:space="preserve"> Así, por ejemplo, serán reconducidos a este apartado aquellos casos de hurto </w:t>
      </w:r>
      <w:r w:rsidR="004D150B">
        <w:rPr>
          <w:rFonts w:ascii="Times New Roman" w:hAnsi="Times New Roman" w:cs="Times New Roman"/>
          <w:sz w:val="24"/>
          <w:szCs w:val="24"/>
        </w:rPr>
        <w:t>en los que se deje inútil el dispositivo de alarma instalado en una prenda de ropa, o el apoderamiento de una bicicleta eliminando el sistema de seguridad impuesto por su propietario; eso sí, con la correspondiente concurrencia de los distintos elementos típicos configuradores de la figura delictiva.</w:t>
      </w:r>
      <w:r w:rsidR="00660A77">
        <w:rPr>
          <w:rStyle w:val="Refdenotaalpie"/>
          <w:rFonts w:ascii="Times New Roman" w:hAnsi="Times New Roman" w:cs="Times New Roman"/>
          <w:sz w:val="24"/>
          <w:szCs w:val="24"/>
        </w:rPr>
        <w:footnoteReference w:id="42"/>
      </w:r>
    </w:p>
    <w:p w:rsidR="004D150B" w:rsidRDefault="002C0DD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lo tanto, de su configuración típica podemos determinar la creación, en una agravación específica, de una figura intermedia entre el hurto y el robo con fuerza en las cosas, sin tener que crear un tipo específico que abarcara tal cuestión.</w:t>
      </w:r>
      <w:r w:rsidR="00660A77">
        <w:rPr>
          <w:rStyle w:val="Refdenotaalpie"/>
          <w:rFonts w:ascii="Times New Roman" w:hAnsi="Times New Roman" w:cs="Times New Roman"/>
          <w:sz w:val="24"/>
          <w:szCs w:val="24"/>
        </w:rPr>
        <w:footnoteReference w:id="43"/>
      </w:r>
    </w:p>
    <w:p w:rsidR="00435A7E" w:rsidRDefault="00435A7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terminar con esta cuestión, y en lo referente a la justificación de esta nueva agravación, </w:t>
      </w:r>
      <w:r w:rsidR="00B03941">
        <w:rPr>
          <w:rFonts w:ascii="Times New Roman" w:hAnsi="Times New Roman" w:cs="Times New Roman"/>
          <w:sz w:val="24"/>
          <w:szCs w:val="24"/>
        </w:rPr>
        <w:t xml:space="preserve">destacar que la elevación de la respuesta penal se corresponde a una mayor </w:t>
      </w:r>
      <w:proofErr w:type="spellStart"/>
      <w:r w:rsidR="00B03941">
        <w:rPr>
          <w:rFonts w:ascii="Times New Roman" w:hAnsi="Times New Roman" w:cs="Times New Roman"/>
          <w:sz w:val="24"/>
          <w:szCs w:val="24"/>
        </w:rPr>
        <w:t>antijuricidad</w:t>
      </w:r>
      <w:proofErr w:type="spellEnd"/>
      <w:r w:rsidR="00B03941">
        <w:rPr>
          <w:rFonts w:ascii="Times New Roman" w:hAnsi="Times New Roman" w:cs="Times New Roman"/>
          <w:sz w:val="24"/>
          <w:szCs w:val="24"/>
        </w:rPr>
        <w:t xml:space="preserve"> de la acción, así como a una mayor cercanía a los medios comisivos propios del delito de robo con fuerza en las cosas, en tanto que existe un especial esfuerzo criminal para dejar sin valor los mecanismos de protección del objeto en cuestión.</w:t>
      </w:r>
      <w:r w:rsidR="00F1043E">
        <w:rPr>
          <w:rStyle w:val="Refdenotaalpie"/>
          <w:rFonts w:ascii="Times New Roman" w:hAnsi="Times New Roman" w:cs="Times New Roman"/>
          <w:sz w:val="24"/>
          <w:szCs w:val="24"/>
        </w:rPr>
        <w:footnoteReference w:id="44"/>
      </w:r>
    </w:p>
    <w:p w:rsidR="00B03941" w:rsidRDefault="00B03941" w:rsidP="00931F05">
      <w:pPr>
        <w:spacing w:line="360" w:lineRule="auto"/>
        <w:jc w:val="both"/>
        <w:rPr>
          <w:rFonts w:ascii="Times New Roman" w:hAnsi="Times New Roman" w:cs="Times New Roman"/>
          <w:sz w:val="24"/>
          <w:szCs w:val="24"/>
        </w:rPr>
      </w:pPr>
    </w:p>
    <w:p w:rsidR="00904F02" w:rsidRDefault="004E63F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04F02" w:rsidRDefault="00904F02" w:rsidP="00931F05">
      <w:pPr>
        <w:spacing w:line="360" w:lineRule="auto"/>
        <w:jc w:val="both"/>
        <w:rPr>
          <w:rFonts w:ascii="Times New Roman" w:hAnsi="Times New Roman" w:cs="Times New Roman"/>
          <w:sz w:val="24"/>
          <w:szCs w:val="24"/>
        </w:rPr>
      </w:pPr>
    </w:p>
    <w:p w:rsidR="004E63F9" w:rsidRDefault="004E63F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2.3) MODIFICACIÓN DEL CATÁLOGO DE AGRAVANTES DEL ARTÍCULO 235 CP. ESPECIAL MENCIÓN A LA MULTIRREINCIDENCIA.</w:t>
      </w:r>
    </w:p>
    <w:p w:rsidR="004E63F9" w:rsidRDefault="004E63F9" w:rsidP="00931F05">
      <w:pPr>
        <w:spacing w:line="360" w:lineRule="auto"/>
        <w:jc w:val="both"/>
        <w:rPr>
          <w:rFonts w:ascii="Times New Roman" w:hAnsi="Times New Roman" w:cs="Times New Roman"/>
          <w:sz w:val="24"/>
          <w:szCs w:val="24"/>
        </w:rPr>
      </w:pPr>
    </w:p>
    <w:p w:rsidR="004E63F9" w:rsidRDefault="00EB164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y después de una lectura detenida</w:t>
      </w:r>
      <w:r w:rsidR="00E63A8E">
        <w:rPr>
          <w:rFonts w:ascii="Times New Roman" w:hAnsi="Times New Roman" w:cs="Times New Roman"/>
          <w:sz w:val="24"/>
          <w:szCs w:val="24"/>
        </w:rPr>
        <w:t xml:space="preserve"> del artículo 235.1 CP, observamos la tipificación de varios subtipos agravados de hurto, los cuales, castigados con una pena de prisión de 1 a 3 años, responden a una serie de factores o situaciones como pueden ser la calidad del objeto sobre el que recae la acción, las circunstancias </w:t>
      </w:r>
      <w:r w:rsidR="008357AE">
        <w:rPr>
          <w:rFonts w:ascii="Times New Roman" w:hAnsi="Times New Roman" w:cs="Times New Roman"/>
          <w:sz w:val="24"/>
          <w:szCs w:val="24"/>
        </w:rPr>
        <w:t>particularmente odiosas concurrentes en su realización, la afectación a intereses colectivos o la producción de determinados perjuicios.</w:t>
      </w:r>
      <w:r w:rsidR="001D5E49">
        <w:rPr>
          <w:rStyle w:val="Refdenotaalpie"/>
          <w:rFonts w:ascii="Times New Roman" w:hAnsi="Times New Roman" w:cs="Times New Roman"/>
          <w:sz w:val="24"/>
          <w:szCs w:val="24"/>
        </w:rPr>
        <w:footnoteReference w:id="45"/>
      </w:r>
      <w:r w:rsidR="00CB421C">
        <w:rPr>
          <w:rFonts w:ascii="Times New Roman" w:hAnsi="Times New Roman" w:cs="Times New Roman"/>
          <w:sz w:val="24"/>
          <w:szCs w:val="24"/>
        </w:rPr>
        <w:t xml:space="preserve"> Determinar que dichas circunstancias agravantes comparten con el tipo básico de hurto la totalidad de sus elementos configuradores, aplicándosele</w:t>
      </w:r>
      <w:r w:rsidR="004B7E1B">
        <w:rPr>
          <w:rFonts w:ascii="Times New Roman" w:hAnsi="Times New Roman" w:cs="Times New Roman"/>
          <w:sz w:val="24"/>
          <w:szCs w:val="24"/>
        </w:rPr>
        <w:t>s</w:t>
      </w:r>
      <w:r w:rsidR="00CB421C">
        <w:rPr>
          <w:rFonts w:ascii="Times New Roman" w:hAnsi="Times New Roman" w:cs="Times New Roman"/>
          <w:sz w:val="24"/>
          <w:szCs w:val="24"/>
        </w:rPr>
        <w:t xml:space="preserve"> </w:t>
      </w:r>
      <w:r w:rsidR="004B7E1B">
        <w:rPr>
          <w:rFonts w:ascii="Times New Roman" w:hAnsi="Times New Roman" w:cs="Times New Roman"/>
          <w:sz w:val="24"/>
          <w:szCs w:val="24"/>
        </w:rPr>
        <w:t>las reglas generales respecto de la autoría y de la participación, así como debiendo comprender el dolo del autor la circunstancia definitoria del correspondiente tipo agravado.</w:t>
      </w:r>
    </w:p>
    <w:p w:rsidR="008357AE" w:rsidRDefault="00A12EA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Así, teniendo en cuenta la redacción expuesta por la Ley Orgánica 1/2015 fruto de las enmiendas introducidas tanto en el Congreso como en el Senado, determinamos la modificación</w:t>
      </w:r>
      <w:r w:rsidR="004B7E1B">
        <w:rPr>
          <w:rFonts w:ascii="Times New Roman" w:hAnsi="Times New Roman" w:cs="Times New Roman"/>
          <w:sz w:val="24"/>
          <w:szCs w:val="24"/>
        </w:rPr>
        <w:t xml:space="preserve"> y ampliación</w:t>
      </w:r>
      <w:r>
        <w:rPr>
          <w:rFonts w:ascii="Times New Roman" w:hAnsi="Times New Roman" w:cs="Times New Roman"/>
          <w:sz w:val="24"/>
          <w:szCs w:val="24"/>
        </w:rPr>
        <w:t xml:space="preserve"> del catálogo de circunstancias agravantes específicas del delito de hurto, </w:t>
      </w:r>
      <w:r w:rsidR="004B7E1B">
        <w:rPr>
          <w:rFonts w:ascii="Times New Roman" w:hAnsi="Times New Roman" w:cs="Times New Roman"/>
          <w:sz w:val="24"/>
          <w:szCs w:val="24"/>
        </w:rPr>
        <w:t>aplicable</w:t>
      </w:r>
      <w:r w:rsidR="00A43CB6">
        <w:rPr>
          <w:rFonts w:ascii="Times New Roman" w:hAnsi="Times New Roman" w:cs="Times New Roman"/>
          <w:sz w:val="24"/>
          <w:szCs w:val="24"/>
        </w:rPr>
        <w:t xml:space="preserve"> de la misma forma al</w:t>
      </w:r>
      <w:r w:rsidR="00155F8E">
        <w:rPr>
          <w:rFonts w:ascii="Times New Roman" w:hAnsi="Times New Roman" w:cs="Times New Roman"/>
          <w:sz w:val="24"/>
          <w:szCs w:val="24"/>
        </w:rPr>
        <w:t xml:space="preserve"> delito de robo con fuerza en las cosas,</w:t>
      </w:r>
      <w:r w:rsidR="00A43CB6">
        <w:rPr>
          <w:rFonts w:ascii="Times New Roman" w:hAnsi="Times New Roman" w:cs="Times New Roman"/>
          <w:sz w:val="24"/>
          <w:szCs w:val="24"/>
        </w:rPr>
        <w:t xml:space="preserve"> incluyéndose los casos de aprovechamiento de la situación de desamparo de la víctima, la utilización de menores de dieciséis años, la </w:t>
      </w:r>
      <w:proofErr w:type="spellStart"/>
      <w:r w:rsidR="00A43CB6">
        <w:rPr>
          <w:rFonts w:ascii="Times New Roman" w:hAnsi="Times New Roman" w:cs="Times New Roman"/>
          <w:sz w:val="24"/>
          <w:szCs w:val="24"/>
        </w:rPr>
        <w:t>multirreincidencia</w:t>
      </w:r>
      <w:proofErr w:type="spellEnd"/>
      <w:r w:rsidR="00A43CB6">
        <w:rPr>
          <w:rFonts w:ascii="Times New Roman" w:hAnsi="Times New Roman" w:cs="Times New Roman"/>
          <w:sz w:val="24"/>
          <w:szCs w:val="24"/>
        </w:rPr>
        <w:t xml:space="preserve"> delictiva, así como la comisión del delito por miembro de una organización criminal dedicada a la comisión de infracciones delictivas de la misma naturaleza comprendidas en el Título en cuestión</w:t>
      </w:r>
      <w:r w:rsidR="00373470">
        <w:rPr>
          <w:rStyle w:val="Refdenotaalpie"/>
          <w:rFonts w:ascii="Times New Roman" w:hAnsi="Times New Roman" w:cs="Times New Roman"/>
          <w:sz w:val="24"/>
          <w:szCs w:val="24"/>
        </w:rPr>
        <w:footnoteReference w:id="46"/>
      </w:r>
      <w:r w:rsidR="00A43CB6">
        <w:rPr>
          <w:rFonts w:ascii="Times New Roman" w:hAnsi="Times New Roman" w:cs="Times New Roman"/>
          <w:sz w:val="24"/>
          <w:szCs w:val="24"/>
        </w:rPr>
        <w:t>.</w:t>
      </w:r>
      <w:r w:rsidR="0021362F">
        <w:rPr>
          <w:rFonts w:ascii="Times New Roman" w:hAnsi="Times New Roman" w:cs="Times New Roman"/>
          <w:sz w:val="24"/>
          <w:szCs w:val="24"/>
        </w:rPr>
        <w:t xml:space="preserve"> De la misma forma, se da una respuesta penal a los delitos cometidos específicamente en explotaciones agrícolas o ganaderas, concurriendo perjuicios relevantes en sus respectivos titulares; así como manifestar la incorporación de una circunstancia agravante asentada en la afectación a conducciones de suministro electrónico, telecomunicaciones o conducciones e infraestructuras de hidrocarburos.</w:t>
      </w:r>
      <w:r w:rsidR="00373470">
        <w:rPr>
          <w:rStyle w:val="Refdenotaalpie"/>
          <w:rFonts w:ascii="Times New Roman" w:hAnsi="Times New Roman" w:cs="Times New Roman"/>
          <w:sz w:val="24"/>
          <w:szCs w:val="24"/>
        </w:rPr>
        <w:footnoteReference w:id="47"/>
      </w:r>
    </w:p>
    <w:p w:rsidR="004B7E1B" w:rsidRDefault="004B7E1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 continuación, de una manera detallada, haré referencia a cada una de las circunstancias definidas por el artículo 235.1 CP, con especial interés </w:t>
      </w:r>
      <w:r w:rsidR="00970709">
        <w:rPr>
          <w:rFonts w:ascii="Times New Roman" w:hAnsi="Times New Roman" w:cs="Times New Roman"/>
          <w:sz w:val="24"/>
          <w:szCs w:val="24"/>
        </w:rPr>
        <w:t>por aquellos aspectos novedosos introducidos por la Ley ya mencionada.</w:t>
      </w:r>
    </w:p>
    <w:p w:rsidR="00970709" w:rsidRDefault="00913F5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La primera de las circunstancias agravatorias, relativa a la sustracción de cosas de valor artístico, histórico, cultural o científico, no ha sufrido modificación alguna tras la profunda reforma del Código Penal.</w:t>
      </w:r>
      <w:r w:rsidR="00F27CE3">
        <w:rPr>
          <w:rStyle w:val="Refdenotaalpie"/>
          <w:rFonts w:ascii="Times New Roman" w:hAnsi="Times New Roman" w:cs="Times New Roman"/>
          <w:sz w:val="24"/>
          <w:szCs w:val="24"/>
        </w:rPr>
        <w:footnoteReference w:id="48"/>
      </w:r>
      <w:r>
        <w:rPr>
          <w:rFonts w:ascii="Times New Roman" w:hAnsi="Times New Roman" w:cs="Times New Roman"/>
          <w:sz w:val="24"/>
          <w:szCs w:val="24"/>
        </w:rPr>
        <w:t xml:space="preserve"> Por lo tanto, y sin ánimo de expansión en su desarrollo, dicho tipo agravado será de aplicación al margen de la cuantía de</w:t>
      </w:r>
      <w:r w:rsidR="00B001EE">
        <w:rPr>
          <w:rFonts w:ascii="Times New Roman" w:hAnsi="Times New Roman" w:cs="Times New Roman"/>
          <w:sz w:val="24"/>
          <w:szCs w:val="24"/>
        </w:rPr>
        <w:t>l objeto material, con el único requisito de cumplir sus exigencias típicas, aunque pueda parecer desproporcionado.</w:t>
      </w:r>
    </w:p>
    <w:p w:rsidR="00B001EE" w:rsidRDefault="00B001E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La redacción debida a la Ley Orgánica 5/2010, de 22 de junio, en términos literales, determinaba la aplicación del segundo tipo agravado ``cuando se trate de cosas de primera necesidad o destinadas a un servicio público</w:t>
      </w:r>
      <w:r w:rsidR="00BD7475">
        <w:rPr>
          <w:rFonts w:ascii="Times New Roman" w:hAnsi="Times New Roman" w:cs="Times New Roman"/>
          <w:sz w:val="24"/>
          <w:szCs w:val="24"/>
        </w:rPr>
        <w:t>, siempre que la sustracción ocasionare un grave quebranto a éste o una situación de desabastecimiento´´. Dicho desarrollo va a ser simplificado con la nueva redacción, así como mantenido a lo largo de toda la tramitación parlamentaria, estableciendo su aplicación ``cuando se trate de cosas de primera necesidad y se cause una situación de desabas</w:t>
      </w:r>
      <w:r w:rsidR="00A4464D">
        <w:rPr>
          <w:rFonts w:ascii="Times New Roman" w:hAnsi="Times New Roman" w:cs="Times New Roman"/>
          <w:sz w:val="24"/>
          <w:szCs w:val="24"/>
        </w:rPr>
        <w:t>t</w:t>
      </w:r>
      <w:r w:rsidR="00BD7475">
        <w:rPr>
          <w:rFonts w:ascii="Times New Roman" w:hAnsi="Times New Roman" w:cs="Times New Roman"/>
          <w:sz w:val="24"/>
          <w:szCs w:val="24"/>
        </w:rPr>
        <w:t>ecimiento´´. En este sentido, teniendo en cuenta la lectura de lo aquí desarrollado</w:t>
      </w:r>
      <w:r w:rsidR="00A4464D">
        <w:rPr>
          <w:rFonts w:ascii="Times New Roman" w:hAnsi="Times New Roman" w:cs="Times New Roman"/>
          <w:sz w:val="24"/>
          <w:szCs w:val="24"/>
        </w:rPr>
        <w:t xml:space="preserve">, se va a eliminar la referencia a la sustracción de cosas destinadas a un servicio público, siempre que dicha sustracción ocasionara </w:t>
      </w:r>
      <w:r w:rsidR="00C87480">
        <w:rPr>
          <w:rFonts w:ascii="Times New Roman" w:hAnsi="Times New Roman" w:cs="Times New Roman"/>
          <w:sz w:val="24"/>
          <w:szCs w:val="24"/>
        </w:rPr>
        <w:t>un grave quebranto a éste;</w:t>
      </w:r>
      <w:r w:rsidR="00A4464D">
        <w:rPr>
          <w:rFonts w:ascii="Times New Roman" w:hAnsi="Times New Roman" w:cs="Times New Roman"/>
          <w:sz w:val="24"/>
          <w:szCs w:val="24"/>
        </w:rPr>
        <w:t xml:space="preserve"> por lo que, en un principio, podría entenderse la idea del legislador de reducir el ámbito de aplicación de la circunstancia en cuestión.</w:t>
      </w:r>
      <w:r w:rsidR="00F27CE3">
        <w:rPr>
          <w:rStyle w:val="Refdenotaalpie"/>
          <w:rFonts w:ascii="Times New Roman" w:hAnsi="Times New Roman" w:cs="Times New Roman"/>
          <w:sz w:val="24"/>
          <w:szCs w:val="24"/>
        </w:rPr>
        <w:footnoteReference w:id="49"/>
      </w:r>
    </w:p>
    <w:p w:rsidR="00C87480" w:rsidRDefault="00C87480"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A pesar de esto, dicha limitación del ámbito de aplicación carece de repercusión, a razón de la nueva circunstancia de agravación introducida por la Ley Orgánica 1/2015, la cual incorpora en su ámbito de aplicación</w:t>
      </w:r>
      <w:r w:rsidR="006A59E5">
        <w:rPr>
          <w:rFonts w:ascii="Times New Roman" w:hAnsi="Times New Roman" w:cs="Times New Roman"/>
          <w:sz w:val="24"/>
          <w:szCs w:val="24"/>
        </w:rPr>
        <w:t xml:space="preserve"> lo relativo a infraestructuras de suministro electrónico, hidrocarburos o servicios de telecomunicaciones; aunque introduciendo finalmente una cláusula abierta con referencia a cualquier otra cosa destinada a la </w:t>
      </w:r>
      <w:r w:rsidR="006A59E5">
        <w:rPr>
          <w:rFonts w:ascii="Times New Roman" w:hAnsi="Times New Roman" w:cs="Times New Roman"/>
          <w:sz w:val="24"/>
          <w:szCs w:val="24"/>
        </w:rPr>
        <w:lastRenderedPageBreak/>
        <w:t>prestación de servicios de interés general.</w:t>
      </w:r>
      <w:r w:rsidR="00F27CE3">
        <w:rPr>
          <w:rStyle w:val="Refdenotaalpie"/>
          <w:rFonts w:ascii="Times New Roman" w:hAnsi="Times New Roman" w:cs="Times New Roman"/>
          <w:sz w:val="24"/>
          <w:szCs w:val="24"/>
        </w:rPr>
        <w:footnoteReference w:id="50"/>
      </w:r>
      <w:r w:rsidR="00747627">
        <w:rPr>
          <w:rFonts w:ascii="Times New Roman" w:hAnsi="Times New Roman" w:cs="Times New Roman"/>
          <w:sz w:val="24"/>
          <w:szCs w:val="24"/>
        </w:rPr>
        <w:t xml:space="preserve"> La fundamentación, atendiendo al preámbulo de la Ley aquí mencionada, reside en el grave problema suscitado por la sustracción de cable de cobre de las redes de servicio público e interés general.</w:t>
      </w:r>
      <w:r w:rsidR="000F5DBF">
        <w:rPr>
          <w:rStyle w:val="Refdenotaalpie"/>
          <w:rFonts w:ascii="Times New Roman" w:hAnsi="Times New Roman" w:cs="Times New Roman"/>
          <w:sz w:val="24"/>
          <w:szCs w:val="24"/>
        </w:rPr>
        <w:footnoteReference w:id="51"/>
      </w:r>
      <w:r w:rsidR="00A40621">
        <w:rPr>
          <w:rFonts w:ascii="Times New Roman" w:hAnsi="Times New Roman" w:cs="Times New Roman"/>
          <w:sz w:val="24"/>
          <w:szCs w:val="24"/>
        </w:rPr>
        <w:t xml:space="preserve"> Conveniente precisar la exigencia típica de dos requisitos para la consiguiente aplicación de este subtipo agravado, en el sentido de la necesidad de afectación a la prestación de servicios de interés general, así como de causar un grave quebranto a las cosas destinadas a su prestación.</w:t>
      </w:r>
      <w:r w:rsidR="000F5DBF">
        <w:rPr>
          <w:rStyle w:val="Refdenotaalpie"/>
          <w:rFonts w:ascii="Times New Roman" w:hAnsi="Times New Roman" w:cs="Times New Roman"/>
          <w:sz w:val="24"/>
          <w:szCs w:val="24"/>
        </w:rPr>
        <w:footnoteReference w:id="52"/>
      </w:r>
      <w:r w:rsidR="003013A0">
        <w:rPr>
          <w:rFonts w:ascii="Times New Roman" w:hAnsi="Times New Roman" w:cs="Times New Roman"/>
          <w:sz w:val="24"/>
          <w:szCs w:val="24"/>
        </w:rPr>
        <w:t xml:space="preserve"> Dicho perjuicio grave, en este caso concreto</w:t>
      </w:r>
      <w:r w:rsidR="00263B63">
        <w:rPr>
          <w:rFonts w:ascii="Times New Roman" w:hAnsi="Times New Roman" w:cs="Times New Roman"/>
          <w:sz w:val="24"/>
          <w:szCs w:val="24"/>
        </w:rPr>
        <w:t>, garantiza la correcta evaluación del daño causado a los efectos de aplicación del tipo agravado. A este respecto, aunque algunos de estos casos puedan tener cabida en las circunstancias segunda y quinta de este artículo, la mayor protección del bien jurídico está totalmente justificada.</w:t>
      </w:r>
      <w:r w:rsidR="00ED641D">
        <w:rPr>
          <w:rFonts w:ascii="Times New Roman" w:hAnsi="Times New Roman" w:cs="Times New Roman"/>
          <w:sz w:val="24"/>
          <w:szCs w:val="24"/>
        </w:rPr>
        <w:t xml:space="preserve"> El fundamento de la agravación estaría concretamente en el interés de que los ciudadanos no vean molestada o impedida la posibilidad de utilizar la energía eléctrica, las conexiones telefónicas u otro servicio de interés general (DEL CARPIO DELGADO).</w:t>
      </w:r>
      <w:r w:rsidR="009251A1">
        <w:rPr>
          <w:rStyle w:val="Refdenotaalpie"/>
          <w:rFonts w:ascii="Times New Roman" w:hAnsi="Times New Roman" w:cs="Times New Roman"/>
          <w:sz w:val="24"/>
          <w:szCs w:val="24"/>
        </w:rPr>
        <w:footnoteReference w:id="53"/>
      </w:r>
    </w:p>
    <w:p w:rsidR="00A40621" w:rsidRDefault="00A4062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cuarta de las circunstancias comprendida en este largo artículo, tras la redacción dada por la citada Ley, supone una total novedad respecto </w:t>
      </w:r>
      <w:r w:rsidR="003013A0">
        <w:rPr>
          <w:rFonts w:ascii="Times New Roman" w:hAnsi="Times New Roman" w:cs="Times New Roman"/>
          <w:sz w:val="24"/>
          <w:szCs w:val="24"/>
        </w:rPr>
        <w:t>de la tipificación anterior, restringiendo su ámbito material a los productos agrarios o ganaderos, así como a los medios utilizados para su obtención, con los requisitos de cometer el delito en explotaciones agrícolas o ganaderas, además de causar un grave perjuicio a las mismas.</w:t>
      </w:r>
      <w:r w:rsidR="00647609">
        <w:rPr>
          <w:rFonts w:ascii="Times New Roman" w:hAnsi="Times New Roman" w:cs="Times New Roman"/>
          <w:sz w:val="24"/>
          <w:szCs w:val="24"/>
        </w:rPr>
        <w:t xml:space="preserve"> Por hacer una contextualización práctica, se trataría de dar respuesta penal a delitos patrimoniales cometidos en explotaciones en las que hay dificultad para establecer mecanismos de protección eficaces, causando a sus respectivos propietarios perjuicios de gran relevancia, superiores a la simple valoración de los productos sustraídos, con la consiguiente situación de desprotección para el sujeto pasivo.</w:t>
      </w:r>
      <w:r w:rsidR="009251A1">
        <w:rPr>
          <w:rStyle w:val="Refdenotaalpie"/>
          <w:rFonts w:ascii="Times New Roman" w:hAnsi="Times New Roman" w:cs="Times New Roman"/>
          <w:sz w:val="24"/>
          <w:szCs w:val="24"/>
        </w:rPr>
        <w:footnoteReference w:id="54"/>
      </w:r>
      <w:r w:rsidR="00D248EF">
        <w:rPr>
          <w:rFonts w:ascii="Times New Roman" w:hAnsi="Times New Roman" w:cs="Times New Roman"/>
          <w:sz w:val="24"/>
          <w:szCs w:val="24"/>
        </w:rPr>
        <w:t xml:space="preserve"> En lo que se refiere a la </w:t>
      </w:r>
      <w:r w:rsidR="00D248EF">
        <w:rPr>
          <w:rFonts w:ascii="Times New Roman" w:hAnsi="Times New Roman" w:cs="Times New Roman"/>
          <w:sz w:val="24"/>
          <w:szCs w:val="24"/>
        </w:rPr>
        <w:lastRenderedPageBreak/>
        <w:t>gravedad, determinar la importancia de las circunstancias concurrentes en el caso concreto, siendo sinónimo de una disminución patrimonial elevada que supere el mero valor de los objetos sustraídos, a la vez que permita diferenciarla de la responsabilidad civil derivada del delito.</w:t>
      </w:r>
      <w:r w:rsidR="009251A1">
        <w:rPr>
          <w:rStyle w:val="Refdenotaalpie"/>
          <w:rFonts w:ascii="Times New Roman" w:hAnsi="Times New Roman" w:cs="Times New Roman"/>
          <w:sz w:val="24"/>
          <w:szCs w:val="24"/>
        </w:rPr>
        <w:footnoteReference w:id="55"/>
      </w:r>
      <w:r w:rsidR="00EB3239">
        <w:rPr>
          <w:rFonts w:ascii="Times New Roman" w:hAnsi="Times New Roman" w:cs="Times New Roman"/>
          <w:sz w:val="24"/>
          <w:szCs w:val="24"/>
        </w:rPr>
        <w:t xml:space="preserve"> De esta forma, la exigencia típica de causar un perjuicio grave excluirá, al igual que en la circunstancia anterior, la posibilidad de aplicación de este tipo agravado en aquellas sustracciones que no superen el límite legal impuesto en el artículo 234 CP.</w:t>
      </w:r>
      <w:r w:rsidR="009251A1">
        <w:rPr>
          <w:rStyle w:val="Refdenotaalpie"/>
          <w:rFonts w:ascii="Times New Roman" w:hAnsi="Times New Roman" w:cs="Times New Roman"/>
          <w:sz w:val="24"/>
          <w:szCs w:val="24"/>
        </w:rPr>
        <w:footnoteReference w:id="56"/>
      </w:r>
    </w:p>
    <w:p w:rsidR="00EB3239" w:rsidRDefault="004C625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 ha mantenido, sin ningún tipo de modificación y de una manera imprecisa y alternativa, la circunstancia relativa a la especial gravedad o a la producción de perjuicios de especial consideración. A los efectos de una mayor seguridad jurídica, es común en la doctrina entender la necesidad de incorporación de algún criterio objetivo, al igual que sucede en el tipo agravado de estafa del artículo 250.5 CP, </w:t>
      </w:r>
      <w:r w:rsidR="002021E7">
        <w:rPr>
          <w:rFonts w:ascii="Times New Roman" w:hAnsi="Times New Roman" w:cs="Times New Roman"/>
          <w:sz w:val="24"/>
          <w:szCs w:val="24"/>
        </w:rPr>
        <w:t>sustentándose el mismo en un d</w:t>
      </w:r>
      <w:r w:rsidR="00E87BD1">
        <w:rPr>
          <w:rFonts w:ascii="Times New Roman" w:hAnsi="Times New Roman" w:cs="Times New Roman"/>
          <w:sz w:val="24"/>
          <w:szCs w:val="24"/>
        </w:rPr>
        <w:t>eterminado límite cuantitativo.</w:t>
      </w:r>
      <w:r w:rsidR="00E87BD1">
        <w:rPr>
          <w:rStyle w:val="Refdenotaalpie"/>
          <w:rFonts w:ascii="Times New Roman" w:hAnsi="Times New Roman" w:cs="Times New Roman"/>
          <w:sz w:val="24"/>
          <w:szCs w:val="24"/>
        </w:rPr>
        <w:footnoteReference w:id="57"/>
      </w:r>
      <w:r w:rsidR="00E87BD1">
        <w:rPr>
          <w:rFonts w:ascii="Times New Roman" w:hAnsi="Times New Roman" w:cs="Times New Roman"/>
          <w:sz w:val="24"/>
          <w:szCs w:val="24"/>
        </w:rPr>
        <w:t xml:space="preserve"> </w:t>
      </w:r>
      <w:r w:rsidR="002021E7">
        <w:rPr>
          <w:rFonts w:ascii="Times New Roman" w:hAnsi="Times New Roman" w:cs="Times New Roman"/>
          <w:sz w:val="24"/>
          <w:szCs w:val="24"/>
        </w:rPr>
        <w:t xml:space="preserve">Por lo tanto, debido a que su configuración típica no ha sufrido ningún tipo de modificación, centraré mi análisis en la posibilidad de aplicación del tipo en cuestión en los casos en que la cantidad sustraída sea inferior a 400€. La primera modalidad, </w:t>
      </w:r>
      <w:r w:rsidR="00CF4AF7">
        <w:rPr>
          <w:rFonts w:ascii="Times New Roman" w:hAnsi="Times New Roman" w:cs="Times New Roman"/>
          <w:sz w:val="24"/>
          <w:szCs w:val="24"/>
        </w:rPr>
        <w:t xml:space="preserve">relativa a la especial gravedad atendiendo al valor de los efectos sustraídos, es incompatible con la sustracción en dichas circunstancias, puesto que dicho tipo gira en torno al valor económico de lo concretamente sustraído. Sin embargo, es posible la aplicación de la agravación en el supuesto de la sustracción de un objeto con valor inferior al límite legal que distingue el tipo básico del delito leve de </w:t>
      </w:r>
      <w:r w:rsidR="00077216">
        <w:rPr>
          <w:rFonts w:ascii="Times New Roman" w:hAnsi="Times New Roman" w:cs="Times New Roman"/>
          <w:sz w:val="24"/>
          <w:szCs w:val="24"/>
        </w:rPr>
        <w:t>hurto, pero que provoca un perjuicio de especial consideración, tomando como base el quebranto causado por la pérdida.</w:t>
      </w:r>
      <w:r w:rsidR="00E87BD1">
        <w:rPr>
          <w:rStyle w:val="Refdenotaalpie"/>
          <w:rFonts w:ascii="Times New Roman" w:hAnsi="Times New Roman" w:cs="Times New Roman"/>
          <w:sz w:val="24"/>
          <w:szCs w:val="24"/>
        </w:rPr>
        <w:footnoteReference w:id="58"/>
      </w:r>
    </w:p>
    <w:p w:rsidR="00077216" w:rsidRDefault="00A17B3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Tras la Reforma operada que aquí examinamos, se va a conseguir una mayor precisión en la definición de la circunstancia ahora tip</w:t>
      </w:r>
      <w:r w:rsidR="00D74B5B">
        <w:rPr>
          <w:rFonts w:ascii="Times New Roman" w:hAnsi="Times New Roman" w:cs="Times New Roman"/>
          <w:sz w:val="24"/>
          <w:szCs w:val="24"/>
        </w:rPr>
        <w:t xml:space="preserve">ificada en el artículo 235.6 CP. En este sentido, al hecho de poner a la víctima o a su familia en grave situación económica o de que se haya realizado abusando de sus circunstancias personales, se le añade el abuso de su situación de desamparo, así como el hecho de aprovechar la producción de un </w:t>
      </w:r>
      <w:r w:rsidR="00D74B5B">
        <w:rPr>
          <w:rFonts w:ascii="Times New Roman" w:hAnsi="Times New Roman" w:cs="Times New Roman"/>
          <w:sz w:val="24"/>
          <w:szCs w:val="24"/>
        </w:rPr>
        <w:lastRenderedPageBreak/>
        <w:t>accidente o la existencia de un riesgo o peligro general para la comunidad, que haya debilitado la defensa del ofendido o, de manera alternativa, facilitado la comisión impune del delito.</w:t>
      </w:r>
      <w:r w:rsidR="00E87BD1">
        <w:rPr>
          <w:rStyle w:val="Refdenotaalpie"/>
          <w:rFonts w:ascii="Times New Roman" w:hAnsi="Times New Roman" w:cs="Times New Roman"/>
          <w:sz w:val="24"/>
          <w:szCs w:val="24"/>
        </w:rPr>
        <w:footnoteReference w:id="59"/>
      </w:r>
      <w:r w:rsidR="00CE2ABF">
        <w:rPr>
          <w:rFonts w:ascii="Times New Roman" w:hAnsi="Times New Roman" w:cs="Times New Roman"/>
          <w:sz w:val="24"/>
          <w:szCs w:val="24"/>
        </w:rPr>
        <w:t>De esta forma, la mayor facilidad para la comisión del delito justifica la especial gravedad del mismo y, aunque claramente se pudiera plantear la poca fundamentación de dicho precepto, puesto que cabe la posibilidad de dirigir su contenido a las propias circunstancias personales de la víctima o a la circunstancia agravante genérica del artículo 22.2</w:t>
      </w:r>
      <w:r w:rsidR="00E1543B">
        <w:rPr>
          <w:rFonts w:ascii="Times New Roman" w:hAnsi="Times New Roman" w:cs="Times New Roman"/>
          <w:sz w:val="24"/>
          <w:szCs w:val="24"/>
        </w:rPr>
        <w:t>ª CP; la mayor seguridad jurídica y protección del bien jurídico, resultaría un aspecto positivo en orden a su tipificación.</w:t>
      </w:r>
      <w:r w:rsidR="00E87BD1">
        <w:rPr>
          <w:rStyle w:val="Refdenotaalpie"/>
          <w:rFonts w:ascii="Times New Roman" w:hAnsi="Times New Roman" w:cs="Times New Roman"/>
          <w:sz w:val="24"/>
          <w:szCs w:val="24"/>
        </w:rPr>
        <w:footnoteReference w:id="60"/>
      </w:r>
      <w:r w:rsidR="00E1543B">
        <w:rPr>
          <w:rFonts w:ascii="Times New Roman" w:hAnsi="Times New Roman" w:cs="Times New Roman"/>
          <w:sz w:val="24"/>
          <w:szCs w:val="24"/>
        </w:rPr>
        <w:t xml:space="preserve"> Otra parte de la doctrina </w:t>
      </w:r>
      <w:r w:rsidR="00B62A4E">
        <w:rPr>
          <w:rFonts w:ascii="Times New Roman" w:hAnsi="Times New Roman" w:cs="Times New Roman"/>
          <w:sz w:val="24"/>
          <w:szCs w:val="24"/>
        </w:rPr>
        <w:t>delimita que este subtipo agravado es innecesario e ininteligible puesto que, en primer lugar, la referencia al ofendido es confusa, en el sentido de que no expresa si se trata del sujeto pasivo del delito (dueño de la cosa sustraída), del sujeto pasivo de la acción típica (poseedor de la cosa en el momento de la acción típica) o del perjudicado por el delito (cualquiera que sufra un deterioro patrimonial como repercusión directa o indirecta de la conducta típica);</w:t>
      </w:r>
      <w:r w:rsidR="0065457A">
        <w:rPr>
          <w:rFonts w:ascii="Times New Roman" w:hAnsi="Times New Roman" w:cs="Times New Roman"/>
          <w:sz w:val="24"/>
          <w:szCs w:val="24"/>
        </w:rPr>
        <w:t xml:space="preserve"> y, en segundo lugar, la referencia a facilitar la comisión impune del delito no es adecuada, en tanto que la punibilidad es un elemento más del concepto de delito (Navarro Blasco, 2015).</w:t>
      </w:r>
      <w:r w:rsidR="00AB702E">
        <w:rPr>
          <w:rStyle w:val="Refdenotaalpie"/>
          <w:rFonts w:ascii="Times New Roman" w:hAnsi="Times New Roman" w:cs="Times New Roman"/>
          <w:sz w:val="24"/>
          <w:szCs w:val="24"/>
        </w:rPr>
        <w:footnoteReference w:id="61"/>
      </w:r>
      <w:r w:rsidR="0065457A">
        <w:rPr>
          <w:rFonts w:ascii="Times New Roman" w:hAnsi="Times New Roman" w:cs="Times New Roman"/>
          <w:sz w:val="24"/>
          <w:szCs w:val="24"/>
        </w:rPr>
        <w:t xml:space="preserve"> Por último, y como crítica a esta novedosa circunstancia, la termi</w:t>
      </w:r>
      <w:r w:rsidR="005B07C0">
        <w:rPr>
          <w:rFonts w:ascii="Times New Roman" w:hAnsi="Times New Roman" w:cs="Times New Roman"/>
          <w:sz w:val="24"/>
          <w:szCs w:val="24"/>
        </w:rPr>
        <w:t>nología utilizada resulta contraria a la precisión requerida en el tipo penal.</w:t>
      </w:r>
    </w:p>
    <w:p w:rsidR="007203CA" w:rsidRDefault="005B07C0"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 analizar la circunstancia séptima contenida en el extenso artículo 235 CP, se comprende su significación como una de las grandes novedades introducida por </w:t>
      </w:r>
      <w:r w:rsidR="009445FC">
        <w:rPr>
          <w:rFonts w:ascii="Times New Roman" w:hAnsi="Times New Roman" w:cs="Times New Roman"/>
          <w:sz w:val="24"/>
          <w:szCs w:val="24"/>
        </w:rPr>
        <w:t>la Ley Orgánica 1/2015, en lo referente</w:t>
      </w:r>
      <w:r>
        <w:rPr>
          <w:rFonts w:ascii="Times New Roman" w:hAnsi="Times New Roman" w:cs="Times New Roman"/>
          <w:sz w:val="24"/>
          <w:szCs w:val="24"/>
        </w:rPr>
        <w:t xml:space="preserve"> a los delitos contra el patrimonio.</w:t>
      </w:r>
      <w:r w:rsidR="009445FC">
        <w:rPr>
          <w:rFonts w:ascii="Times New Roman" w:hAnsi="Times New Roman" w:cs="Times New Roman"/>
          <w:sz w:val="24"/>
          <w:szCs w:val="24"/>
        </w:rPr>
        <w:t xml:space="preserve"> De esta forma, con este tipo agravado relativo a la </w:t>
      </w:r>
      <w:proofErr w:type="spellStart"/>
      <w:r w:rsidR="009445FC">
        <w:rPr>
          <w:rFonts w:ascii="Times New Roman" w:hAnsi="Times New Roman" w:cs="Times New Roman"/>
          <w:sz w:val="24"/>
          <w:szCs w:val="24"/>
        </w:rPr>
        <w:t>multireincidencia</w:t>
      </w:r>
      <w:proofErr w:type="spellEnd"/>
      <w:r w:rsidR="009445FC">
        <w:rPr>
          <w:rFonts w:ascii="Times New Roman" w:hAnsi="Times New Roman" w:cs="Times New Roman"/>
          <w:sz w:val="24"/>
          <w:szCs w:val="24"/>
        </w:rPr>
        <w:t>, se da solución a la tipificación de la delincuencia patrimonial habitual, aspecto que no han sabido abordar las Leyes Orgánicas 15/2003 y 5/2010.</w:t>
      </w:r>
      <w:r w:rsidR="00AB702E">
        <w:rPr>
          <w:rStyle w:val="Refdenotaalpie"/>
          <w:rFonts w:ascii="Times New Roman" w:hAnsi="Times New Roman" w:cs="Times New Roman"/>
          <w:sz w:val="24"/>
          <w:szCs w:val="24"/>
        </w:rPr>
        <w:footnoteReference w:id="62"/>
      </w:r>
      <w:r w:rsidR="00E13204">
        <w:rPr>
          <w:rFonts w:ascii="Times New Roman" w:hAnsi="Times New Roman" w:cs="Times New Roman"/>
          <w:sz w:val="24"/>
          <w:szCs w:val="24"/>
        </w:rPr>
        <w:t xml:space="preserve"> Pero, además de su carácter novedoso, destacar la problemática de dicha circunstancia</w:t>
      </w:r>
      <w:r w:rsidR="00C301CD">
        <w:rPr>
          <w:rFonts w:ascii="Times New Roman" w:hAnsi="Times New Roman" w:cs="Times New Roman"/>
          <w:sz w:val="24"/>
          <w:szCs w:val="24"/>
        </w:rPr>
        <w:t>, aunque la misma ha sido minimizada a lo largo de su tramitación parlamentaria.</w:t>
      </w:r>
      <w:r w:rsidR="00AB702E">
        <w:rPr>
          <w:rStyle w:val="Refdenotaalpie"/>
          <w:rFonts w:ascii="Times New Roman" w:hAnsi="Times New Roman" w:cs="Times New Roman"/>
          <w:sz w:val="24"/>
          <w:szCs w:val="24"/>
        </w:rPr>
        <w:footnoteReference w:id="63"/>
      </w:r>
      <w:r w:rsidR="00C301CD">
        <w:rPr>
          <w:rFonts w:ascii="Times New Roman" w:hAnsi="Times New Roman" w:cs="Times New Roman"/>
          <w:sz w:val="24"/>
          <w:szCs w:val="24"/>
        </w:rPr>
        <w:t xml:space="preserve"> En este sentido, el Proyecto de Ley presentado en 2013 </w:t>
      </w:r>
      <w:r w:rsidR="00C301CD">
        <w:rPr>
          <w:rFonts w:ascii="Times New Roman" w:hAnsi="Times New Roman" w:cs="Times New Roman"/>
          <w:sz w:val="24"/>
          <w:szCs w:val="24"/>
        </w:rPr>
        <w:lastRenderedPageBreak/>
        <w:t>disponía la concurrencia de dicha circunstancia en el caso de que el autor actuara con profesionalidad</w:t>
      </w:r>
      <w:r w:rsidR="00A67C08">
        <w:rPr>
          <w:rFonts w:ascii="Times New Roman" w:hAnsi="Times New Roman" w:cs="Times New Roman"/>
          <w:sz w:val="24"/>
          <w:szCs w:val="24"/>
        </w:rPr>
        <w:t>, existiendo la misma cuando éste</w:t>
      </w:r>
      <w:r w:rsidR="00C301CD">
        <w:rPr>
          <w:rFonts w:ascii="Times New Roman" w:hAnsi="Times New Roman" w:cs="Times New Roman"/>
          <w:sz w:val="24"/>
          <w:szCs w:val="24"/>
        </w:rPr>
        <w:t xml:space="preserve"> actú</w:t>
      </w:r>
      <w:r w:rsidR="00A67C08">
        <w:rPr>
          <w:rFonts w:ascii="Times New Roman" w:hAnsi="Times New Roman" w:cs="Times New Roman"/>
          <w:sz w:val="24"/>
          <w:szCs w:val="24"/>
        </w:rPr>
        <w:t xml:space="preserve">a con la intención de proveerse de </w:t>
      </w:r>
      <w:r w:rsidR="00C301CD">
        <w:rPr>
          <w:rFonts w:ascii="Times New Roman" w:hAnsi="Times New Roman" w:cs="Times New Roman"/>
          <w:sz w:val="24"/>
          <w:szCs w:val="24"/>
        </w:rPr>
        <w:t xml:space="preserve">una fuente de ingresos </w:t>
      </w:r>
      <w:r w:rsidR="00A67C08">
        <w:rPr>
          <w:rFonts w:ascii="Times New Roman" w:hAnsi="Times New Roman" w:cs="Times New Roman"/>
          <w:sz w:val="24"/>
          <w:szCs w:val="24"/>
        </w:rPr>
        <w:t xml:space="preserve">no meramente puntual. Como bien se puede leer de dicha definición, </w:t>
      </w:r>
      <w:r w:rsidR="00B567A3">
        <w:rPr>
          <w:rFonts w:ascii="Times New Roman" w:hAnsi="Times New Roman" w:cs="Times New Roman"/>
          <w:sz w:val="24"/>
          <w:szCs w:val="24"/>
        </w:rPr>
        <w:t>se esperaban graves problemas interpretativos en la aplicación de esta modalidad agravada, teniendo en cuenta la indeterminación de los términos utilizados y, más concretamente, la ausencia de una especificación clara de la voluntad del autor, así como de la frecuencia de la acción cometida.</w:t>
      </w:r>
      <w:r w:rsidR="003831B8">
        <w:rPr>
          <w:rFonts w:ascii="Times New Roman" w:hAnsi="Times New Roman" w:cs="Times New Roman"/>
          <w:sz w:val="24"/>
          <w:szCs w:val="24"/>
        </w:rPr>
        <w:t xml:space="preserve"> Además de lo aquí señalado, la jurisprudencia constitucional cuestionó la constitucionalidad de la delincuencia del autor, tomando como base el principio de culpabilidad. Remitiéndome a la Sentencia del Tribunal Constitucional 185/2014, la misma señala </w:t>
      </w:r>
      <w:r w:rsidR="000B2CF6">
        <w:rPr>
          <w:rFonts w:ascii="Times New Roman" w:hAnsi="Times New Roman" w:cs="Times New Roman"/>
          <w:sz w:val="24"/>
          <w:szCs w:val="24"/>
        </w:rPr>
        <w:t>la inconstitucionalidad de un Derecho penal que estableciera las penas en función de la personalidad del sujeto activo, y no atendiendo a la culpabilidad de éste en la ejecución de los hechos</w:t>
      </w:r>
      <w:r w:rsidR="00F25399">
        <w:rPr>
          <w:rFonts w:ascii="Times New Roman" w:hAnsi="Times New Roman" w:cs="Times New Roman"/>
          <w:sz w:val="24"/>
          <w:szCs w:val="24"/>
        </w:rPr>
        <w:t>;</w:t>
      </w:r>
      <w:r w:rsidR="000B2CF6">
        <w:rPr>
          <w:rFonts w:ascii="Times New Roman" w:hAnsi="Times New Roman" w:cs="Times New Roman"/>
          <w:sz w:val="24"/>
          <w:szCs w:val="24"/>
        </w:rPr>
        <w:t xml:space="preserve"> además de resultar contrario al principio de legalidad</w:t>
      </w:r>
      <w:r w:rsidR="00F25399">
        <w:rPr>
          <w:rFonts w:ascii="Times New Roman" w:hAnsi="Times New Roman" w:cs="Times New Roman"/>
          <w:sz w:val="24"/>
          <w:szCs w:val="24"/>
        </w:rPr>
        <w:t>,</w:t>
      </w:r>
      <w:r w:rsidR="000B2CF6">
        <w:rPr>
          <w:rFonts w:ascii="Times New Roman" w:hAnsi="Times New Roman" w:cs="Times New Roman"/>
          <w:sz w:val="24"/>
          <w:szCs w:val="24"/>
        </w:rPr>
        <w:t xml:space="preserve"> el hecho de que un ciudadano vea agravada su situación penal con fundamento en meras </w:t>
      </w:r>
      <w:r w:rsidR="00F25399">
        <w:rPr>
          <w:rFonts w:ascii="Times New Roman" w:hAnsi="Times New Roman" w:cs="Times New Roman"/>
          <w:sz w:val="24"/>
          <w:szCs w:val="24"/>
        </w:rPr>
        <w:t xml:space="preserve">imputaciones o presunciones. De esta forma, y como correctamente aclara parte de la doctrina (Jaén Vallejo, Martínez Arrieta…), se rechazó la utilización del término ``profesionalidad´´ en la descripción de la conducta típica, en tanto que la aplicación de dicho concepto no casa con un </w:t>
      </w:r>
      <w:r w:rsidR="00455BAC">
        <w:rPr>
          <w:rFonts w:ascii="Times New Roman" w:hAnsi="Times New Roman" w:cs="Times New Roman"/>
          <w:sz w:val="24"/>
          <w:szCs w:val="24"/>
        </w:rPr>
        <w:t>Derecho penal fundamentado en el principio de culpabilidad, por lo que, por más que existan sospechas sobre la dedicación del autor a la ejecución reiterada de delitos contra la propiedad, la agravación en cuestión sólo puede venir derivada de conductas acreditadas en sentencia firme.</w:t>
      </w:r>
      <w:r w:rsidR="00E316AC">
        <w:rPr>
          <w:rStyle w:val="Refdenotaalpie"/>
          <w:rFonts w:ascii="Times New Roman" w:hAnsi="Times New Roman" w:cs="Times New Roman"/>
          <w:sz w:val="24"/>
          <w:szCs w:val="24"/>
        </w:rPr>
        <w:footnoteReference w:id="64"/>
      </w:r>
      <w:r w:rsidR="00455BAC">
        <w:rPr>
          <w:rFonts w:ascii="Times New Roman" w:hAnsi="Times New Roman" w:cs="Times New Roman"/>
          <w:sz w:val="24"/>
          <w:szCs w:val="24"/>
        </w:rPr>
        <w:t xml:space="preserve"> Una vez delimitada esta cuestión</w:t>
      </w:r>
      <w:r w:rsidR="00004617">
        <w:rPr>
          <w:rFonts w:ascii="Times New Roman" w:hAnsi="Times New Roman" w:cs="Times New Roman"/>
          <w:sz w:val="24"/>
          <w:szCs w:val="24"/>
        </w:rPr>
        <w:t>, la redacción definitiva del precepto, para la correspondiente aplicación de la modalidad agravada, va a requerir la condena ejecutoria al menos por tres delitos comprendidos en el Título del Código Penal en cuestión, con el requisito de que sean de la misma naturaleza.</w:t>
      </w:r>
      <w:r w:rsidR="00E316AC">
        <w:rPr>
          <w:rStyle w:val="Refdenotaalpie"/>
          <w:rFonts w:ascii="Times New Roman" w:hAnsi="Times New Roman" w:cs="Times New Roman"/>
          <w:sz w:val="24"/>
          <w:szCs w:val="24"/>
        </w:rPr>
        <w:footnoteReference w:id="65"/>
      </w:r>
      <w:r w:rsidR="00941E29">
        <w:rPr>
          <w:rFonts w:ascii="Times New Roman" w:hAnsi="Times New Roman" w:cs="Times New Roman"/>
          <w:sz w:val="24"/>
          <w:szCs w:val="24"/>
        </w:rPr>
        <w:t xml:space="preserve"> De este modo, tras la consideración típica de excluir la consideración como delito leve, en el caso de que concurra alguna de las circunstancias de agravación establecidas en el artículo 235 CP, en concreto, la comisión reiterada de delitos contra la propiedad y el patrimonio; se solucionan los problemas derivados de la </w:t>
      </w:r>
      <w:proofErr w:type="spellStart"/>
      <w:r w:rsidR="00941E29">
        <w:rPr>
          <w:rFonts w:ascii="Times New Roman" w:hAnsi="Times New Roman" w:cs="Times New Roman"/>
          <w:sz w:val="24"/>
          <w:szCs w:val="24"/>
        </w:rPr>
        <w:t>multirreincidencia</w:t>
      </w:r>
      <w:proofErr w:type="spellEnd"/>
      <w:r w:rsidR="00C91C75">
        <w:rPr>
          <w:rFonts w:ascii="Times New Roman" w:hAnsi="Times New Roman" w:cs="Times New Roman"/>
          <w:sz w:val="24"/>
          <w:szCs w:val="24"/>
        </w:rPr>
        <w:t xml:space="preserve">, en el sentido de que los delincuentes habituales podrán ser castigados como autores de un delito agravado de hurto castigado con penas de prisión de uno a tres años, siendo, en un momento anterior </w:t>
      </w:r>
      <w:r w:rsidR="00C91C75">
        <w:rPr>
          <w:rFonts w:ascii="Times New Roman" w:hAnsi="Times New Roman" w:cs="Times New Roman"/>
          <w:sz w:val="24"/>
          <w:szCs w:val="24"/>
        </w:rPr>
        <w:lastRenderedPageBreak/>
        <w:t>a la Reforma, condenados por meras faltas.</w:t>
      </w:r>
      <w:r w:rsidR="000B1210">
        <w:rPr>
          <w:rFonts w:ascii="Times New Roman" w:hAnsi="Times New Roman" w:cs="Times New Roman"/>
          <w:sz w:val="24"/>
          <w:szCs w:val="24"/>
        </w:rPr>
        <w:t xml:space="preserve"> Por lo tanto, en aquellos supuestos en los que el sujeto activo haya sido condenado con anterioridad en sentencia ejecutoria por tres delitos leves de hurto, será de aplicación el tipo agravado en cuestión, lo que a todos los efectos será una agravación desproporcionada.</w:t>
      </w:r>
      <w:r w:rsidR="00E316AC">
        <w:rPr>
          <w:rStyle w:val="Refdenotaalpie"/>
          <w:rFonts w:ascii="Times New Roman" w:hAnsi="Times New Roman" w:cs="Times New Roman"/>
          <w:sz w:val="24"/>
          <w:szCs w:val="24"/>
        </w:rPr>
        <w:footnoteReference w:id="66"/>
      </w:r>
      <w:r w:rsidR="00E815F4">
        <w:rPr>
          <w:rFonts w:ascii="Times New Roman" w:hAnsi="Times New Roman" w:cs="Times New Roman"/>
          <w:sz w:val="24"/>
          <w:szCs w:val="24"/>
        </w:rPr>
        <w:t xml:space="preserve"> Pero, de esta forma, se fortalece la protección penal en los delitos de hurto, apostando por esta medida en lugar  de realizar un reforzamiento de las medidas de seguridad o, más específicamente, una mejor regu</w:t>
      </w:r>
      <w:r w:rsidR="007203CA">
        <w:rPr>
          <w:rFonts w:ascii="Times New Roman" w:hAnsi="Times New Roman" w:cs="Times New Roman"/>
          <w:sz w:val="24"/>
          <w:szCs w:val="24"/>
        </w:rPr>
        <w:t>lación de la libertad vigilada.</w:t>
      </w:r>
      <w:r w:rsidR="00E316AC">
        <w:rPr>
          <w:rStyle w:val="Refdenotaalpie"/>
          <w:rFonts w:ascii="Times New Roman" w:hAnsi="Times New Roman" w:cs="Times New Roman"/>
          <w:sz w:val="24"/>
          <w:szCs w:val="24"/>
        </w:rPr>
        <w:footnoteReference w:id="67"/>
      </w:r>
      <w:r w:rsidR="00B07B96">
        <w:rPr>
          <w:rFonts w:ascii="Times New Roman" w:hAnsi="Times New Roman" w:cs="Times New Roman"/>
          <w:sz w:val="24"/>
          <w:szCs w:val="24"/>
        </w:rPr>
        <w:t xml:space="preserve"> Atendiendo a Muñoz Conde, se tiene como objetivo el fortalecimiento de la respuesta punitiva hacia los casos de reincidencia, </w:t>
      </w:r>
      <w:r w:rsidR="00751B51">
        <w:rPr>
          <w:rFonts w:ascii="Times New Roman" w:hAnsi="Times New Roman" w:cs="Times New Roman"/>
          <w:sz w:val="24"/>
          <w:szCs w:val="24"/>
        </w:rPr>
        <w:t>derivado en la práctica del modo de comisión realizado por los ´´ carteristas ´´, los cuales aprovechan los lugares con grandes aglomeraciones de gente, para la perpetración del delito.</w:t>
      </w:r>
      <w:r w:rsidR="00751B51">
        <w:rPr>
          <w:rStyle w:val="Refdenotaalpie"/>
          <w:rFonts w:ascii="Times New Roman" w:hAnsi="Times New Roman" w:cs="Times New Roman"/>
          <w:sz w:val="24"/>
          <w:szCs w:val="24"/>
        </w:rPr>
        <w:footnoteReference w:id="68"/>
      </w:r>
    </w:p>
    <w:p w:rsidR="007203CA" w:rsidRDefault="00941E2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203CA">
        <w:rPr>
          <w:rFonts w:ascii="Times New Roman" w:hAnsi="Times New Roman" w:cs="Times New Roman"/>
          <w:sz w:val="24"/>
          <w:szCs w:val="24"/>
        </w:rPr>
        <w:t xml:space="preserve">La circunstancia octava comprendida en la tipificación actual del artículo 235 CP, se basa en una modalidad agravada definida por la utilización de menores de 16 años para la comisión del delito en cuestión. Sin una justificación clara, dicha edad es aumentada en dos años tras la Reforma que aquí analizamos, respecto a su tipificación anterior derivada de la Ley Orgánica 5/2010, de 22 de junio. En lo que se refiere a la razón de su incorporación, la misma se debe a la inimputabilidad del menor, comprendiendo, de esta forma, los casos de autoría mediata en los que se utiliza al menor irresponsable como autor material de la acción típica. En un análisis conjunto de la Reforma, se puede pensar que el legislador ha trasladado la elevación de la edad penal para consentir en el ámbito de los delitos sexuales, al plano de los delitos patrimoniales de apoderamiento; aunque dicho argumento no es suficiente, en el sentido de que el menor de 16 años (y mayor de 14 años) será responsable penalmente, teniendo en cuenta lo contenido en la Ley Orgánica 5/2010 sobre responsabilidad penal de menores. De esta manera, entiendo que se trata de una modalidad agravada discutible, siendo necesario un examen de la intervención del menor de 16 años, en el sentido de que pueda ser calificada como autoría o participación, actuando el mismo de una forma consciente y voluntaria, debido a que, de no hacer dicho análisis, se puede perder la esencia de la circunstancia </w:t>
      </w:r>
      <w:r w:rsidR="007203CA">
        <w:rPr>
          <w:rFonts w:ascii="Times New Roman" w:hAnsi="Times New Roman" w:cs="Times New Roman"/>
          <w:sz w:val="24"/>
          <w:szCs w:val="24"/>
        </w:rPr>
        <w:lastRenderedPageBreak/>
        <w:t>agravante que aquí traemos a colación.</w:t>
      </w:r>
      <w:r w:rsidR="003B0140">
        <w:rPr>
          <w:rStyle w:val="Refdenotaalpie"/>
          <w:rFonts w:ascii="Times New Roman" w:hAnsi="Times New Roman" w:cs="Times New Roman"/>
          <w:sz w:val="24"/>
          <w:szCs w:val="24"/>
        </w:rPr>
        <w:footnoteReference w:id="69"/>
      </w:r>
      <w:r w:rsidR="007203CA">
        <w:rPr>
          <w:rFonts w:ascii="Times New Roman" w:hAnsi="Times New Roman" w:cs="Times New Roman"/>
          <w:sz w:val="24"/>
          <w:szCs w:val="24"/>
        </w:rPr>
        <w:t xml:space="preserve"> </w:t>
      </w:r>
      <w:r w:rsidR="00966281">
        <w:rPr>
          <w:rFonts w:ascii="Times New Roman" w:hAnsi="Times New Roman" w:cs="Times New Roman"/>
          <w:sz w:val="24"/>
          <w:szCs w:val="24"/>
        </w:rPr>
        <w:t>La aplicación del tipo cualificado en cuestión debe tener un carácter restrictivo, en el sentido de su aplicación, para el caso de mayores de catorce años, pero menores de dieciséis, cuando no actúe de una manera típica, por el hecho de faltar en su persona el elemento subjetivo confluyente en el tipo en cuestión.</w:t>
      </w:r>
      <w:r w:rsidR="00966281">
        <w:rPr>
          <w:rStyle w:val="Refdenotaalpie"/>
          <w:rFonts w:ascii="Times New Roman" w:hAnsi="Times New Roman" w:cs="Times New Roman"/>
          <w:sz w:val="24"/>
          <w:szCs w:val="24"/>
        </w:rPr>
        <w:footnoteReference w:id="70"/>
      </w:r>
      <w:r w:rsidR="00966281">
        <w:rPr>
          <w:rFonts w:ascii="Times New Roman" w:hAnsi="Times New Roman" w:cs="Times New Roman"/>
          <w:sz w:val="24"/>
          <w:szCs w:val="24"/>
        </w:rPr>
        <w:t xml:space="preserve"> </w:t>
      </w:r>
      <w:r w:rsidR="007203CA">
        <w:rPr>
          <w:rFonts w:ascii="Times New Roman" w:hAnsi="Times New Roman" w:cs="Times New Roman"/>
          <w:sz w:val="24"/>
          <w:szCs w:val="24"/>
        </w:rPr>
        <w:t>Por último, hacer referencia a la indiferencia del valor concreto de lo sustraído, puesto que dicha modalidad será de aplicación, con el hecho de cumplir sus exigencias típicas.</w:t>
      </w:r>
    </w:p>
    <w:p w:rsidR="007203CA" w:rsidRDefault="007203C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La última modalidad agravada del delito de hurto que, como las demás, ser</w:t>
      </w:r>
      <w:r w:rsidR="00EF6C4C">
        <w:rPr>
          <w:rFonts w:ascii="Times New Roman" w:hAnsi="Times New Roman" w:cs="Times New Roman"/>
          <w:sz w:val="24"/>
          <w:szCs w:val="24"/>
        </w:rPr>
        <w:t>á de aplicación</w:t>
      </w:r>
      <w:r>
        <w:rPr>
          <w:rFonts w:ascii="Times New Roman" w:hAnsi="Times New Roman" w:cs="Times New Roman"/>
          <w:sz w:val="24"/>
          <w:szCs w:val="24"/>
        </w:rPr>
        <w:t xml:space="preserve"> al delito de robo, </w:t>
      </w:r>
      <w:r w:rsidR="00EF6C4C">
        <w:rPr>
          <w:rFonts w:ascii="Times New Roman" w:hAnsi="Times New Roman" w:cs="Times New Roman"/>
          <w:sz w:val="24"/>
          <w:szCs w:val="24"/>
        </w:rPr>
        <w:t>concurrirá en el caso de que el autor participara en los hechos como miembro de una organización criminal que se dedicara a la realización de delitos comprendidos en el Título XIII del CP, siempre que tengan la naturaleza de apoderamiento.</w:t>
      </w:r>
      <w:r w:rsidR="00A37204">
        <w:rPr>
          <w:rFonts w:ascii="Times New Roman" w:hAnsi="Times New Roman" w:cs="Times New Roman"/>
          <w:sz w:val="24"/>
          <w:szCs w:val="24"/>
        </w:rPr>
        <w:t xml:space="preserve"> En un análisis crítico de esta </w:t>
      </w:r>
      <w:r w:rsidR="003346A8">
        <w:rPr>
          <w:rFonts w:ascii="Times New Roman" w:hAnsi="Times New Roman" w:cs="Times New Roman"/>
          <w:sz w:val="24"/>
          <w:szCs w:val="24"/>
        </w:rPr>
        <w:t>circunstancia, la misma ha llegado a calificarse como innecesaria, en relación con los artículos 515 a 521 CP, que tipifican los delitos de asociación ilícita, así como más en detalle, con los artículos 570 bis y 570 ter, los cuales ofrecen una respuesta penal a determinadas actuaciones relacionadas con las organizaciones y grupos criminales.</w:t>
      </w:r>
      <w:r w:rsidR="00B923E5">
        <w:rPr>
          <w:rStyle w:val="Refdenotaalpie"/>
          <w:rFonts w:ascii="Times New Roman" w:hAnsi="Times New Roman" w:cs="Times New Roman"/>
          <w:sz w:val="24"/>
          <w:szCs w:val="24"/>
        </w:rPr>
        <w:footnoteReference w:id="71"/>
      </w:r>
      <w:r w:rsidR="00EF27F4">
        <w:rPr>
          <w:rFonts w:ascii="Times New Roman" w:hAnsi="Times New Roman" w:cs="Times New Roman"/>
          <w:sz w:val="24"/>
          <w:szCs w:val="24"/>
        </w:rPr>
        <w:t xml:space="preserve"> De hecho, destacar que los conceptos de organización y grupo criminal son normativos, en tanto que vienen definidos en el Código penal, por lo que, de una lectura detenida de</w:t>
      </w:r>
      <w:r w:rsidR="002411BF">
        <w:rPr>
          <w:rFonts w:ascii="Times New Roman" w:hAnsi="Times New Roman" w:cs="Times New Roman"/>
          <w:sz w:val="24"/>
          <w:szCs w:val="24"/>
        </w:rPr>
        <w:t xml:space="preserve"> los artículos anteriores y teniendo en cuenta la STS 603/2014, de 23/9/2014, que se remite a la STS 576/2014, de 18 de julio; se puede determinar los elementos comunes de ambos conceptos señalados, en razón a la unión de más de dos personas y al objetivo de cometer delitos concertadamente, aunque su diferencia estriba en la mayor complejidad organizativa de la organización criminal</w:t>
      </w:r>
      <w:r w:rsidR="000F4121">
        <w:rPr>
          <w:rFonts w:ascii="Times New Roman" w:hAnsi="Times New Roman" w:cs="Times New Roman"/>
          <w:sz w:val="24"/>
          <w:szCs w:val="24"/>
        </w:rPr>
        <w:t xml:space="preserve">, justificando la estabilidad temporal y la complejidad estructural (elementos no incorporados al concepto de grupo criminal), una mayor sanción en proporción a un incremento de la capacidad de lesión. Claramente, tanto la organización como el grupo criminal están orientados a la ejecución de una pluralidad de hechos delictivos, por lo que no serán </w:t>
      </w:r>
      <w:r w:rsidR="001E6A51">
        <w:rPr>
          <w:rFonts w:ascii="Times New Roman" w:hAnsi="Times New Roman" w:cs="Times New Roman"/>
          <w:sz w:val="24"/>
          <w:szCs w:val="24"/>
        </w:rPr>
        <w:t xml:space="preserve">de aplicación estos conceptos a los casos de codelincuencia, en los que se agrupen varias personas para la comisión de un delito concreto. Lo aquí mencionado ha sido reconocido jurisprudencialmente en la STS 544/2012, de 2 de julio, y en la STS 719/2013, de 9 de octubre; no pudiendo </w:t>
      </w:r>
      <w:r w:rsidR="001E6A51">
        <w:rPr>
          <w:rFonts w:ascii="Times New Roman" w:hAnsi="Times New Roman" w:cs="Times New Roman"/>
          <w:sz w:val="24"/>
          <w:szCs w:val="24"/>
        </w:rPr>
        <w:lastRenderedPageBreak/>
        <w:t>consolidarse una organización o grupo criminal, por la simple organización de funci</w:t>
      </w:r>
      <w:r w:rsidR="0079105C">
        <w:rPr>
          <w:rFonts w:ascii="Times New Roman" w:hAnsi="Times New Roman" w:cs="Times New Roman"/>
          <w:sz w:val="24"/>
          <w:szCs w:val="24"/>
        </w:rPr>
        <w:t>ones entre varios sujetos con el objetivo de cometer un delito específico.</w:t>
      </w:r>
      <w:r w:rsidR="00B923E5">
        <w:rPr>
          <w:rStyle w:val="Refdenotaalpie"/>
          <w:rFonts w:ascii="Times New Roman" w:hAnsi="Times New Roman" w:cs="Times New Roman"/>
          <w:sz w:val="24"/>
          <w:szCs w:val="24"/>
        </w:rPr>
        <w:footnoteReference w:id="72"/>
      </w:r>
      <w:r w:rsidR="0079105C">
        <w:rPr>
          <w:rFonts w:ascii="Times New Roman" w:hAnsi="Times New Roman" w:cs="Times New Roman"/>
          <w:sz w:val="24"/>
          <w:szCs w:val="24"/>
        </w:rPr>
        <w:t xml:space="preserve"> </w:t>
      </w:r>
      <w:r w:rsidR="00E71A3B">
        <w:rPr>
          <w:rFonts w:ascii="Times New Roman" w:hAnsi="Times New Roman" w:cs="Times New Roman"/>
          <w:sz w:val="24"/>
          <w:szCs w:val="24"/>
        </w:rPr>
        <w:t>La cuestión de la naturaleza de los delitos cometidos genera problemas interpretativos, resueltos, en parte, gracias a la jurisprudencia del Tribunal Supremo, la cual manifiesta la necesidad de concurrencia de que los hechos afecten al mismo bien jurídico, además de utilizar un similar modo de comisión (no es lo mismo la actividad delictiva realizada en el robo que la ejecutada en el delito de hurto).</w:t>
      </w:r>
      <w:r w:rsidR="00E71A3B">
        <w:rPr>
          <w:rStyle w:val="Refdenotaalpie"/>
          <w:rFonts w:ascii="Times New Roman" w:hAnsi="Times New Roman" w:cs="Times New Roman"/>
          <w:sz w:val="24"/>
          <w:szCs w:val="24"/>
        </w:rPr>
        <w:footnoteReference w:id="73"/>
      </w:r>
      <w:r w:rsidR="00E71A3B">
        <w:rPr>
          <w:rFonts w:ascii="Times New Roman" w:hAnsi="Times New Roman" w:cs="Times New Roman"/>
          <w:sz w:val="24"/>
          <w:szCs w:val="24"/>
        </w:rPr>
        <w:t xml:space="preserve"> </w:t>
      </w:r>
      <w:r w:rsidR="0079105C">
        <w:rPr>
          <w:rFonts w:ascii="Times New Roman" w:hAnsi="Times New Roman" w:cs="Times New Roman"/>
          <w:sz w:val="24"/>
          <w:szCs w:val="24"/>
        </w:rPr>
        <w:t>Por último, comentar la inclusión de la modalidad agravada en cuestión en el trámite parlamentario en el Senado, no recogiéndose la misma en un momento inicial.</w:t>
      </w:r>
    </w:p>
    <w:p w:rsidR="0079105C" w:rsidRDefault="0079105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Finalmente, para concluir con este desarrollo del catálogo de agravantes, no tuvo éxito la intención de incluir la modalidad relativa </w:t>
      </w:r>
      <w:r w:rsidR="00464961">
        <w:rPr>
          <w:rFonts w:ascii="Times New Roman" w:hAnsi="Times New Roman" w:cs="Times New Roman"/>
          <w:sz w:val="24"/>
          <w:szCs w:val="24"/>
        </w:rPr>
        <w:t xml:space="preserve">al porte de arma u otro instrumento peligroso. Claramente, dicha arma no se muestra </w:t>
      </w:r>
      <w:r w:rsidR="00E71A3B">
        <w:rPr>
          <w:rFonts w:ascii="Times New Roman" w:hAnsi="Times New Roman" w:cs="Times New Roman"/>
          <w:sz w:val="24"/>
          <w:szCs w:val="24"/>
        </w:rPr>
        <w:t>por el sujeto activo puesto que</w:t>
      </w:r>
      <w:r w:rsidR="00464961">
        <w:rPr>
          <w:rFonts w:ascii="Times New Roman" w:hAnsi="Times New Roman" w:cs="Times New Roman"/>
          <w:sz w:val="24"/>
          <w:szCs w:val="24"/>
        </w:rPr>
        <w:t xml:space="preserve">, de lo contrario, se estaría ante un caso de robo con intimidación, debiendo hacer una remisión a la STC 105/1988, de 8 de junio, la </w:t>
      </w:r>
      <w:r w:rsidR="00B94BA8">
        <w:rPr>
          <w:rFonts w:ascii="Times New Roman" w:hAnsi="Times New Roman" w:cs="Times New Roman"/>
          <w:sz w:val="24"/>
          <w:szCs w:val="24"/>
        </w:rPr>
        <w:t xml:space="preserve">cual delimita que es contrario a la presunción de inocencia, entender que la sola tenencia de un instrumento peligroso es suficiente para corroborar su destino a la ejecución del delito en cuestión. Además de lo aquí señalado, la imposición de una pena superior no se fundamenta por un mayor desvalor del resultado, de manera que si el uso de una arma </w:t>
      </w:r>
      <w:r w:rsidR="001622DF">
        <w:rPr>
          <w:rFonts w:ascii="Times New Roman" w:hAnsi="Times New Roman" w:cs="Times New Roman"/>
          <w:sz w:val="24"/>
          <w:szCs w:val="24"/>
        </w:rPr>
        <w:t>origina un peligro para la vida o integridad física del sujeto pasivo, será de aplicación el delito de robo con violencia o intimidación en las personas, en su modalidad agravada.</w:t>
      </w:r>
      <w:r w:rsidR="00132C75">
        <w:rPr>
          <w:rStyle w:val="Refdenotaalpie"/>
          <w:rFonts w:ascii="Times New Roman" w:hAnsi="Times New Roman" w:cs="Times New Roman"/>
          <w:sz w:val="24"/>
          <w:szCs w:val="24"/>
        </w:rPr>
        <w:footnoteReference w:id="74"/>
      </w:r>
    </w:p>
    <w:p w:rsidR="001622DF" w:rsidRDefault="00231D6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Una vez desarrollado cada una de las circunstancias agravatorias del delito de hurto, aplicables en igual sentido a la figura del robo, conveniente hacer mención al artículo 235.2 CP que, en sintonía </w:t>
      </w:r>
      <w:r w:rsidR="00A80249">
        <w:rPr>
          <w:rFonts w:ascii="Times New Roman" w:hAnsi="Times New Roman" w:cs="Times New Roman"/>
          <w:sz w:val="24"/>
          <w:szCs w:val="24"/>
        </w:rPr>
        <w:t>con la idea de la Reforma de endurecer las penas para aquellas conductas más graves, impone la pena dispuesta en el artículo 235.1 CP en su mitad superior, en el caso de que concurran dos o más modalidades agravadas.</w:t>
      </w:r>
      <w:r w:rsidR="00132C75">
        <w:rPr>
          <w:rStyle w:val="Refdenotaalpie"/>
          <w:rFonts w:ascii="Times New Roman" w:hAnsi="Times New Roman" w:cs="Times New Roman"/>
          <w:sz w:val="24"/>
          <w:szCs w:val="24"/>
        </w:rPr>
        <w:footnoteReference w:id="75"/>
      </w:r>
      <w:r w:rsidR="00661921">
        <w:rPr>
          <w:rFonts w:ascii="Times New Roman" w:hAnsi="Times New Roman" w:cs="Times New Roman"/>
          <w:sz w:val="24"/>
          <w:szCs w:val="24"/>
        </w:rPr>
        <w:t xml:space="preserve"> Pero, si nos movemos a un momento anterior a la Reforma, concretamente, en el Proyecto </w:t>
      </w:r>
      <w:r w:rsidR="00661921">
        <w:rPr>
          <w:rFonts w:ascii="Times New Roman" w:hAnsi="Times New Roman" w:cs="Times New Roman"/>
          <w:sz w:val="24"/>
          <w:szCs w:val="24"/>
        </w:rPr>
        <w:lastRenderedPageBreak/>
        <w:t xml:space="preserve">aprobado en 2013, era en el artículo 235 bis donde tenía cabida la </w:t>
      </w:r>
      <w:proofErr w:type="spellStart"/>
      <w:r w:rsidR="00661921">
        <w:rPr>
          <w:rFonts w:ascii="Times New Roman" w:hAnsi="Times New Roman" w:cs="Times New Roman"/>
          <w:sz w:val="24"/>
          <w:szCs w:val="24"/>
        </w:rPr>
        <w:t>hiperagravación</w:t>
      </w:r>
      <w:proofErr w:type="spellEnd"/>
      <w:r w:rsidR="00661921">
        <w:rPr>
          <w:rFonts w:ascii="Times New Roman" w:hAnsi="Times New Roman" w:cs="Times New Roman"/>
          <w:sz w:val="24"/>
          <w:szCs w:val="24"/>
        </w:rPr>
        <w:t xml:space="preserve"> por la concurrencia de dos circunstancias, pero limitándose al porte de armas u otro instrumento peligroso y a la pertenencia a organización o grupo criminal, o, alternativamente, cuando ésta última concurriera con alguna de las circunstancias tipificadas en el artículo 235.1 CP.</w:t>
      </w:r>
      <w:r w:rsidR="000E6F53">
        <w:rPr>
          <w:rFonts w:ascii="Times New Roman" w:hAnsi="Times New Roman" w:cs="Times New Roman"/>
          <w:sz w:val="24"/>
          <w:szCs w:val="24"/>
        </w:rPr>
        <w:t xml:space="preserve"> Una vez desaparecido el mencionado artículo, al situarse la concurrencia de circunstancias agravatorias en el artículo 235.2 CP, se amplía su ámbito de aplicación de manera generalizada a cada una de las tipificadas en el apartado anterior.</w:t>
      </w:r>
      <w:r w:rsidR="00132C75">
        <w:rPr>
          <w:rStyle w:val="Refdenotaalpie"/>
          <w:rFonts w:ascii="Times New Roman" w:hAnsi="Times New Roman" w:cs="Times New Roman"/>
          <w:sz w:val="24"/>
          <w:szCs w:val="24"/>
        </w:rPr>
        <w:footnoteReference w:id="76"/>
      </w:r>
    </w:p>
    <w:p w:rsidR="000E6F53" w:rsidRDefault="000E6F53" w:rsidP="00931F05">
      <w:pPr>
        <w:spacing w:line="360" w:lineRule="auto"/>
        <w:jc w:val="both"/>
        <w:rPr>
          <w:rFonts w:ascii="Times New Roman" w:hAnsi="Times New Roman" w:cs="Times New Roman"/>
          <w:sz w:val="24"/>
          <w:szCs w:val="24"/>
        </w:rPr>
      </w:pPr>
    </w:p>
    <w:p w:rsidR="000E6F53" w:rsidRDefault="000E6F53"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CAPÍTULO 3: AFECTACIÓN AL DELITO DE ROBO CON FUERZA EN LAS COSAS POR LA LEY ORGÁNICA</w:t>
      </w:r>
      <w:r w:rsidR="00AF0704">
        <w:rPr>
          <w:rFonts w:ascii="Times New Roman" w:hAnsi="Times New Roman" w:cs="Times New Roman"/>
          <w:sz w:val="24"/>
          <w:szCs w:val="24"/>
        </w:rPr>
        <w:t xml:space="preserve"> 1/2015.</w:t>
      </w:r>
    </w:p>
    <w:p w:rsidR="00AF0704" w:rsidRDefault="00AF0704" w:rsidP="00931F05">
      <w:pPr>
        <w:spacing w:line="360" w:lineRule="auto"/>
        <w:jc w:val="both"/>
        <w:rPr>
          <w:rFonts w:ascii="Times New Roman" w:hAnsi="Times New Roman" w:cs="Times New Roman"/>
          <w:sz w:val="24"/>
          <w:szCs w:val="24"/>
        </w:rPr>
      </w:pPr>
    </w:p>
    <w:p w:rsidR="00AF0704" w:rsidRDefault="002A03A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destacar que tras la lectura del artículo 237 CP, se observan dos modalidades diferenciadas del delito de robo, de un lado, el robo con fuerza en las cosas, al cual dedicaré mi atención en este trabajo y, de otro lado, el robo con violencia o intimidación en las personas.</w:t>
      </w:r>
      <w:r w:rsidR="00BE2948">
        <w:rPr>
          <w:rFonts w:ascii="Times New Roman" w:hAnsi="Times New Roman" w:cs="Times New Roman"/>
          <w:sz w:val="24"/>
          <w:szCs w:val="24"/>
        </w:rPr>
        <w:t xml:space="preserve"> Aclarar, por considerarlo un aspecto clave, la manifestación finalista que representa tanto la fuerza, como la violencia o intimidación, en tanto que se utilizan para lograr, facilitar o asegurar el apoderamiento de la cosa sustraída.</w:t>
      </w:r>
    </w:p>
    <w:p w:rsidR="00F44F35" w:rsidRDefault="0008377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Una vez realizado este inciso inicial, sin ánimo de hacer hincapié en los elementos típicos que configuran el delito de robo con fuerza en las cosas, por su coincidencia con el delito de hurto, me centraré en el concepto de fuerza a efectos de la figura delictiva en cuestión. A tal fin</w:t>
      </w:r>
      <w:r w:rsidR="00847F90">
        <w:rPr>
          <w:rFonts w:ascii="Times New Roman" w:hAnsi="Times New Roman" w:cs="Times New Roman"/>
          <w:sz w:val="24"/>
          <w:szCs w:val="24"/>
        </w:rPr>
        <w:t>, por dicho concepto se debe entender exclusivamente lo dispuesto en el artículo 238 CP, el cual requiere la concurrencia en los hechos de alguna de las circunstancias como son el escalamiento, la fractura exterior, la fractura interior, el uso de llaves falsas o la inutilización de los sistemas específicos de alarma o guarda.</w:t>
      </w:r>
      <w:r w:rsidR="00CE712D">
        <w:rPr>
          <w:rFonts w:ascii="Times New Roman" w:hAnsi="Times New Roman" w:cs="Times New Roman"/>
          <w:sz w:val="24"/>
          <w:szCs w:val="24"/>
        </w:rPr>
        <w:t xml:space="preserve"> A continuación, no será mi objetivo el desarrollo pormenorizado de las modalidades de fuerza aquí comentadas, puesto que las mismas se encuentran analizadas ampliamente  </w:t>
      </w:r>
      <w:r w:rsidR="00CE712D">
        <w:rPr>
          <w:rFonts w:ascii="Times New Roman" w:hAnsi="Times New Roman" w:cs="Times New Roman"/>
          <w:sz w:val="24"/>
          <w:szCs w:val="24"/>
        </w:rPr>
        <w:lastRenderedPageBreak/>
        <w:t>tanto en la doctrina, como en la jurisprudencia, centrándome, de esta forma, en los aspectos novedosos surgidos con la nueva regulación.</w:t>
      </w:r>
    </w:p>
    <w:p w:rsidR="00BE2948" w:rsidRDefault="00BE2948"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Bien, centrándome en la modalidad del delito de robo con fuerza en las cosas, y, más concretamente, </w:t>
      </w:r>
      <w:r w:rsidR="00D65CDD">
        <w:rPr>
          <w:rFonts w:ascii="Times New Roman" w:hAnsi="Times New Roman" w:cs="Times New Roman"/>
          <w:sz w:val="24"/>
          <w:szCs w:val="24"/>
        </w:rPr>
        <w:t xml:space="preserve">en </w:t>
      </w:r>
      <w:r w:rsidR="0029274E">
        <w:rPr>
          <w:rFonts w:ascii="Times New Roman" w:hAnsi="Times New Roman" w:cs="Times New Roman"/>
          <w:sz w:val="24"/>
          <w:szCs w:val="24"/>
        </w:rPr>
        <w:t>la incidencia que ha tenido la r</w:t>
      </w:r>
      <w:r w:rsidR="00D65CDD">
        <w:rPr>
          <w:rFonts w:ascii="Times New Roman" w:hAnsi="Times New Roman" w:cs="Times New Roman"/>
          <w:sz w:val="24"/>
          <w:szCs w:val="24"/>
        </w:rPr>
        <w:t xml:space="preserve">eforma sobre el mismo, </w:t>
      </w:r>
      <w:r w:rsidR="00D775FE">
        <w:rPr>
          <w:rFonts w:ascii="Times New Roman" w:hAnsi="Times New Roman" w:cs="Times New Roman"/>
          <w:sz w:val="24"/>
          <w:szCs w:val="24"/>
        </w:rPr>
        <w:t>considerar que, siguiendo el estilo de endurecer la responsabilidad penal, no se trata de una reforma integral de los tipos configurados, sino que se incorporan nuevos subtipos agravados o se modifica la configuración típica de los delitos existentes</w:t>
      </w:r>
      <w:r w:rsidR="0029274E">
        <w:rPr>
          <w:rFonts w:ascii="Times New Roman" w:hAnsi="Times New Roman" w:cs="Times New Roman"/>
          <w:sz w:val="24"/>
          <w:szCs w:val="24"/>
        </w:rPr>
        <w:t>, ampliando su ámbito de aplicación. En otros casos, se trata de extender las modalidades específicas agravadas del delito de hurto, a las dos modalidades de robo.</w:t>
      </w:r>
    </w:p>
    <w:p w:rsidR="0029274E" w:rsidRDefault="0064619B"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Centrándome en la esencia de las modificaciones introducidas, y aunque posteriormente profundizaré en cada una de ellas, destacar, por un lado, la ampliación del concepto de robo con fuerza (art. 237 CP), al permitir castigar la utilizada para abandonar el lugar donde se encuentran las cosas muebles ajenas.</w:t>
      </w:r>
      <w:r w:rsidR="00230003">
        <w:rPr>
          <w:rFonts w:ascii="Times New Roman" w:hAnsi="Times New Roman" w:cs="Times New Roman"/>
          <w:sz w:val="24"/>
          <w:szCs w:val="24"/>
        </w:rPr>
        <w:t xml:space="preserve"> Por otro lado, en el artículo 240.2 CP se tipifica específicamente la extensión de las circunstancias del artículo 235 CP a la modalidad delictiva de robo con fuerza en las cosas. De otra parte, se castiga el robo con fuerza en edificio o local abierto al público</w:t>
      </w:r>
      <w:r w:rsidR="00B32DE3">
        <w:rPr>
          <w:rFonts w:ascii="Times New Roman" w:hAnsi="Times New Roman" w:cs="Times New Roman"/>
          <w:sz w:val="24"/>
          <w:szCs w:val="24"/>
        </w:rPr>
        <w:t xml:space="preserve"> cometido fuera de las horas de apertura (párrafo segundo, art. 241.1 CP). Por último, se introduce en el artículo 241.4 CP una modalidad agravada relativa al robo con fuerza en casa habitada o establecimiento abierto al público, cuando los hechos tengan especial gravedad</w:t>
      </w:r>
      <w:r w:rsidR="005A43CD">
        <w:rPr>
          <w:rFonts w:ascii="Times New Roman" w:hAnsi="Times New Roman" w:cs="Times New Roman"/>
          <w:sz w:val="24"/>
          <w:szCs w:val="24"/>
        </w:rPr>
        <w:t xml:space="preserve"> y, en todo caso, cuando concurra alguna de las circunstancias del artículo 235 CP.</w:t>
      </w:r>
      <w:r w:rsidR="00E41700">
        <w:rPr>
          <w:rStyle w:val="Refdenotaalpie"/>
          <w:rFonts w:ascii="Times New Roman" w:hAnsi="Times New Roman" w:cs="Times New Roman"/>
          <w:sz w:val="24"/>
          <w:szCs w:val="24"/>
        </w:rPr>
        <w:footnoteReference w:id="77"/>
      </w:r>
    </w:p>
    <w:p w:rsidR="005A43CD" w:rsidRDefault="000034A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finalizar con este análisis introductorio, de un análisis conjunto de las modificaciones relativas </w:t>
      </w:r>
      <w:r w:rsidR="00FE571E">
        <w:rPr>
          <w:rFonts w:ascii="Times New Roman" w:hAnsi="Times New Roman" w:cs="Times New Roman"/>
          <w:sz w:val="24"/>
          <w:szCs w:val="24"/>
        </w:rPr>
        <w:t>a la modalidad delictiva de robo con fuerza en las cosas introducidas por la Ley Orgánica 1/2015, se observa la ampliación de su ámbito de aplicación, así como el planteamiento de problemas interpretativos que podrán afectar a la efectiva aplicación de los preceptos en cuestión.</w:t>
      </w:r>
    </w:p>
    <w:p w:rsidR="00FE571E" w:rsidRDefault="00FE571E" w:rsidP="00931F05">
      <w:pPr>
        <w:spacing w:line="360" w:lineRule="auto"/>
        <w:jc w:val="both"/>
        <w:rPr>
          <w:rFonts w:ascii="Times New Roman" w:hAnsi="Times New Roman" w:cs="Times New Roman"/>
          <w:sz w:val="24"/>
          <w:szCs w:val="24"/>
        </w:rPr>
      </w:pPr>
    </w:p>
    <w:p w:rsidR="00904F02" w:rsidRDefault="00FE571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904F02" w:rsidRDefault="00904F02" w:rsidP="00931F05">
      <w:pPr>
        <w:spacing w:line="360" w:lineRule="auto"/>
        <w:jc w:val="both"/>
        <w:rPr>
          <w:rFonts w:ascii="Times New Roman" w:hAnsi="Times New Roman" w:cs="Times New Roman"/>
          <w:sz w:val="24"/>
          <w:szCs w:val="24"/>
        </w:rPr>
      </w:pPr>
    </w:p>
    <w:p w:rsidR="00FE571E" w:rsidRDefault="00FE571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AC18F9">
        <w:rPr>
          <w:rFonts w:ascii="Times New Roman" w:hAnsi="Times New Roman" w:cs="Times New Roman"/>
          <w:sz w:val="24"/>
          <w:szCs w:val="24"/>
        </w:rPr>
        <w:t>3.1) NUE</w:t>
      </w:r>
      <w:r w:rsidR="00AC08FC">
        <w:rPr>
          <w:rFonts w:ascii="Times New Roman" w:hAnsi="Times New Roman" w:cs="Times New Roman"/>
          <w:sz w:val="24"/>
          <w:szCs w:val="24"/>
        </w:rPr>
        <w:t>VA DEFINICIÓN DE ROBO CON FUERZA EN LAS COSAS.</w:t>
      </w:r>
    </w:p>
    <w:p w:rsidR="0069543F" w:rsidRDefault="0069543F" w:rsidP="00931F05">
      <w:pPr>
        <w:spacing w:line="360" w:lineRule="auto"/>
        <w:jc w:val="both"/>
        <w:rPr>
          <w:rFonts w:ascii="Times New Roman" w:hAnsi="Times New Roman" w:cs="Times New Roman"/>
          <w:sz w:val="24"/>
          <w:szCs w:val="24"/>
        </w:rPr>
      </w:pPr>
    </w:p>
    <w:p w:rsidR="0069543F" w:rsidRDefault="0069543F"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Comenzar destacando el hecho que, con anterioridad a la regulación dada por la Ley Orgánica 1/2015, el ámbito típico del delito de robo con fuerza en las cosas se limitaba a los supuestos de utilización de la fuerza típica para acceder al lugar donde se encuentra la cosa mueble ajena que se pretende sustraer.</w:t>
      </w:r>
      <w:r w:rsidR="00443C6C">
        <w:rPr>
          <w:rStyle w:val="Refdenotaalpie"/>
          <w:rFonts w:ascii="Times New Roman" w:hAnsi="Times New Roman" w:cs="Times New Roman"/>
          <w:sz w:val="24"/>
          <w:szCs w:val="24"/>
        </w:rPr>
        <w:footnoteReference w:id="78"/>
      </w:r>
      <w:r w:rsidR="00E128E2">
        <w:rPr>
          <w:rFonts w:ascii="Times New Roman" w:hAnsi="Times New Roman" w:cs="Times New Roman"/>
          <w:sz w:val="24"/>
          <w:szCs w:val="24"/>
        </w:rPr>
        <w:t xml:space="preserve"> De esta forma, tras la nueva regulación, se extiende el ámbito típico de esta figura delictiva, abarcando, junto a la modalidad de fuerza anteriormente mencionada, la empleada para abandonar el lugar donde el objeto material del delito se encuentra.</w:t>
      </w:r>
    </w:p>
    <w:p w:rsidR="00E128E2" w:rsidRDefault="00E128E2"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este punto, creo conveniente hacer mención a la STS de 15 de abril de 1999</w:t>
      </w:r>
      <w:r w:rsidR="00FE1F47">
        <w:rPr>
          <w:rFonts w:ascii="Times New Roman" w:hAnsi="Times New Roman" w:cs="Times New Roman"/>
          <w:sz w:val="24"/>
          <w:szCs w:val="24"/>
        </w:rPr>
        <w:t>, puesto que con la nueva regulación se rompe con la idea tradicional de que, a efectos exclusivos de esta figura delictiva, la fuerza típica era aquella utilizada para vencer las barreras de defensa impuestas por el propietario para evitar que se acceda a un determinado bien mueble, lo que a su vez determina una mayor energía criminal por</w:t>
      </w:r>
      <w:r w:rsidR="00DE41CA">
        <w:rPr>
          <w:rFonts w:ascii="Times New Roman" w:hAnsi="Times New Roman" w:cs="Times New Roman"/>
          <w:sz w:val="24"/>
          <w:szCs w:val="24"/>
        </w:rPr>
        <w:t xml:space="preserve"> parte</w:t>
      </w:r>
      <w:r w:rsidR="00FE1F47">
        <w:rPr>
          <w:rFonts w:ascii="Times New Roman" w:hAnsi="Times New Roman" w:cs="Times New Roman"/>
          <w:sz w:val="24"/>
          <w:szCs w:val="24"/>
        </w:rPr>
        <w:t xml:space="preserve"> </w:t>
      </w:r>
      <w:r w:rsidR="00DE41CA">
        <w:rPr>
          <w:rFonts w:ascii="Times New Roman" w:hAnsi="Times New Roman" w:cs="Times New Roman"/>
          <w:sz w:val="24"/>
          <w:szCs w:val="24"/>
        </w:rPr>
        <w:t>d</w:t>
      </w:r>
      <w:r w:rsidR="00FE1F47">
        <w:rPr>
          <w:rFonts w:ascii="Times New Roman" w:hAnsi="Times New Roman" w:cs="Times New Roman"/>
          <w:sz w:val="24"/>
          <w:szCs w:val="24"/>
        </w:rPr>
        <w:t>el sujeto activo, que supera la mera sustracción propia del delito de hurto.</w:t>
      </w:r>
      <w:r w:rsidR="009A2C87">
        <w:rPr>
          <w:rFonts w:ascii="Times New Roman" w:hAnsi="Times New Roman" w:cs="Times New Roman"/>
          <w:sz w:val="24"/>
          <w:szCs w:val="24"/>
        </w:rPr>
        <w:t xml:space="preserve"> Es decir, según esta doctrina jurisprudencial, la fuerza típica es la que tiene un sentido instrumental o, lo que es lo mismo, la que sirve para acceder a la cosa.</w:t>
      </w:r>
      <w:r w:rsidR="00443C6C">
        <w:rPr>
          <w:rStyle w:val="Refdenotaalpie"/>
          <w:rFonts w:ascii="Times New Roman" w:hAnsi="Times New Roman" w:cs="Times New Roman"/>
          <w:sz w:val="24"/>
          <w:szCs w:val="24"/>
        </w:rPr>
        <w:footnoteReference w:id="79"/>
      </w:r>
    </w:p>
    <w:p w:rsidR="001D13EA" w:rsidRDefault="00DE793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La cuestión de ampliar el ámbito típico del delito de robo con fuerza en las cosas a aquellos supuestos en los que la misma es utilizada para abandonar el lugar en el cual se encuentra el objeto material del delito, no surge en los momentos actuales, sino con anterioridad al Código de 1995.</w:t>
      </w:r>
      <w:r w:rsidR="005B34CC">
        <w:rPr>
          <w:rFonts w:ascii="Times New Roman" w:hAnsi="Times New Roman" w:cs="Times New Roman"/>
          <w:sz w:val="24"/>
          <w:szCs w:val="24"/>
        </w:rPr>
        <w:t xml:space="preserve"> El tema era controvertido por el peligro de una ampliación de esta figura delictiva, la cual tiene como repercusión una responsabilidad penal más elevada en comparación con el delito de hurto, más ten</w:t>
      </w:r>
      <w:r w:rsidR="00A653C7">
        <w:rPr>
          <w:rFonts w:ascii="Times New Roman" w:hAnsi="Times New Roman" w:cs="Times New Roman"/>
          <w:sz w:val="24"/>
          <w:szCs w:val="24"/>
        </w:rPr>
        <w:t>iendo en cuenta que la fuerza con poder para convertir un desapoderamiento en robo, es aquella con un carácter instrumental.</w:t>
      </w:r>
      <w:r w:rsidR="00D175AF">
        <w:rPr>
          <w:rStyle w:val="Refdenotaalpie"/>
          <w:rFonts w:ascii="Times New Roman" w:hAnsi="Times New Roman" w:cs="Times New Roman"/>
          <w:sz w:val="24"/>
          <w:szCs w:val="24"/>
        </w:rPr>
        <w:footnoteReference w:id="80"/>
      </w:r>
    </w:p>
    <w:p w:rsidR="00DE7935" w:rsidRDefault="001D13E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Volviendo a la nueva regulación surgida tras la reforma, siguiendo con la idea de una mayor rigu</w:t>
      </w:r>
      <w:r w:rsidR="004E0923">
        <w:rPr>
          <w:rFonts w:ascii="Times New Roman" w:hAnsi="Times New Roman" w:cs="Times New Roman"/>
          <w:sz w:val="24"/>
          <w:szCs w:val="24"/>
        </w:rPr>
        <w:t xml:space="preserve">rosidad de la pena de prisión, se amplía definitivamente y sin ningún tipo de </w:t>
      </w:r>
      <w:r w:rsidR="004E0923">
        <w:rPr>
          <w:rFonts w:ascii="Times New Roman" w:hAnsi="Times New Roman" w:cs="Times New Roman"/>
          <w:sz w:val="24"/>
          <w:szCs w:val="24"/>
        </w:rPr>
        <w:lastRenderedPageBreak/>
        <w:t>modificación en su tramitación parlamentaria, la conducta típica de la figura delictiva en cuestión, incorporando el verbo típico `` abandonar ´´; aunque manteniéndose, sin modificación alguna, los medios comisivos dispuestos en el artículo 238 CP.</w:t>
      </w:r>
      <w:r w:rsidR="00DE7935">
        <w:rPr>
          <w:rFonts w:ascii="Times New Roman" w:hAnsi="Times New Roman" w:cs="Times New Roman"/>
          <w:sz w:val="24"/>
          <w:szCs w:val="24"/>
        </w:rPr>
        <w:t xml:space="preserve"> </w:t>
      </w:r>
      <w:r w:rsidR="007F6094">
        <w:rPr>
          <w:rStyle w:val="Refdenotaalpie"/>
          <w:rFonts w:ascii="Times New Roman" w:hAnsi="Times New Roman" w:cs="Times New Roman"/>
          <w:sz w:val="24"/>
          <w:szCs w:val="24"/>
        </w:rPr>
        <w:footnoteReference w:id="81"/>
      </w:r>
    </w:p>
    <w:p w:rsidR="009A2C87" w:rsidRDefault="009A2C8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Por lo tanto, tras la citada Ley, dicha figura delictiva se puede manifestar de dos formas. Por un lado, </w:t>
      </w:r>
      <w:r w:rsidR="00CC2EA4">
        <w:rPr>
          <w:rFonts w:ascii="Times New Roman" w:hAnsi="Times New Roman" w:cs="Times New Roman"/>
          <w:sz w:val="24"/>
          <w:szCs w:val="24"/>
        </w:rPr>
        <w:t xml:space="preserve">utilizando el sujeto activo alguno de los medios comisivos dispuestos en el artículo 238 CP para acceder al lugar donde el objeto material se encuentra, rompiendo las barreras de defensa impuestas por el propietario para su protección. De otro lado, empleando la fuerza típica para abandonar el lugar donde la cosa mueble se sitúa, pero manteniendo la dimensión finalista </w:t>
      </w:r>
      <w:r w:rsidR="002B7F8B">
        <w:rPr>
          <w:rFonts w:ascii="Times New Roman" w:hAnsi="Times New Roman" w:cs="Times New Roman"/>
          <w:sz w:val="24"/>
          <w:szCs w:val="24"/>
        </w:rPr>
        <w:t>de lograr, facilitar o asegurar el apoderamiento; por lo que dicha fuerza se debe realizar una vez tomada la posesión de la cosa y antes de tener su plena disponibilidad.</w:t>
      </w:r>
      <w:r w:rsidR="007F6094">
        <w:rPr>
          <w:rStyle w:val="Refdenotaalpie"/>
          <w:rFonts w:ascii="Times New Roman" w:hAnsi="Times New Roman" w:cs="Times New Roman"/>
          <w:sz w:val="24"/>
          <w:szCs w:val="24"/>
        </w:rPr>
        <w:footnoteReference w:id="82"/>
      </w:r>
    </w:p>
    <w:p w:rsidR="00E472BD" w:rsidRDefault="00E472B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cuanto a su aplicación práctica, la primera modalidad tradicional no suscita conflicto alguno, en tanto que se  requiere simplemente que la fuerza sea utilizada para acceder al lugar donde se encuentre la cosa mueble ajena, dejando al margen de su ámbito típico la fuerza ejercida sobre la propia cosa, la cual es tipificada en el artículo 234.3 CP. Por otro lado, la nueva modalidad del delito de robo con fuerza en las cosas</w:t>
      </w:r>
      <w:r w:rsidR="00A81588">
        <w:rPr>
          <w:rFonts w:ascii="Times New Roman" w:hAnsi="Times New Roman" w:cs="Times New Roman"/>
          <w:sz w:val="24"/>
          <w:szCs w:val="24"/>
        </w:rPr>
        <w:t>, que, tras la nueva regulación, incorpora la conducta consistente en el empleo de la fuerza para abandonar el lugar donde se encuentra el objeto material del delito, genera mayores problemas prácticos en su subsunción a los supuestos prácticos.</w:t>
      </w:r>
    </w:p>
    <w:p w:rsidR="00A81588" w:rsidRDefault="00A81588"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este sentido, centrándome en esta novedosa modalidad, se requiere para su aplicación, como primer requisito, el hecho de que el sujeto</w:t>
      </w:r>
      <w:r w:rsidR="00D23E54">
        <w:rPr>
          <w:rFonts w:ascii="Times New Roman" w:hAnsi="Times New Roman" w:cs="Times New Roman"/>
          <w:sz w:val="24"/>
          <w:szCs w:val="24"/>
        </w:rPr>
        <w:t xml:space="preserve"> haya tenido acceso a la cosa mueble sin el empleo de fuerza alguna, puesto que si el mismo ya hubiera empleado la fuerza para acceder a dicha cosa, la conducta será constitutiva de delito de robo con fuerza en las cosas en su modalidad tradicional. Por otra parte, se exige que el empleo de la fuerza se realice en un momento anterior a la consumación del delito, el cual está marcado por la disponibilidad por parte del sujeto activo de los efectos sustraídos, </w:t>
      </w:r>
      <w:r w:rsidR="00841961">
        <w:rPr>
          <w:rFonts w:ascii="Times New Roman" w:hAnsi="Times New Roman" w:cs="Times New Roman"/>
          <w:sz w:val="24"/>
          <w:szCs w:val="24"/>
        </w:rPr>
        <w:lastRenderedPageBreak/>
        <w:t>siendo sinónima la misma de una potencial capacidad de disposición, aun cuando se requiere claramente que el autor tenga las cosas en su poder.</w:t>
      </w:r>
      <w:r w:rsidR="007F6094">
        <w:rPr>
          <w:rStyle w:val="Refdenotaalpie"/>
          <w:rFonts w:ascii="Times New Roman" w:hAnsi="Times New Roman" w:cs="Times New Roman"/>
          <w:sz w:val="24"/>
          <w:szCs w:val="24"/>
        </w:rPr>
        <w:footnoteReference w:id="83"/>
      </w:r>
    </w:p>
    <w:p w:rsidR="00FA60F9" w:rsidRDefault="00FA60F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Dicho esto, traigo aquí a colación tres posibilidades distintas que surgen en la dinámica comisiva</w:t>
      </w:r>
      <w:r w:rsidR="00C4001C">
        <w:rPr>
          <w:rFonts w:ascii="Times New Roman" w:hAnsi="Times New Roman" w:cs="Times New Roman"/>
          <w:sz w:val="24"/>
          <w:szCs w:val="24"/>
        </w:rPr>
        <w:t xml:space="preserve"> de los delitos de apoderamiento. En primer lugar, en el caso de que el sujeto tenga que emplear alguna de las circunstancias tipificadas en el artículo 238 CP para salir del lugar en el que se encuentra la cosa mueble, sin llegar a aprehenderla materialmente y sin, claramente, utilizar la fuerza para acceder a dicho lugar; se plantea la cuestión </w:t>
      </w:r>
      <w:r w:rsidR="00160D1B">
        <w:rPr>
          <w:rFonts w:ascii="Times New Roman" w:hAnsi="Times New Roman" w:cs="Times New Roman"/>
          <w:sz w:val="24"/>
          <w:szCs w:val="24"/>
        </w:rPr>
        <w:t>de si calificar el hecho como tentativa de hurto y daños consumados, si los mismos hubieran llegado a producirse, o, de otra forma, como tentativa del delito de robo con fuerza en las cosas, en su nueva modalidad de utilización de la misma para abandonar el lugar donde el objeto material se sitúa.</w:t>
      </w:r>
      <w:r w:rsidR="002043F9">
        <w:rPr>
          <w:rFonts w:ascii="Times New Roman" w:hAnsi="Times New Roman" w:cs="Times New Roman"/>
          <w:sz w:val="24"/>
          <w:szCs w:val="24"/>
        </w:rPr>
        <w:t xml:space="preserve"> La diferente respuesta penal que podría darse, hace necesaria una estricta interpretación, determinando la ausencia de dolo en el empleo de la fuerza, en el caso de que el sujeto activo acceda a un lugar sin usar la misma y que, por distintas circunstancias, no llega a aprehender la cosa mueble, desistiendo de su intento de apoderamiento</w:t>
      </w:r>
      <w:r w:rsidR="00B61C58">
        <w:rPr>
          <w:rFonts w:ascii="Times New Roman" w:hAnsi="Times New Roman" w:cs="Times New Roman"/>
          <w:sz w:val="24"/>
          <w:szCs w:val="24"/>
        </w:rPr>
        <w:t xml:space="preserve"> y utilizando la fuerza al salir de dicho lugar, pero una vez agotada la tentativa de delito de hurto. Por lo tanto, en este caso lo conveniente sería calificar la conducta como tentativa de hurto en concurso con un delito de daños, de darse los requisitos típicos de esta última figura delictiva.</w:t>
      </w:r>
      <w:r w:rsidR="007F6094">
        <w:rPr>
          <w:rStyle w:val="Refdenotaalpie"/>
          <w:rFonts w:ascii="Times New Roman" w:hAnsi="Times New Roman" w:cs="Times New Roman"/>
          <w:sz w:val="24"/>
          <w:szCs w:val="24"/>
        </w:rPr>
        <w:footnoteReference w:id="84"/>
      </w:r>
    </w:p>
    <w:p w:rsidR="00B61C58" w:rsidRDefault="00B61C58"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segundo lugar,</w:t>
      </w:r>
      <w:r w:rsidR="00C96D5F">
        <w:rPr>
          <w:rFonts w:ascii="Times New Roman" w:hAnsi="Times New Roman" w:cs="Times New Roman"/>
          <w:sz w:val="24"/>
          <w:szCs w:val="24"/>
        </w:rPr>
        <w:t xml:space="preserve"> la conducta que voy a delimitar a continuación es que se corresponde con la nueva modalidad del delito de robo con fuerza en las cosas, dependiendo su grado de consumación de la disponibilidad efectiva del sujeto activo sobre el objeto material del delito. Dicha conducta, como anteriormente he mencionado, se basa en el acceso, sin el uso de la fuerza típica, al lugar donde se encuentra la cosa mueble, aprehendiéndola materialmente, pero usando alguna de las modalidades de fuerza descritas en el artículo 238 CP, en un momento ante</w:t>
      </w:r>
      <w:r w:rsidR="00357B84">
        <w:rPr>
          <w:rFonts w:ascii="Times New Roman" w:hAnsi="Times New Roman" w:cs="Times New Roman"/>
          <w:sz w:val="24"/>
          <w:szCs w:val="24"/>
        </w:rPr>
        <w:t>rior a la plena disponibilidad del objeto, con el objetivo de abandonar dicho lugar.</w:t>
      </w:r>
      <w:r w:rsidR="007F6094">
        <w:rPr>
          <w:rStyle w:val="Refdenotaalpie"/>
          <w:rFonts w:ascii="Times New Roman" w:hAnsi="Times New Roman" w:cs="Times New Roman"/>
          <w:sz w:val="24"/>
          <w:szCs w:val="24"/>
        </w:rPr>
        <w:footnoteReference w:id="85"/>
      </w:r>
    </w:p>
    <w:p w:rsidR="00887FCE" w:rsidRDefault="00887FC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último, en el caso de que el sujeto activo disponga de la cosa antes de realizar la fuerza típica para abandonar el lugar donde la misma se encuentra, por ejemplo, a través de su entrega por una ventana a una tercera persona; se considera la conducta como tipo consumado de hurto, puesto que no ha mediado fuerza en el acceso a dicho lugar y debido, fundamentalmente, a que con el acto de disposición se consuma el delito contra la propiedad. Por lo tanto, el hecho de, por ejemplo, forzar la puerta </w:t>
      </w:r>
      <w:r w:rsidR="000932F3">
        <w:rPr>
          <w:rFonts w:ascii="Times New Roman" w:hAnsi="Times New Roman" w:cs="Times New Roman"/>
          <w:sz w:val="24"/>
          <w:szCs w:val="24"/>
        </w:rPr>
        <w:t>para salir del correspondiente lugar, es posterior a la consumación del delito de apoderamiento, de ahí que, de cumplir con sus exigencias típicas, será reconducido al tipo de daños.</w:t>
      </w:r>
      <w:r w:rsidR="007F6094">
        <w:rPr>
          <w:rStyle w:val="Refdenotaalpie"/>
          <w:rFonts w:ascii="Times New Roman" w:hAnsi="Times New Roman" w:cs="Times New Roman"/>
          <w:sz w:val="24"/>
          <w:szCs w:val="24"/>
        </w:rPr>
        <w:footnoteReference w:id="86"/>
      </w:r>
    </w:p>
    <w:p w:rsidR="00362299" w:rsidRDefault="000932F3"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conclusión, la conducta consistente en la utilización de la fuerza para abandonar el lugar dónde la cosa mueble se encuentra, debe concurrir con la realización del correspondiente delito,</w:t>
      </w:r>
      <w:r w:rsidR="00362299">
        <w:rPr>
          <w:rFonts w:ascii="Times New Roman" w:hAnsi="Times New Roman" w:cs="Times New Roman"/>
          <w:sz w:val="24"/>
          <w:szCs w:val="24"/>
        </w:rPr>
        <w:t xml:space="preserve"> en un momento anterior a la consumación del mismo, por lo que no siempre coincide con la huida del concreto lugar.</w:t>
      </w:r>
      <w:r w:rsidR="007F6094">
        <w:rPr>
          <w:rStyle w:val="Refdenotaalpie"/>
          <w:rFonts w:ascii="Times New Roman" w:hAnsi="Times New Roman" w:cs="Times New Roman"/>
          <w:sz w:val="24"/>
          <w:szCs w:val="24"/>
        </w:rPr>
        <w:footnoteReference w:id="87"/>
      </w:r>
      <w:r w:rsidR="00886BC4">
        <w:rPr>
          <w:rFonts w:ascii="Times New Roman" w:hAnsi="Times New Roman" w:cs="Times New Roman"/>
          <w:sz w:val="24"/>
          <w:szCs w:val="24"/>
        </w:rPr>
        <w:t xml:space="preserve"> </w:t>
      </w:r>
      <w:r w:rsidR="00362299">
        <w:rPr>
          <w:rFonts w:ascii="Times New Roman" w:hAnsi="Times New Roman" w:cs="Times New Roman"/>
          <w:sz w:val="24"/>
          <w:szCs w:val="24"/>
        </w:rPr>
        <w:t>En un análisis crítico, parte de la doctrina considera que la expansión del ámbito de aplicación de este precepto</w:t>
      </w:r>
      <w:r w:rsidR="009448D9">
        <w:rPr>
          <w:rFonts w:ascii="Times New Roman" w:hAnsi="Times New Roman" w:cs="Times New Roman"/>
          <w:sz w:val="24"/>
          <w:szCs w:val="24"/>
        </w:rPr>
        <w:t>, comporta un endurecimiento punitivo injustificado, haciendo depender, en ciertos supuestos, la clasificación del delito de la conducta posterior del sujeto activo.</w:t>
      </w:r>
      <w:r w:rsidR="007F6094">
        <w:rPr>
          <w:rStyle w:val="Refdenotaalpie"/>
          <w:rFonts w:ascii="Times New Roman" w:hAnsi="Times New Roman" w:cs="Times New Roman"/>
          <w:sz w:val="24"/>
          <w:szCs w:val="24"/>
        </w:rPr>
        <w:footnoteReference w:id="88"/>
      </w:r>
    </w:p>
    <w:p w:rsidR="00886BC4" w:rsidRDefault="00886BC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terminar con este apartado relativo a la nueva definición de robo con fuerza en las cosas, </w:t>
      </w:r>
      <w:r w:rsidR="00CF13AA">
        <w:rPr>
          <w:rFonts w:ascii="Times New Roman" w:hAnsi="Times New Roman" w:cs="Times New Roman"/>
          <w:sz w:val="24"/>
          <w:szCs w:val="24"/>
        </w:rPr>
        <w:t>a efectos de este delito el concepto de fuerza es un concepto normativo de valoración jurídica, entendiendo que sólo es típica la comprendida en el artículo 238 CP, por lo que cualquier otro tipo de fuerza ejercida deberá ser reconducida al tipo residual de hurto</w:t>
      </w:r>
      <w:r w:rsidR="005F7A4F">
        <w:rPr>
          <w:rFonts w:ascii="Times New Roman" w:hAnsi="Times New Roman" w:cs="Times New Roman"/>
          <w:sz w:val="24"/>
          <w:szCs w:val="24"/>
        </w:rPr>
        <w:t xml:space="preserve">. No considero relevante, a efectos de este trabajo, el desarrollo de cada una de las modalidades de fuerza típica, puesto que las mismas no han sido modificadas con la nueva regulación, siendo suficiente con determinar que, tras la Ley Orgánica 1/2015, se amplía su ámbito al acto de abandono del lugar donde se encuentran las cosas muebles sustraídas. </w:t>
      </w:r>
      <w:r w:rsidR="004D084B">
        <w:rPr>
          <w:rFonts w:ascii="Times New Roman" w:hAnsi="Times New Roman" w:cs="Times New Roman"/>
          <w:sz w:val="24"/>
          <w:szCs w:val="24"/>
        </w:rPr>
        <w:t xml:space="preserve">En este sentido, se debe realizar una interpretación restrictiva en orden a la fuerza ejercida tras el apoderamiento, debiendo de ser efectiva para abandonar el correspondiente lugar y no cualquier tipo de fuerza, por lo que sólo se considerará como típica </w:t>
      </w:r>
      <w:r w:rsidR="00E53BA0">
        <w:rPr>
          <w:rFonts w:ascii="Times New Roman" w:hAnsi="Times New Roman" w:cs="Times New Roman"/>
          <w:sz w:val="24"/>
          <w:szCs w:val="24"/>
        </w:rPr>
        <w:t xml:space="preserve">aquella que supusiera una especial habilidad para superar las </w:t>
      </w:r>
      <w:r w:rsidR="00E53BA0">
        <w:rPr>
          <w:rFonts w:ascii="Times New Roman" w:hAnsi="Times New Roman" w:cs="Times New Roman"/>
          <w:sz w:val="24"/>
          <w:szCs w:val="24"/>
        </w:rPr>
        <w:lastRenderedPageBreak/>
        <w:t>barreras de defensa impuestas por el propietario, con el objetivo de abandonar el lugar donde se ha cometido la aprehensión de la cosa mueble. Concretamente, la ampliación de la conducta típica de la figura delictiva en cuestión,</w:t>
      </w:r>
      <w:r w:rsidR="00327DC1">
        <w:rPr>
          <w:rFonts w:ascii="Times New Roman" w:hAnsi="Times New Roman" w:cs="Times New Roman"/>
          <w:sz w:val="24"/>
          <w:szCs w:val="24"/>
        </w:rPr>
        <w:t xml:space="preserve"> genera problemas prácticos en relación con ciertas circunstancias dispuestas en el artículo 238 CP, como el escalamiento o la inutilización del sistema de alarma, ésta última resulta con la tipificación del nuevo delito agravado de hurto del artículo 234.3 CP; por lo que, al dificultar la correcta delimitación del delito de robo con otras figuras delictivas contra el patrimonio, se genera un coste, en relación a la seguridad jurídica otorgada.</w:t>
      </w:r>
      <w:r w:rsidR="00396387">
        <w:rPr>
          <w:rStyle w:val="Refdenotaalpie"/>
          <w:rFonts w:ascii="Times New Roman" w:hAnsi="Times New Roman" w:cs="Times New Roman"/>
          <w:sz w:val="24"/>
          <w:szCs w:val="24"/>
        </w:rPr>
        <w:footnoteReference w:id="89"/>
      </w:r>
    </w:p>
    <w:p w:rsidR="00960A8C" w:rsidRDefault="00960A8C" w:rsidP="00931F05">
      <w:pPr>
        <w:spacing w:line="360" w:lineRule="auto"/>
        <w:jc w:val="both"/>
        <w:rPr>
          <w:rFonts w:ascii="Times New Roman" w:hAnsi="Times New Roman" w:cs="Times New Roman"/>
          <w:sz w:val="24"/>
          <w:szCs w:val="24"/>
        </w:rPr>
      </w:pPr>
    </w:p>
    <w:p w:rsidR="00960A8C" w:rsidRDefault="00DE447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60A8C">
        <w:rPr>
          <w:rFonts w:ascii="Times New Roman" w:hAnsi="Times New Roman" w:cs="Times New Roman"/>
          <w:sz w:val="24"/>
          <w:szCs w:val="24"/>
        </w:rPr>
        <w:t xml:space="preserve">   3.2) NUEVO ARTÍCULO 240.2 CP.</w:t>
      </w:r>
    </w:p>
    <w:p w:rsidR="00960A8C" w:rsidRDefault="00960A8C" w:rsidP="00931F05">
      <w:pPr>
        <w:spacing w:line="360" w:lineRule="auto"/>
        <w:jc w:val="both"/>
        <w:rPr>
          <w:rFonts w:ascii="Times New Roman" w:hAnsi="Times New Roman" w:cs="Times New Roman"/>
          <w:sz w:val="24"/>
          <w:szCs w:val="24"/>
        </w:rPr>
      </w:pPr>
    </w:p>
    <w:p w:rsidR="00960A8C" w:rsidRDefault="00960A8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Comenzar por destacar el hecho de que el objetivo de la nueva regulación,</w:t>
      </w:r>
      <w:r w:rsidR="00FE211F">
        <w:rPr>
          <w:rFonts w:ascii="Times New Roman" w:hAnsi="Times New Roman" w:cs="Times New Roman"/>
          <w:sz w:val="24"/>
          <w:szCs w:val="24"/>
        </w:rPr>
        <w:t xml:space="preserve"> basado en un endurecimiento general del reproche penal con origen en la comisión de delitos patrimoniales, va a tener su incidencia en la penalidad correspondiente al delito de robo.</w:t>
      </w:r>
    </w:p>
    <w:p w:rsidR="007348F4" w:rsidRDefault="009746F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De esta forma, la Ley Orgánica 1/2015, de 30 de marzo, ha introducido una nueva sistematización de las modalidades específicas del delito de robo con fuerza en las cosas, dividiendo, de un lado, la concurrencia en los hechos delictivos de las circunstancias agravatorias previstas en el artículo 235 CP; de, por otro lado, la cualificación de esta figura delictiva por realizar la conducta en casa habitada o en edificio o local abierto al público.</w:t>
      </w:r>
      <w:r w:rsidR="00D85457">
        <w:rPr>
          <w:rFonts w:ascii="Times New Roman" w:hAnsi="Times New Roman" w:cs="Times New Roman"/>
          <w:sz w:val="24"/>
          <w:szCs w:val="24"/>
        </w:rPr>
        <w:t xml:space="preserve"> En este sentido, las circunstancias definidas en dicho artículo tendrán una eficacia agravatoria general, aplicándose tanto a los robos con fuerzas comunes </w:t>
      </w:r>
      <w:r w:rsidR="00F440CD">
        <w:rPr>
          <w:rFonts w:ascii="Times New Roman" w:hAnsi="Times New Roman" w:cs="Times New Roman"/>
          <w:sz w:val="24"/>
          <w:szCs w:val="24"/>
        </w:rPr>
        <w:t xml:space="preserve">de los artículos 237 a 239 CP, </w:t>
      </w:r>
      <w:r w:rsidR="00D85457">
        <w:rPr>
          <w:rFonts w:ascii="Times New Roman" w:hAnsi="Times New Roman" w:cs="Times New Roman"/>
          <w:sz w:val="24"/>
          <w:szCs w:val="24"/>
        </w:rPr>
        <w:t>como a los robos cualificados del artículo 241 CP, a los que posteriormente haré referencia.</w:t>
      </w:r>
      <w:r w:rsidR="00F16379">
        <w:rPr>
          <w:rStyle w:val="Refdenotaalpie"/>
          <w:rFonts w:ascii="Times New Roman" w:hAnsi="Times New Roman" w:cs="Times New Roman"/>
          <w:sz w:val="24"/>
          <w:szCs w:val="24"/>
        </w:rPr>
        <w:footnoteReference w:id="90"/>
      </w:r>
    </w:p>
    <w:p w:rsidR="00994C68" w:rsidRDefault="00994C68"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una parte, en lo que se refiere al delito de robo con fuerza en las cosas, </w:t>
      </w:r>
      <w:r w:rsidR="00DD2079">
        <w:rPr>
          <w:rFonts w:ascii="Times New Roman" w:hAnsi="Times New Roman" w:cs="Times New Roman"/>
          <w:sz w:val="24"/>
          <w:szCs w:val="24"/>
        </w:rPr>
        <w:t xml:space="preserve">se mantiene la pena de prisión de uno a tres años en el artículo 240.1 CP, introduciéndose, tras la nueva regulación, un apartado segundo, el cual establece una pena de prisión de dos a </w:t>
      </w:r>
      <w:r w:rsidR="00DD2079">
        <w:rPr>
          <w:rFonts w:ascii="Times New Roman" w:hAnsi="Times New Roman" w:cs="Times New Roman"/>
          <w:sz w:val="24"/>
          <w:szCs w:val="24"/>
        </w:rPr>
        <w:lastRenderedPageBreak/>
        <w:t>cinco años, en el caso de que concurra alguna de las circunstancias previstas en el artículo 235 CP.</w:t>
      </w:r>
      <w:r w:rsidR="00F16379">
        <w:rPr>
          <w:rStyle w:val="Refdenotaalpie"/>
          <w:rFonts w:ascii="Times New Roman" w:hAnsi="Times New Roman" w:cs="Times New Roman"/>
          <w:sz w:val="24"/>
          <w:szCs w:val="24"/>
        </w:rPr>
        <w:footnoteReference w:id="91"/>
      </w:r>
    </w:p>
    <w:p w:rsidR="006E0206" w:rsidRDefault="006E0206"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Con la reforma penal de 2015, se ha modificado la ubicación de la remisión a dichas circunstancias agravatorias, pues</w:t>
      </w:r>
      <w:r w:rsidR="00141E86">
        <w:rPr>
          <w:rFonts w:ascii="Times New Roman" w:hAnsi="Times New Roman" w:cs="Times New Roman"/>
          <w:sz w:val="24"/>
          <w:szCs w:val="24"/>
        </w:rPr>
        <w:t>,</w:t>
      </w:r>
      <w:r>
        <w:rPr>
          <w:rFonts w:ascii="Times New Roman" w:hAnsi="Times New Roman" w:cs="Times New Roman"/>
          <w:sz w:val="24"/>
          <w:szCs w:val="24"/>
        </w:rPr>
        <w:t xml:space="preserve"> en un momento anterior a la misma</w:t>
      </w:r>
      <w:r w:rsidR="00141E86">
        <w:rPr>
          <w:rFonts w:ascii="Times New Roman" w:hAnsi="Times New Roman" w:cs="Times New Roman"/>
          <w:sz w:val="24"/>
          <w:szCs w:val="24"/>
        </w:rPr>
        <w:t>,</w:t>
      </w:r>
      <w:r>
        <w:rPr>
          <w:rFonts w:ascii="Times New Roman" w:hAnsi="Times New Roman" w:cs="Times New Roman"/>
          <w:sz w:val="24"/>
          <w:szCs w:val="24"/>
        </w:rPr>
        <w:t xml:space="preserve"> dicha referencia se realizaba en el artículo 241.1 CP. Al margen de esta consideración, se siguen extendiendo dichas circunstancias al delito de robo con fuerza en las cosas, siendo de obligatoria imposición por parte del juez, en el caso de que aprecie que el delito ha sido cometido concurriendo alguna de ellas.</w:t>
      </w:r>
      <w:r w:rsidR="00F16379">
        <w:rPr>
          <w:rStyle w:val="Refdenotaalpie"/>
          <w:rFonts w:ascii="Times New Roman" w:hAnsi="Times New Roman" w:cs="Times New Roman"/>
          <w:sz w:val="24"/>
          <w:szCs w:val="24"/>
        </w:rPr>
        <w:footnoteReference w:id="92"/>
      </w:r>
    </w:p>
    <w:p w:rsidR="007348F4" w:rsidRDefault="00F440C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l</w:t>
      </w:r>
      <w:r w:rsidR="007348F4">
        <w:rPr>
          <w:rFonts w:ascii="Times New Roman" w:hAnsi="Times New Roman" w:cs="Times New Roman"/>
          <w:sz w:val="24"/>
          <w:szCs w:val="24"/>
        </w:rPr>
        <w:t xml:space="preserve">a inclusión de las modalidades agravadas a las que aquí hacemos referencia, especialmente las relativas a la </w:t>
      </w:r>
      <w:proofErr w:type="spellStart"/>
      <w:r w:rsidR="007348F4">
        <w:rPr>
          <w:rFonts w:ascii="Times New Roman" w:hAnsi="Times New Roman" w:cs="Times New Roman"/>
          <w:sz w:val="24"/>
          <w:szCs w:val="24"/>
        </w:rPr>
        <w:t>multirreincidencia</w:t>
      </w:r>
      <w:proofErr w:type="spellEnd"/>
      <w:r w:rsidR="007348F4">
        <w:rPr>
          <w:rFonts w:ascii="Times New Roman" w:hAnsi="Times New Roman" w:cs="Times New Roman"/>
          <w:sz w:val="24"/>
          <w:szCs w:val="24"/>
        </w:rPr>
        <w:t xml:space="preserve"> y al crimen organizado, permiten un reforzamiento de la protección penal a un nivel general, en torno a los delitos contra la propiedad y el patrimonio.</w:t>
      </w:r>
    </w:p>
    <w:p w:rsidR="00DE4471" w:rsidRDefault="00F440C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F440CD" w:rsidRDefault="00F440C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3.3) INTRODUCCIÓN DE UN SEGUNDO PÁRRAFO EN EL ARTÍCULO 241.1 CP.</w:t>
      </w:r>
    </w:p>
    <w:p w:rsidR="00045602" w:rsidRDefault="00045602" w:rsidP="00931F05">
      <w:pPr>
        <w:spacing w:line="360" w:lineRule="auto"/>
        <w:jc w:val="both"/>
        <w:rPr>
          <w:rFonts w:ascii="Times New Roman" w:hAnsi="Times New Roman" w:cs="Times New Roman"/>
          <w:sz w:val="24"/>
          <w:szCs w:val="24"/>
        </w:rPr>
      </w:pPr>
    </w:p>
    <w:p w:rsidR="00F440CD" w:rsidRDefault="0036299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Comenzaré por realizar un análisis histórico de esta circunstancia, la cual cualifica el delito de robo con fuerza en las cosas, por el hecho de su comisión en casa habitada, edificio o local abierto al público, o en cualquiera de sus dependencias. En un primer momento, tras la reforma cometida en 1983, el texto ref</w:t>
      </w:r>
      <w:r w:rsidR="005B74BD">
        <w:rPr>
          <w:rFonts w:ascii="Times New Roman" w:hAnsi="Times New Roman" w:cs="Times New Roman"/>
          <w:sz w:val="24"/>
          <w:szCs w:val="24"/>
        </w:rPr>
        <w:t>undido del Código penal de 1973 disponía de dos cualificaciones agravatorias cuyo fundamento se encontraba en las especiales condiciones del lugar donde se desarrollaba el delito en cuestión.</w:t>
      </w:r>
      <w:r w:rsidR="00045602">
        <w:rPr>
          <w:rFonts w:ascii="Times New Roman" w:hAnsi="Times New Roman" w:cs="Times New Roman"/>
          <w:sz w:val="24"/>
          <w:szCs w:val="24"/>
        </w:rPr>
        <w:t xml:space="preserve"> Así, mientras que en el artículo 506.4 CP se hacía mención al robo cometido en oficina bancaria recaudatoria, mercantil u otra en la que se conserven caudales; el artículo 506.5 CP agravaba el delito por su comisión en edificio público o alguna de sus dependencias. Con el Código penal de 1995, desapareció la tipificación expresa </w:t>
      </w:r>
      <w:r w:rsidR="00B7219E">
        <w:rPr>
          <w:rFonts w:ascii="Times New Roman" w:hAnsi="Times New Roman" w:cs="Times New Roman"/>
          <w:sz w:val="24"/>
          <w:szCs w:val="24"/>
        </w:rPr>
        <w:t>de la oficina bancaria y se sustituyó el término de edificio público por el de edificio o local abierto al público.</w:t>
      </w:r>
      <w:r w:rsidR="00FB0D00">
        <w:rPr>
          <w:rFonts w:ascii="Times New Roman" w:hAnsi="Times New Roman" w:cs="Times New Roman"/>
          <w:sz w:val="24"/>
          <w:szCs w:val="24"/>
        </w:rPr>
        <w:t xml:space="preserve"> Jurisprudencialmente, dicha modificación supuso en el tenor literal de la STS de 16 de </w:t>
      </w:r>
      <w:r w:rsidR="00FB0D00">
        <w:rPr>
          <w:rFonts w:ascii="Times New Roman" w:hAnsi="Times New Roman" w:cs="Times New Roman"/>
          <w:sz w:val="24"/>
          <w:szCs w:val="24"/>
        </w:rPr>
        <w:lastRenderedPageBreak/>
        <w:t>junio de 1997, `` una descripción amplísima que acoge desde los edificios públicos en sentido estricto, hasta cualquier lugar que está a disposición de toda persona que en él quiera entrar ´´.</w:t>
      </w:r>
      <w:r w:rsidR="00DD1D2C">
        <w:rPr>
          <w:rFonts w:ascii="Times New Roman" w:hAnsi="Times New Roman" w:cs="Times New Roman"/>
          <w:sz w:val="24"/>
          <w:szCs w:val="24"/>
        </w:rPr>
        <w:t xml:space="preserve"> En este sentido, la jurisprudencia del Tribunal Supremo analiza la distinción entre edificio público y local abierto al público, a los efectos del tipo cualificado del delito de robo con fuerza en las cosas, determinando que en los primeros a lo que se quiere dar protección es al significado representativo del lugar, así como al posible daño público derivado del apoderamiento; aunque la agravación no surte efecto si el edificio público no otorga un servicio acces</w:t>
      </w:r>
      <w:r w:rsidR="00503710">
        <w:rPr>
          <w:rFonts w:ascii="Times New Roman" w:hAnsi="Times New Roman" w:cs="Times New Roman"/>
          <w:sz w:val="24"/>
          <w:szCs w:val="24"/>
        </w:rPr>
        <w:t>ible a la comunidad en general. En el caso de los locales abiertos al público, el tipo cualificado abarca a cualquier tipo de establecimiento en el que se desarrolla cualquier tipo de actividad, con el requisito de la libertad de acceso al público para realizar en él las gestiones que estimen convenientes.</w:t>
      </w:r>
      <w:r w:rsidR="00CC2D22">
        <w:rPr>
          <w:rStyle w:val="Refdenotaalpie"/>
          <w:rFonts w:ascii="Times New Roman" w:hAnsi="Times New Roman" w:cs="Times New Roman"/>
          <w:sz w:val="24"/>
          <w:szCs w:val="24"/>
        </w:rPr>
        <w:footnoteReference w:id="93"/>
      </w:r>
      <w:r w:rsidR="00104289">
        <w:rPr>
          <w:rFonts w:ascii="Times New Roman" w:hAnsi="Times New Roman" w:cs="Times New Roman"/>
          <w:sz w:val="24"/>
          <w:szCs w:val="24"/>
        </w:rPr>
        <w:t xml:space="preserve"> Por lo tanto, con independencia de la titularidad pública o privada del lugar donde se</w:t>
      </w:r>
      <w:r w:rsidR="00CD3269">
        <w:rPr>
          <w:rFonts w:ascii="Times New Roman" w:hAnsi="Times New Roman" w:cs="Times New Roman"/>
          <w:sz w:val="24"/>
          <w:szCs w:val="24"/>
        </w:rPr>
        <w:t xml:space="preserve"> comete la infracción delictiva, la exigibilidad de la aplicación del tipo cualificado requiere la libertad de acceso de todas aquellas personas distintas a las que permanecen habitualmente en dicho establecimiento.</w:t>
      </w:r>
    </w:p>
    <w:p w:rsidR="00CD3269" w:rsidRDefault="00CD3269"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Otra cuestión a dilucidar, fruto de la amplitud de los términos utilizados, se deriva de la cuestión de si restringir dicho tipo cualificado </w:t>
      </w:r>
      <w:r w:rsidR="00A0082D">
        <w:rPr>
          <w:rFonts w:ascii="Times New Roman" w:hAnsi="Times New Roman" w:cs="Times New Roman"/>
          <w:sz w:val="24"/>
          <w:szCs w:val="24"/>
        </w:rPr>
        <w:t>a la comisión del delito dentro de las horas de apertura del local, o ampliarlo a cuando tenga lugar en horas de cierre al público.</w:t>
      </w:r>
      <w:r w:rsidR="00B64F64">
        <w:rPr>
          <w:rFonts w:ascii="Times New Roman" w:hAnsi="Times New Roman" w:cs="Times New Roman"/>
          <w:sz w:val="24"/>
          <w:szCs w:val="24"/>
        </w:rPr>
        <w:t xml:space="preserve"> Derivado de dicha controvers</w:t>
      </w:r>
      <w:r w:rsidR="008E6FD0">
        <w:rPr>
          <w:rFonts w:ascii="Times New Roman" w:hAnsi="Times New Roman" w:cs="Times New Roman"/>
          <w:sz w:val="24"/>
          <w:szCs w:val="24"/>
        </w:rPr>
        <w:t>ia, surge el acuerdo no jurisdiccional de la Sala 2ª del Tribunal Supremo, de 22 de mayo de 1997, el cual adopta un criterio físico de apertura del local, determinando la aplicación del tipo cualificado de robo con fuerza en las cosas cuando el edificio se encuentre e</w:t>
      </w:r>
      <w:r w:rsidR="00DF3308">
        <w:rPr>
          <w:rFonts w:ascii="Times New Roman" w:hAnsi="Times New Roman" w:cs="Times New Roman"/>
          <w:sz w:val="24"/>
          <w:szCs w:val="24"/>
        </w:rPr>
        <w:t xml:space="preserve">n horas de apertura al público, </w:t>
      </w:r>
      <w:r w:rsidR="008E6FD0">
        <w:rPr>
          <w:rFonts w:ascii="Times New Roman" w:hAnsi="Times New Roman" w:cs="Times New Roman"/>
          <w:sz w:val="24"/>
          <w:szCs w:val="24"/>
        </w:rPr>
        <w:t>con fundamento en el potencial riesgo para las personas que puedan encontrarse en el lugar del robo.</w:t>
      </w:r>
      <w:r w:rsidR="00236494">
        <w:rPr>
          <w:rFonts w:ascii="Times New Roman" w:hAnsi="Times New Roman" w:cs="Times New Roman"/>
          <w:sz w:val="24"/>
          <w:szCs w:val="24"/>
        </w:rPr>
        <w:t xml:space="preserve"> Además, según la Fiscalía General del Estado, se debe apreciar el tipo cualificado cuando el delito se cometa fuera de las horas de apertura del establecimiento, pero el sujeto activo tenga conocimiento de la existencia de personas en su interior.</w:t>
      </w:r>
      <w:r w:rsidR="00CC2D22">
        <w:rPr>
          <w:rStyle w:val="Refdenotaalpie"/>
          <w:rFonts w:ascii="Times New Roman" w:hAnsi="Times New Roman" w:cs="Times New Roman"/>
          <w:sz w:val="24"/>
          <w:szCs w:val="24"/>
        </w:rPr>
        <w:footnoteReference w:id="94"/>
      </w:r>
    </w:p>
    <w:p w:rsidR="0039289C" w:rsidRDefault="0039289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Con la Ley Orgánica 1/2015, de 30 de marzo, los subtipos agravados de robo con fuerza en las cosas han sufrido modificaciones, pero no en su fundamentación esencial.</w:t>
      </w:r>
      <w:r>
        <w:rPr>
          <w:rStyle w:val="Refdenotaalpie"/>
          <w:rFonts w:ascii="Times New Roman" w:hAnsi="Times New Roman" w:cs="Times New Roman"/>
          <w:sz w:val="24"/>
          <w:szCs w:val="24"/>
        </w:rPr>
        <w:footnoteReference w:id="95"/>
      </w:r>
      <w:r>
        <w:rPr>
          <w:rFonts w:ascii="Times New Roman" w:hAnsi="Times New Roman" w:cs="Times New Roman"/>
          <w:sz w:val="24"/>
          <w:szCs w:val="24"/>
        </w:rPr>
        <w:t xml:space="preserve"> Es decir, se sigue manteniendo la especial consideración de la cualificación de casa habitada, edificio o local abiertos al público, o de sus dependencias, teniendo en cuenta que la intimidad del domicilio constituye un bien jurídico propio, cuya violación supone la comisión de una infracción tipificada de manera separada.</w:t>
      </w:r>
      <w:r w:rsidR="00546AE4">
        <w:rPr>
          <w:rStyle w:val="Refdenotaalpie"/>
          <w:rFonts w:ascii="Times New Roman" w:hAnsi="Times New Roman" w:cs="Times New Roman"/>
          <w:sz w:val="24"/>
          <w:szCs w:val="24"/>
        </w:rPr>
        <w:footnoteReference w:id="96"/>
      </w:r>
    </w:p>
    <w:p w:rsidR="00002710" w:rsidRDefault="0023649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Con la nueva</w:t>
      </w:r>
      <w:r w:rsidR="002058AD">
        <w:rPr>
          <w:rFonts w:ascii="Times New Roman" w:hAnsi="Times New Roman" w:cs="Times New Roman"/>
          <w:sz w:val="24"/>
          <w:szCs w:val="24"/>
        </w:rPr>
        <w:t xml:space="preserve"> regulación,</w:t>
      </w:r>
      <w:r w:rsidR="00B43A8C">
        <w:rPr>
          <w:rFonts w:ascii="Times New Roman" w:hAnsi="Times New Roman" w:cs="Times New Roman"/>
          <w:sz w:val="24"/>
          <w:szCs w:val="24"/>
        </w:rPr>
        <w:t xml:space="preserve"> en relación con el robo con fuerza en </w:t>
      </w:r>
      <w:r w:rsidR="002058AD">
        <w:rPr>
          <w:rFonts w:ascii="Times New Roman" w:hAnsi="Times New Roman" w:cs="Times New Roman"/>
          <w:sz w:val="24"/>
          <w:szCs w:val="24"/>
        </w:rPr>
        <w:t>casa habitada, edificio o local abiertos al público o sus dependencias, tipificado en el párrafo primero del artículo 241.1 CP, se mantiene la pena de prisión de dos a cinco años; aunque se ha introducido un segundo párrafo que contiene una moderación de la pena agravada a imponer, en contraposición con el endurecimiento general del reproche penal, en el caso de que los hechos delictivos se hubieran cometido en un establecimiento abierto al público, o en cualq</w:t>
      </w:r>
      <w:r w:rsidR="003A5AB5">
        <w:rPr>
          <w:rFonts w:ascii="Times New Roman" w:hAnsi="Times New Roman" w:cs="Times New Roman"/>
          <w:sz w:val="24"/>
          <w:szCs w:val="24"/>
        </w:rPr>
        <w:t xml:space="preserve">uiera de sus dependencias, pero fuera de las horas de apertura. La pena establecida </w:t>
      </w:r>
      <w:r w:rsidR="002C4D84">
        <w:rPr>
          <w:rFonts w:ascii="Times New Roman" w:hAnsi="Times New Roman" w:cs="Times New Roman"/>
          <w:sz w:val="24"/>
          <w:szCs w:val="24"/>
        </w:rPr>
        <w:t xml:space="preserve">en el  nuevo párrafo </w:t>
      </w:r>
      <w:r w:rsidR="003A5AB5">
        <w:rPr>
          <w:rFonts w:ascii="Times New Roman" w:hAnsi="Times New Roman" w:cs="Times New Roman"/>
          <w:sz w:val="24"/>
          <w:szCs w:val="24"/>
        </w:rPr>
        <w:t xml:space="preserve"> es la de prisión de uno a cinco años, inferior al límite mínimo de la pena impuesta por el párrafo anterior, destacando la ausencia </w:t>
      </w:r>
      <w:r w:rsidR="002C4D84">
        <w:rPr>
          <w:rFonts w:ascii="Times New Roman" w:hAnsi="Times New Roman" w:cs="Times New Roman"/>
          <w:sz w:val="24"/>
          <w:szCs w:val="24"/>
        </w:rPr>
        <w:t xml:space="preserve">de modificaciones en la </w:t>
      </w:r>
      <w:r w:rsidR="003A5AB5">
        <w:rPr>
          <w:rFonts w:ascii="Times New Roman" w:hAnsi="Times New Roman" w:cs="Times New Roman"/>
          <w:sz w:val="24"/>
          <w:szCs w:val="24"/>
        </w:rPr>
        <w:t>tramitación parlamentaria.</w:t>
      </w:r>
      <w:r w:rsidR="002C4D84">
        <w:rPr>
          <w:rFonts w:ascii="Times New Roman" w:hAnsi="Times New Roman" w:cs="Times New Roman"/>
          <w:sz w:val="24"/>
          <w:szCs w:val="24"/>
        </w:rPr>
        <w:t xml:space="preserve"> En este sentido, la utilización del término ``establecimiento´´ en el segundo párrafo</w:t>
      </w:r>
      <w:r w:rsidR="00953BED">
        <w:rPr>
          <w:rFonts w:ascii="Times New Roman" w:hAnsi="Times New Roman" w:cs="Times New Roman"/>
          <w:sz w:val="24"/>
          <w:szCs w:val="24"/>
        </w:rPr>
        <w:t xml:space="preserve"> parece hacer referencia en exclusiva a los locales privados abiertos al público, en los que se ejerce con carácter habitual una actividad económica, por lo que, al cometerse fuera de las horas de apertura, el desvalor respecto de la puesta en peligro de la sal</w:t>
      </w:r>
      <w:r w:rsidR="00380617">
        <w:rPr>
          <w:rFonts w:ascii="Times New Roman" w:hAnsi="Times New Roman" w:cs="Times New Roman"/>
          <w:sz w:val="24"/>
          <w:szCs w:val="24"/>
        </w:rPr>
        <w:t>ud de las personas sería menor. Sin embargo, de un análisis conjunto de los dos apartados a los que aquí hacemos referencia, la denominación a que el delito se cometa fuera de las horas de apertura, se dirige a cualquier tipo de establecimiento, con independencia de la justificación del supuesto concreto.</w:t>
      </w:r>
      <w:r w:rsidR="00A1758D">
        <w:rPr>
          <w:rStyle w:val="Refdenotaalpie"/>
          <w:rFonts w:ascii="Times New Roman" w:hAnsi="Times New Roman" w:cs="Times New Roman"/>
          <w:sz w:val="24"/>
          <w:szCs w:val="24"/>
        </w:rPr>
        <w:footnoteReference w:id="97"/>
      </w:r>
    </w:p>
    <w:p w:rsidR="00002710" w:rsidRDefault="00002710"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Por otro lado, el párrafo primero del artículo 241.1 CP hace referencia al término `` casa habitada ´´, como lugar típico para la cualificación del delito de robo con fuerza en las cosas, entendiendo la jurisprudencia (en consideración del artículo 241.2), la no necesidad de que dicha vivienda fuera la habitual del propietario, puesto que se aplicará </w:t>
      </w:r>
      <w:r>
        <w:rPr>
          <w:rFonts w:ascii="Times New Roman" w:hAnsi="Times New Roman" w:cs="Times New Roman"/>
          <w:sz w:val="24"/>
          <w:szCs w:val="24"/>
        </w:rPr>
        <w:lastRenderedPageBreak/>
        <w:t>el tipo con el simple hecho de acudi</w:t>
      </w:r>
      <w:r w:rsidR="000E2FAC">
        <w:rPr>
          <w:rFonts w:ascii="Times New Roman" w:hAnsi="Times New Roman" w:cs="Times New Roman"/>
          <w:sz w:val="24"/>
          <w:szCs w:val="24"/>
        </w:rPr>
        <w:t>r a la misma de forma ocasional (remisión a las Sentencias de la Audiencia Provincial de Alicante, de 20 de mayo de 2015, y de la Audiencia Provincial de Castellón, de 15 de diciembre de 2001).</w:t>
      </w:r>
      <w:r w:rsidR="00A1758D">
        <w:rPr>
          <w:rStyle w:val="Refdenotaalpie"/>
          <w:rFonts w:ascii="Times New Roman" w:hAnsi="Times New Roman" w:cs="Times New Roman"/>
          <w:sz w:val="24"/>
          <w:szCs w:val="24"/>
        </w:rPr>
        <w:footnoteReference w:id="98"/>
      </w:r>
      <w:r w:rsidR="000E2FAC">
        <w:rPr>
          <w:rFonts w:ascii="Times New Roman" w:hAnsi="Times New Roman" w:cs="Times New Roman"/>
          <w:sz w:val="24"/>
          <w:szCs w:val="24"/>
        </w:rPr>
        <w:t xml:space="preserve"> Así, los conceptos de `` casa habitada´´ y de `` dependencias de casa habitada o de edificio o local abierto al</w:t>
      </w:r>
      <w:r w:rsidR="00F133C2">
        <w:rPr>
          <w:rFonts w:ascii="Times New Roman" w:hAnsi="Times New Roman" w:cs="Times New Roman"/>
          <w:sz w:val="24"/>
          <w:szCs w:val="24"/>
        </w:rPr>
        <w:t xml:space="preserve"> </w:t>
      </w:r>
      <w:r w:rsidR="000E2FAC">
        <w:rPr>
          <w:rFonts w:ascii="Times New Roman" w:hAnsi="Times New Roman" w:cs="Times New Roman"/>
          <w:sz w:val="24"/>
          <w:szCs w:val="24"/>
        </w:rPr>
        <w:t>público´´</w:t>
      </w:r>
      <w:r w:rsidR="00F133C2">
        <w:rPr>
          <w:rFonts w:ascii="Times New Roman" w:hAnsi="Times New Roman" w:cs="Times New Roman"/>
          <w:sz w:val="24"/>
          <w:szCs w:val="24"/>
        </w:rPr>
        <w:t>, se mantienen en los mismos términos a los anteriores a la reforma.</w:t>
      </w:r>
    </w:p>
    <w:p w:rsidR="00F133C2" w:rsidRDefault="00F133C2"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De una lectura conjunta de los distintos apartados de este artículo 241 CP, se puede determinar que el tipo cualificado del delito de robo con fuerza en las cosas equipara la conducta realizada en casa habitada, a la cometida en edificio o local abierto al público, pero sólo dentro de las horas de apertura del mismo.</w:t>
      </w:r>
      <w:r w:rsidR="00787805">
        <w:rPr>
          <w:rFonts w:ascii="Times New Roman" w:hAnsi="Times New Roman" w:cs="Times New Roman"/>
          <w:sz w:val="24"/>
          <w:szCs w:val="24"/>
        </w:rPr>
        <w:t xml:space="preserve"> De esta manera, con la novedosa formu</w:t>
      </w:r>
      <w:r w:rsidR="00006DB0">
        <w:rPr>
          <w:rFonts w:ascii="Times New Roman" w:hAnsi="Times New Roman" w:cs="Times New Roman"/>
          <w:sz w:val="24"/>
          <w:szCs w:val="24"/>
        </w:rPr>
        <w:t>lación del artículo en cuestión, se da un tratamiento punitivo diferente al robo cometido en casa habitada, respecto al realizado en edificio o local abierto al público fuera de las horas de apertura, a excepción de la aplicación del artículo 241.4 (al cual en un apartado posterior haré referencia) que, de cumplirse en los hechos las exigencias típicas del mismo, se e</w:t>
      </w:r>
      <w:r w:rsidR="005B46D6">
        <w:rPr>
          <w:rFonts w:ascii="Times New Roman" w:hAnsi="Times New Roman" w:cs="Times New Roman"/>
          <w:sz w:val="24"/>
          <w:szCs w:val="24"/>
        </w:rPr>
        <w:t>quipara el robo con fuerza en las cosas cometido en edificio o local abierto al público, sin distinción de su realización dentro o fuera de las horas de apertura.</w:t>
      </w:r>
      <w:r w:rsidR="00A1758D">
        <w:rPr>
          <w:rStyle w:val="Refdenotaalpie"/>
          <w:rFonts w:ascii="Times New Roman" w:hAnsi="Times New Roman" w:cs="Times New Roman"/>
          <w:sz w:val="24"/>
          <w:szCs w:val="24"/>
        </w:rPr>
        <w:footnoteReference w:id="99"/>
      </w:r>
    </w:p>
    <w:p w:rsidR="005B46D6" w:rsidRDefault="005B46D6"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Considero conveniente, por identificativa con el tema aquí tratado, hacer mención a la Sentencia  de la Sección Segunda de la Audiencia Provincial de Jaén</w:t>
      </w:r>
      <w:r w:rsidR="002C515C">
        <w:rPr>
          <w:rFonts w:ascii="Times New Roman" w:hAnsi="Times New Roman" w:cs="Times New Roman"/>
          <w:sz w:val="24"/>
          <w:szCs w:val="24"/>
        </w:rPr>
        <w:t xml:space="preserve">, de 19 de mayo de 2015, la cual analiza la fundamentación de la cualificación del delito de robo con fuerza en las cosas. Según citada jurisprudencia, la agravación en los supuestos de casa habitada o de edificio público se aplica cuando el delito se cometa en cualquier momento, puesto que, mientras que en el primero se protege la intimidad de las personas y la mayor peligrosidad derivada de la posible existencia de moradores; en el segundo se justifica </w:t>
      </w:r>
      <w:r w:rsidR="00246F5D">
        <w:rPr>
          <w:rFonts w:ascii="Times New Roman" w:hAnsi="Times New Roman" w:cs="Times New Roman"/>
          <w:sz w:val="24"/>
          <w:szCs w:val="24"/>
        </w:rPr>
        <w:t>por la relevancia de la función pública o social.</w:t>
      </w:r>
      <w:r w:rsidR="001D44B1">
        <w:rPr>
          <w:rFonts w:ascii="Times New Roman" w:hAnsi="Times New Roman" w:cs="Times New Roman"/>
          <w:sz w:val="24"/>
          <w:szCs w:val="24"/>
        </w:rPr>
        <w:t xml:space="preserve"> En el caso de la comisión del delito en un local privado en el cual se desarrolla una actividad empresarial, el fundamento de la agravación reside en el potencial peligro para las personas que se pudieran encontrar en su interior, no dándose dicho riesgo en el caso de que los hechos tuvieran lugar fuera de las horas de apertura.</w:t>
      </w:r>
      <w:r w:rsidR="00A1758D">
        <w:rPr>
          <w:rStyle w:val="Refdenotaalpie"/>
          <w:rFonts w:ascii="Times New Roman" w:hAnsi="Times New Roman" w:cs="Times New Roman"/>
          <w:sz w:val="24"/>
          <w:szCs w:val="24"/>
        </w:rPr>
        <w:footnoteReference w:id="100"/>
      </w:r>
      <w:r w:rsidR="00C31309">
        <w:rPr>
          <w:rFonts w:ascii="Times New Roman" w:hAnsi="Times New Roman" w:cs="Times New Roman"/>
          <w:sz w:val="24"/>
          <w:szCs w:val="24"/>
        </w:rPr>
        <w:t xml:space="preserve"> No obstante, como ya hemos hecho referencia anteriormente, con la Ley Orgánica 1/2015 se incluye un tipo </w:t>
      </w:r>
      <w:r w:rsidR="00C31309">
        <w:rPr>
          <w:rFonts w:ascii="Times New Roman" w:hAnsi="Times New Roman" w:cs="Times New Roman"/>
          <w:sz w:val="24"/>
          <w:szCs w:val="24"/>
        </w:rPr>
        <w:lastRenderedPageBreak/>
        <w:t xml:space="preserve">atenuado del tipo cualificado de robo perpetrado en estos determinados lugares típicos, en el caso de cometerse fuera de las horas de apertura. Con esta regulación, se ofrece una tutela específica a determinados establecimientos como joyerías o entidades bancarias, ante robos realizados </w:t>
      </w:r>
      <w:r w:rsidR="00880E4D">
        <w:rPr>
          <w:rFonts w:ascii="Times New Roman" w:hAnsi="Times New Roman" w:cs="Times New Roman"/>
          <w:sz w:val="24"/>
          <w:szCs w:val="24"/>
        </w:rPr>
        <w:t>mediante la técnica del butrón o del alunizaje, fuera de las horas de apertura del correspondiente negocio.</w:t>
      </w:r>
    </w:p>
    <w:p w:rsidR="003230E6" w:rsidRDefault="003230E6"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referente al resto de la configuración del artículo 241 CP, </w:t>
      </w:r>
      <w:r w:rsidR="0042244C">
        <w:rPr>
          <w:rFonts w:ascii="Times New Roman" w:hAnsi="Times New Roman" w:cs="Times New Roman"/>
          <w:sz w:val="24"/>
          <w:szCs w:val="24"/>
        </w:rPr>
        <w:t>los apartados segundo y tercero contienen las definiciones de casa habitada y de dependencias de casa habitada o de edificio o local abierto al público. En este sentido, no me extenderé en su desarrollo, puesto que dichos términos se mantienen idénticos a los anteriores a la reforma.</w:t>
      </w:r>
    </w:p>
    <w:p w:rsidR="001E4667" w:rsidRDefault="00CF7DCD"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considero conveniente realizar un análisis crítico del tipo aquí comentado, tanto desde el punto de vista de la jurisprudencia, como desde el sector de la doctrina.</w:t>
      </w:r>
      <w:r w:rsidR="0042244C">
        <w:rPr>
          <w:rFonts w:ascii="Times New Roman" w:hAnsi="Times New Roman" w:cs="Times New Roman"/>
          <w:sz w:val="24"/>
          <w:szCs w:val="24"/>
        </w:rPr>
        <w:t xml:space="preserve"> Por un lado, tomando como referencia las </w:t>
      </w:r>
      <w:r w:rsidR="00F151EE">
        <w:rPr>
          <w:rFonts w:ascii="Times New Roman" w:hAnsi="Times New Roman" w:cs="Times New Roman"/>
          <w:sz w:val="24"/>
          <w:szCs w:val="24"/>
        </w:rPr>
        <w:t>SSTS de 16 de junio de 1977 y</w:t>
      </w:r>
      <w:r w:rsidR="0042244C">
        <w:rPr>
          <w:rFonts w:ascii="Times New Roman" w:hAnsi="Times New Roman" w:cs="Times New Roman"/>
          <w:sz w:val="24"/>
          <w:szCs w:val="24"/>
        </w:rPr>
        <w:t xml:space="preserve"> 21 de noviembre de 1997</w:t>
      </w:r>
      <w:r w:rsidR="00F151EE">
        <w:rPr>
          <w:rFonts w:ascii="Times New Roman" w:hAnsi="Times New Roman" w:cs="Times New Roman"/>
          <w:sz w:val="24"/>
          <w:szCs w:val="24"/>
        </w:rPr>
        <w:t>, se entiende que el fundamento del tipo agravado contenido en el artículo 241 CP, reside en evitar los posibles enfrentamientos entre autores y sujetos pasivos o meros expectantes del suceso, ya que de los mismos se pueden derivar graves consecuencias.</w:t>
      </w:r>
      <w:r w:rsidR="002D0065">
        <w:rPr>
          <w:rStyle w:val="Refdenotaalpie"/>
          <w:rFonts w:ascii="Times New Roman" w:hAnsi="Times New Roman" w:cs="Times New Roman"/>
          <w:sz w:val="24"/>
          <w:szCs w:val="24"/>
        </w:rPr>
        <w:footnoteReference w:id="101"/>
      </w:r>
      <w:r w:rsidR="00261802">
        <w:rPr>
          <w:rFonts w:ascii="Times New Roman" w:hAnsi="Times New Roman" w:cs="Times New Roman"/>
          <w:sz w:val="24"/>
          <w:szCs w:val="24"/>
        </w:rPr>
        <w:t xml:space="preserve"> Desde un punto de vista doctrinal, se expresa la ausencia de justificación del incremento del rigor punitivo impuesto por el legislador, configurando una circunstancia locativa con el objetivo de dar un plus de protección a determinados lugares abiertos al público. De hecho, con la cualificación del delito de robo con fuerza en las cosas se pueden derivar co</w:t>
      </w:r>
      <w:r w:rsidR="00CB7698">
        <w:rPr>
          <w:rFonts w:ascii="Times New Roman" w:hAnsi="Times New Roman" w:cs="Times New Roman"/>
          <w:sz w:val="24"/>
          <w:szCs w:val="24"/>
        </w:rPr>
        <w:t>nsecuencias jurídicas distintas</w:t>
      </w:r>
      <w:r w:rsidR="00261802">
        <w:rPr>
          <w:rFonts w:ascii="Times New Roman" w:hAnsi="Times New Roman" w:cs="Times New Roman"/>
          <w:sz w:val="24"/>
          <w:szCs w:val="24"/>
        </w:rPr>
        <w:t xml:space="preserve"> de conductas que pueden ser materialmente iguales.</w:t>
      </w:r>
      <w:r w:rsidR="00CB7698">
        <w:rPr>
          <w:rFonts w:ascii="Times New Roman" w:hAnsi="Times New Roman" w:cs="Times New Roman"/>
          <w:sz w:val="24"/>
          <w:szCs w:val="24"/>
        </w:rPr>
        <w:t xml:space="preserve"> Desde el punto de vista práctico, parece no haber diferencia alguna entre la sustracción realizada en un almacén que no esté abierto al público, utilizando alguna de las modalidades de fuerza dispuestas en el artículo 238 CP; y la realizada en un club de alterne fuera de las horas de apertura. Entonces, se debería plantear la cuestión de porque imponer un tratamiento punitivo diferente.</w:t>
      </w:r>
      <w:r w:rsidR="002D0065">
        <w:rPr>
          <w:rStyle w:val="Refdenotaalpie"/>
          <w:rFonts w:ascii="Times New Roman" w:hAnsi="Times New Roman" w:cs="Times New Roman"/>
          <w:sz w:val="24"/>
          <w:szCs w:val="24"/>
        </w:rPr>
        <w:footnoteReference w:id="102"/>
      </w:r>
      <w:r w:rsidR="00682EFB">
        <w:rPr>
          <w:rFonts w:ascii="Times New Roman" w:hAnsi="Times New Roman" w:cs="Times New Roman"/>
          <w:sz w:val="24"/>
          <w:szCs w:val="24"/>
        </w:rPr>
        <w:t xml:space="preserve"> Además de lo aquí mencionado, la agravación parece carecer de fundamento, si tenemos en cuenta que el riesgo de lesión para las personas que se encuentren en el local donde se comete el robo existiría si el autor empleara la violencia o algún arma, </w:t>
      </w:r>
      <w:r w:rsidR="00343D62">
        <w:rPr>
          <w:rFonts w:ascii="Times New Roman" w:hAnsi="Times New Roman" w:cs="Times New Roman"/>
          <w:sz w:val="24"/>
          <w:szCs w:val="24"/>
        </w:rPr>
        <w:t xml:space="preserve">poniendo en peligro la integridad física de éstas; pero, en este caso, se debería reconducir la conducta </w:t>
      </w:r>
      <w:r w:rsidR="00343D62">
        <w:rPr>
          <w:rFonts w:ascii="Times New Roman" w:hAnsi="Times New Roman" w:cs="Times New Roman"/>
          <w:sz w:val="24"/>
          <w:szCs w:val="24"/>
        </w:rPr>
        <w:lastRenderedPageBreak/>
        <w:t>al delito de robo con violencia o intimidación, el cual está castigado con la pena de prisión de dos a cinco años.</w:t>
      </w:r>
      <w:r w:rsidR="002D0065">
        <w:rPr>
          <w:rStyle w:val="Refdenotaalpie"/>
          <w:rFonts w:ascii="Times New Roman" w:hAnsi="Times New Roman" w:cs="Times New Roman"/>
          <w:sz w:val="24"/>
          <w:szCs w:val="24"/>
        </w:rPr>
        <w:footnoteReference w:id="103"/>
      </w:r>
    </w:p>
    <w:p w:rsidR="001E4667" w:rsidRDefault="001E4667" w:rsidP="00931F05">
      <w:pPr>
        <w:spacing w:line="360" w:lineRule="auto"/>
        <w:jc w:val="both"/>
        <w:rPr>
          <w:rFonts w:ascii="Times New Roman" w:hAnsi="Times New Roman" w:cs="Times New Roman"/>
          <w:sz w:val="24"/>
          <w:szCs w:val="24"/>
        </w:rPr>
      </w:pPr>
    </w:p>
    <w:p w:rsidR="001E4667" w:rsidRDefault="001E466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3.4) NUEVO TIPO CUALIFICADO DEL ARTÍCULO 241.4 CP.</w:t>
      </w:r>
    </w:p>
    <w:p w:rsidR="001E4667" w:rsidRDefault="001E4667" w:rsidP="00931F05">
      <w:pPr>
        <w:spacing w:line="360" w:lineRule="auto"/>
        <w:jc w:val="both"/>
        <w:rPr>
          <w:rFonts w:ascii="Times New Roman" w:hAnsi="Times New Roman" w:cs="Times New Roman"/>
          <w:sz w:val="24"/>
          <w:szCs w:val="24"/>
        </w:rPr>
      </w:pPr>
    </w:p>
    <w:p w:rsidR="001E4667" w:rsidRDefault="001E466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primer lugar, en la lectura que realizamos de este tipo agravado, se puede determinar que, tras la reforma operada por la Ley Orgánica 1/2015, se incluye un tipo cualificado del delito de robo con fuerza en las cosas</w:t>
      </w:r>
      <w:r w:rsidR="00866680">
        <w:rPr>
          <w:rFonts w:ascii="Times New Roman" w:hAnsi="Times New Roman" w:cs="Times New Roman"/>
          <w:sz w:val="24"/>
          <w:szCs w:val="24"/>
        </w:rPr>
        <w:t xml:space="preserve"> en casa habitada o edificio o local abierto al público</w:t>
      </w:r>
      <w:r>
        <w:rPr>
          <w:rFonts w:ascii="Times New Roman" w:hAnsi="Times New Roman" w:cs="Times New Roman"/>
          <w:sz w:val="24"/>
          <w:szCs w:val="24"/>
        </w:rPr>
        <w:t>, con base en el modo de comisión del delito</w:t>
      </w:r>
      <w:r w:rsidR="00866680">
        <w:rPr>
          <w:rFonts w:ascii="Times New Roman" w:hAnsi="Times New Roman" w:cs="Times New Roman"/>
          <w:sz w:val="24"/>
          <w:szCs w:val="24"/>
        </w:rPr>
        <w:t xml:space="preserve"> o de la gravedad de los daños causados. Literalmente, dispone el artículo 241.4 CP la imposición de una pena de prisión de dos a seis años cuando los hechos a los que hacen referencia los apartados anteriores de dicho artículo revistan especial gravedad, atendiendo a la forma de comisión del delito o a los perjuicios ocasionados. A continuación, se incluye la alusión a que la agravación será de aplicación de concluir alguna de las circunstancias dispuestas en el artículo 235 CP.</w:t>
      </w:r>
      <w:r w:rsidR="00D12BDC">
        <w:rPr>
          <w:rStyle w:val="Refdenotaalpie"/>
          <w:rFonts w:ascii="Times New Roman" w:hAnsi="Times New Roman" w:cs="Times New Roman"/>
          <w:sz w:val="24"/>
          <w:szCs w:val="24"/>
        </w:rPr>
        <w:footnoteReference w:id="104"/>
      </w:r>
    </w:p>
    <w:p w:rsidR="003056E3" w:rsidRDefault="003056E3"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Una vez señalada esta nueva modalidad agravada, considerar una interpretación diferente a lo dispuesto en el artículo 235.5 CP, el cual hace referencia a los hechos que revistan especial gravedad, en el sentido del valor de los efectos sustraídos o a la producción de perjuicios de especial de consideración.</w:t>
      </w:r>
      <w:r w:rsidR="008E2282">
        <w:rPr>
          <w:rFonts w:ascii="Times New Roman" w:hAnsi="Times New Roman" w:cs="Times New Roman"/>
          <w:sz w:val="24"/>
          <w:szCs w:val="24"/>
        </w:rPr>
        <w:t xml:space="preserve"> Así, mientras que con este tipo cualificado del artículo 241.4 CP se castiga la gravedad de la fuerza empleada o los perjuicios ocasionados con la misma; lo tipificado en la circunstancia agravatoria en cuestión, aplicable al delito de hurto y extendida a los delitos de robo, se deriva directamente de la propia sustracción de la cosa mueble ajena.</w:t>
      </w:r>
      <w:r w:rsidR="00D12BDC">
        <w:rPr>
          <w:rStyle w:val="Refdenotaalpie"/>
          <w:rFonts w:ascii="Times New Roman" w:hAnsi="Times New Roman" w:cs="Times New Roman"/>
          <w:sz w:val="24"/>
          <w:szCs w:val="24"/>
        </w:rPr>
        <w:footnoteReference w:id="105"/>
      </w:r>
    </w:p>
    <w:p w:rsidR="00A072A5" w:rsidRDefault="00A072A5"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sentido, conviene hacer referencia al preámbulo de la citada Ley, el cual hace referencia a la finalidad de castigar este modo concreto de ejecutar el delito en cuestión, </w:t>
      </w:r>
      <w:r>
        <w:rPr>
          <w:rFonts w:ascii="Times New Roman" w:hAnsi="Times New Roman" w:cs="Times New Roman"/>
          <w:sz w:val="24"/>
          <w:szCs w:val="24"/>
        </w:rPr>
        <w:lastRenderedPageBreak/>
        <w:t>como fundamentación de este nuevo tipo penal.</w:t>
      </w:r>
      <w:r w:rsidR="00D12BDC">
        <w:rPr>
          <w:rStyle w:val="Refdenotaalpie"/>
          <w:rFonts w:ascii="Times New Roman" w:hAnsi="Times New Roman" w:cs="Times New Roman"/>
          <w:sz w:val="24"/>
          <w:szCs w:val="24"/>
        </w:rPr>
        <w:footnoteReference w:id="106"/>
      </w:r>
      <w:r>
        <w:rPr>
          <w:rFonts w:ascii="Times New Roman" w:hAnsi="Times New Roman" w:cs="Times New Roman"/>
          <w:sz w:val="24"/>
          <w:szCs w:val="24"/>
        </w:rPr>
        <w:t xml:space="preserve"> Así, la única modificación que ha sufrido en la tramitación parlamentaria se deriva de la supresión de la alusión al artículo 235 bis</w:t>
      </w:r>
      <w:r w:rsidR="008B60F8">
        <w:rPr>
          <w:rFonts w:ascii="Times New Roman" w:hAnsi="Times New Roman" w:cs="Times New Roman"/>
          <w:sz w:val="24"/>
          <w:szCs w:val="24"/>
        </w:rPr>
        <w:t>, el cual no se incorporó definitivamente.</w:t>
      </w:r>
    </w:p>
    <w:p w:rsidR="008B60F8" w:rsidRDefault="008B60F8"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lo referente a la justificación de este precepto, considerar que el mismo ha sido objeto de controversia, en razón de utilizar un concepto jurídico indeterminado como es `` cuando el hecho revista especial gravedad´´. Además, para considerar dicha manifestación se utilizan unos criterios genéricos poco delimitados, basados en la ``forma de comisión del delito´´ o en los ``perjuicios ocasionados´´. A este respecto, en mucho casos </w:t>
      </w:r>
      <w:r w:rsidR="00FE4021">
        <w:rPr>
          <w:rFonts w:ascii="Times New Roman" w:hAnsi="Times New Roman" w:cs="Times New Roman"/>
          <w:sz w:val="24"/>
          <w:szCs w:val="24"/>
        </w:rPr>
        <w:t xml:space="preserve">no se podría enjuiciar con una proporcionalidad adecuada, si comparamos una pena de prisión de hasta seis años con la gravedad de la forma de comisión del delito o del perjuicio ocasionado. Lo aquí citado tiene sus consecuencias procesales, en el sentido de que la pena de prisión de dos a seis años deberá, en su caso, ser impuesta con carácter imperativo por jueces y tribunales, además de que, en atención a los artículos 14.3 y 14.4 de la Ley de Enjuiciamiento Criminal, dicha modificación de la penalidad conllevará </w:t>
      </w:r>
      <w:r w:rsidR="00374F4A">
        <w:rPr>
          <w:rFonts w:ascii="Times New Roman" w:hAnsi="Times New Roman" w:cs="Times New Roman"/>
          <w:sz w:val="24"/>
          <w:szCs w:val="24"/>
        </w:rPr>
        <w:t>un cambio en la competencia para el enjuiciamiento de estos delitos, que pasarán de los Juzgados de lo Penal a la Audiencia Provincial, con las consecuencias que de ello se derivan.</w:t>
      </w:r>
      <w:r w:rsidR="00E21D71">
        <w:rPr>
          <w:rStyle w:val="Refdenotaalpie"/>
          <w:rFonts w:ascii="Times New Roman" w:hAnsi="Times New Roman" w:cs="Times New Roman"/>
          <w:sz w:val="24"/>
          <w:szCs w:val="24"/>
        </w:rPr>
        <w:footnoteReference w:id="107"/>
      </w:r>
    </w:p>
    <w:p w:rsidR="00374F4A" w:rsidRDefault="00374F4A" w:rsidP="00931F05">
      <w:pPr>
        <w:spacing w:line="360" w:lineRule="auto"/>
        <w:jc w:val="both"/>
        <w:rPr>
          <w:rFonts w:ascii="Times New Roman" w:hAnsi="Times New Roman" w:cs="Times New Roman"/>
          <w:sz w:val="24"/>
          <w:szCs w:val="24"/>
        </w:rPr>
      </w:pPr>
    </w:p>
    <w:p w:rsidR="00374F4A" w:rsidRDefault="00890EE4"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Considero conveniente traer aquí a colación las posibles situaciones concursales, derivadas del empleo de la fuerza típica, utilizada para acceder o abandonar el lugar donde se encuentra el objeto material del delito de robo con fuerza en las cosas, en relación a los daños derivados del empleo de la misma. Tras la Ley Orgánica 1/2015, la respuesta a esta cuestión queda como a continuación desarrollaré. Por un lado, </w:t>
      </w:r>
      <w:r w:rsidR="00D96B68">
        <w:rPr>
          <w:rFonts w:ascii="Times New Roman" w:hAnsi="Times New Roman" w:cs="Times New Roman"/>
          <w:sz w:val="24"/>
          <w:szCs w:val="24"/>
        </w:rPr>
        <w:t>en relación con el tipo básico y los tipos agravados derivados del mismo,</w:t>
      </w:r>
      <w:r w:rsidR="002A29EE">
        <w:rPr>
          <w:rFonts w:ascii="Times New Roman" w:hAnsi="Times New Roman" w:cs="Times New Roman"/>
          <w:sz w:val="24"/>
          <w:szCs w:val="24"/>
        </w:rPr>
        <w:t xml:space="preserve"> no ha habido modificación alguna, distinguiendo entre los daños inherentes a la fuerza empleada que son necesarios para acceder o abandonar el lugar donde se encuentra el objeto material del delito de robo con fuerza en las cosas, los cuales son absorbidos por el delito en cuestión, formando parte de la responsabilidad civil; mientras que aquellos daños </w:t>
      </w:r>
      <w:r w:rsidR="00282AB9">
        <w:rPr>
          <w:rFonts w:ascii="Times New Roman" w:hAnsi="Times New Roman" w:cs="Times New Roman"/>
          <w:sz w:val="24"/>
          <w:szCs w:val="24"/>
        </w:rPr>
        <w:t xml:space="preserve">que excedan de los necesarios para cometer el delito en cuestión, podrán ser calificados </w:t>
      </w:r>
      <w:r w:rsidR="00282AB9">
        <w:rPr>
          <w:rFonts w:ascii="Times New Roman" w:hAnsi="Times New Roman" w:cs="Times New Roman"/>
          <w:sz w:val="24"/>
          <w:szCs w:val="24"/>
        </w:rPr>
        <w:lastRenderedPageBreak/>
        <w:t>como delito de daños, originándose un concurso real de delitos. Por otro lado, en relación al delito de robo con fuerza en las cosas en casa habitada o edificio o local abierto al público</w:t>
      </w:r>
      <w:r w:rsidR="004E1D38">
        <w:rPr>
          <w:rFonts w:ascii="Times New Roman" w:hAnsi="Times New Roman" w:cs="Times New Roman"/>
          <w:sz w:val="24"/>
          <w:szCs w:val="24"/>
        </w:rPr>
        <w:t>, y, más concretamente, respecto a la modalidad agravada del artículo 241.4 CP, se puede determinar que, con independencia de la gravedad de los daños ocasionados, estos estarán comprendidos en esta nueva figura agravada.</w:t>
      </w:r>
      <w:r w:rsidR="00E21D71">
        <w:rPr>
          <w:rStyle w:val="Refdenotaalpie"/>
          <w:rFonts w:ascii="Times New Roman" w:hAnsi="Times New Roman" w:cs="Times New Roman"/>
          <w:sz w:val="24"/>
          <w:szCs w:val="24"/>
        </w:rPr>
        <w:footnoteReference w:id="108"/>
      </w:r>
    </w:p>
    <w:p w:rsidR="0002783E" w:rsidRDefault="0002783E"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Por último, destacar que, atendiendo al Informe del Consejo Fiscal, si se pretende sancionar determinadas modalidades de robo como los butrones o los alunizajes,</w:t>
      </w:r>
      <w:r w:rsidR="00625F2B">
        <w:rPr>
          <w:rFonts w:ascii="Times New Roman" w:hAnsi="Times New Roman" w:cs="Times New Roman"/>
          <w:sz w:val="24"/>
          <w:szCs w:val="24"/>
        </w:rPr>
        <w:t xml:space="preserve"> sería conveniente especificar la aplicación de esta modalidad agravada, tanto cuando el establecimiento se encuentre abierto al público, como cuando los hechos se cometan fuera de las horas de apertura. Sin embargo, en esta nueva modalidad agravada no se establece una distinción punitiva, imponiéndose, en todo caso, una pena de prisión de dos a seis años.</w:t>
      </w:r>
      <w:r w:rsidR="00E21D71">
        <w:rPr>
          <w:rStyle w:val="Refdenotaalpie"/>
          <w:rFonts w:ascii="Times New Roman" w:hAnsi="Times New Roman" w:cs="Times New Roman"/>
          <w:sz w:val="24"/>
          <w:szCs w:val="24"/>
        </w:rPr>
        <w:footnoteReference w:id="109"/>
      </w:r>
      <w:r w:rsidR="007D2DF5">
        <w:rPr>
          <w:rFonts w:ascii="Times New Roman" w:hAnsi="Times New Roman" w:cs="Times New Roman"/>
          <w:sz w:val="24"/>
          <w:szCs w:val="24"/>
        </w:rPr>
        <w:t xml:space="preserve"> Por lo tanto, en un examen de la doctrina jurisprudencial, considero que el legislador debería haber sido más concreto y haber creado un tipo cualificado que abarcara específicamente estos supuestos. En este sentido, a modo de ejemplo, </w:t>
      </w:r>
      <w:r w:rsidR="001C1369">
        <w:rPr>
          <w:rFonts w:ascii="Times New Roman" w:hAnsi="Times New Roman" w:cs="Times New Roman"/>
          <w:sz w:val="24"/>
          <w:szCs w:val="24"/>
        </w:rPr>
        <w:t>la comisión de un delito de robo en un establecimiento abierto al público fuera de las horas de apertura, por cualquiera de los procedimientos citados que manifiestan una mayor grave</w:t>
      </w:r>
      <w:r w:rsidR="0021220D">
        <w:rPr>
          <w:rFonts w:ascii="Times New Roman" w:hAnsi="Times New Roman" w:cs="Times New Roman"/>
          <w:sz w:val="24"/>
          <w:szCs w:val="24"/>
        </w:rPr>
        <w:t>dad, será castigado con la pena de prisión de dos a seis años; mientras que, con anterioridad a la nueva regulación, este supuesto no aparecía contemplado expresamente en el artículo 241.1 CP.</w:t>
      </w:r>
      <w:r w:rsidR="00E21D71">
        <w:rPr>
          <w:rStyle w:val="Refdenotaalpie"/>
          <w:rFonts w:ascii="Times New Roman" w:hAnsi="Times New Roman" w:cs="Times New Roman"/>
          <w:sz w:val="24"/>
          <w:szCs w:val="24"/>
        </w:rPr>
        <w:footnoteReference w:id="110"/>
      </w:r>
      <w:r w:rsidR="00A1467A">
        <w:rPr>
          <w:rFonts w:ascii="Times New Roman" w:hAnsi="Times New Roman" w:cs="Times New Roman"/>
          <w:sz w:val="24"/>
          <w:szCs w:val="24"/>
        </w:rPr>
        <w:t xml:space="preserve"> Así, en la redacción anterior a la reforma, la utilización de la técnica del alunizaje en establecimientos abiertos al público fuera de las horas de apertura, se reconducía al delito de robo con fuerza de los artículos 237, 238.2 y 240 CP, como se puede observar en la STS de 25 de noviembre de 2008.</w:t>
      </w:r>
    </w:p>
    <w:p w:rsidR="00803BAC" w:rsidRDefault="00803BAC" w:rsidP="00931F05">
      <w:pPr>
        <w:spacing w:line="360" w:lineRule="auto"/>
        <w:jc w:val="both"/>
        <w:rPr>
          <w:rFonts w:ascii="Times New Roman" w:hAnsi="Times New Roman" w:cs="Times New Roman"/>
          <w:sz w:val="24"/>
          <w:szCs w:val="24"/>
        </w:rPr>
      </w:pPr>
    </w:p>
    <w:p w:rsidR="00803BAC" w:rsidRDefault="00803BA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CAPÍTULO 4: CONCLUSIONES.</w:t>
      </w:r>
    </w:p>
    <w:p w:rsidR="00803BAC" w:rsidRDefault="00803BAC" w:rsidP="00931F05">
      <w:pPr>
        <w:spacing w:line="360" w:lineRule="auto"/>
        <w:jc w:val="both"/>
        <w:rPr>
          <w:rFonts w:ascii="Times New Roman" w:hAnsi="Times New Roman" w:cs="Times New Roman"/>
          <w:sz w:val="24"/>
          <w:szCs w:val="24"/>
        </w:rPr>
      </w:pPr>
    </w:p>
    <w:p w:rsidR="00803BAC" w:rsidRDefault="00803BA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este escrito de conclusiones pretendo hacer una sistematización de las líneas generales abarcadas en el presente trabajo, con el objetivo principal de dar a conocer, </w:t>
      </w:r>
      <w:r>
        <w:rPr>
          <w:rFonts w:ascii="Times New Roman" w:hAnsi="Times New Roman" w:cs="Times New Roman"/>
          <w:sz w:val="24"/>
          <w:szCs w:val="24"/>
        </w:rPr>
        <w:lastRenderedPageBreak/>
        <w:t>con total entendimiento, la nueva regulación de los delitos patrimoniales de apoderamiento, sin violencia ni intimidación, surgida tras la Ley Orgánica 1/2015. Una vez estudiada esta amplia reforma, considerarla como una actualización de la justicia penal, con base en una ampliación de los tipos penales, así como una elevación de la penalidad. En este sentido, queda en duda, en muchas ocasiones, el cumplimiento del principio de intervención mínima del Derecho penal, como base del sistema sancionador</w:t>
      </w:r>
      <w:r w:rsidR="00DD07A8">
        <w:rPr>
          <w:rFonts w:ascii="Times New Roman" w:hAnsi="Times New Roman" w:cs="Times New Roman"/>
          <w:sz w:val="24"/>
          <w:szCs w:val="24"/>
        </w:rPr>
        <w:t>.</w:t>
      </w:r>
    </w:p>
    <w:p w:rsidR="00DD07A8" w:rsidRDefault="00DD07A8"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Bien, en un primer capítulo, con carácter introductorio, he dedicado una serie de páginas a la identificación de los delitos concretos de hurto y de robo con fuerza en las cosas. Para ello, considerar adecuado un análisis de los elementos comunes que sirven de nexo entre ambas figuras delictivas, comprendiendo la protección de la propiedad de cosas muebles, ante conductas de sustracción realizadas con ánimo de lucro. Con posterioridad, procedo en un apartado a manifestar las diferencias entre ambos delitos, las cuales justifican su tipificación por separado en el Código Penal</w:t>
      </w:r>
    </w:p>
    <w:p w:rsidR="003432D7" w:rsidRDefault="003432D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segundo y tercer capítulo, baso mi esfuerzo en desarrollar la afectación al delito de hurto y de robo con fuerza en las cosas, consecuencia de la nueva regulación. Así, ante el aumento de la </w:t>
      </w:r>
      <w:proofErr w:type="spellStart"/>
      <w:r>
        <w:rPr>
          <w:rFonts w:ascii="Times New Roman" w:hAnsi="Times New Roman" w:cs="Times New Roman"/>
          <w:sz w:val="24"/>
          <w:szCs w:val="24"/>
        </w:rPr>
        <w:t>litigiosidad</w:t>
      </w:r>
      <w:proofErr w:type="spellEnd"/>
      <w:r>
        <w:rPr>
          <w:rFonts w:ascii="Times New Roman" w:hAnsi="Times New Roman" w:cs="Times New Roman"/>
          <w:sz w:val="24"/>
          <w:szCs w:val="24"/>
        </w:rPr>
        <w:t>, especialmente en la jurisdicción penal, se llevan a cabo importantes modificaciones en el ámbito de los delitos patrimoniales, que se basan, en líneas generales, en una conversión de la falta de hurto en delito leve, en una ampliación del concepto de robo con fuerza en las cosas, así como en la incorporación de nuevos tipos cualificados y una notable ampliación de la penalidad.</w:t>
      </w:r>
      <w:r w:rsidR="00164352">
        <w:rPr>
          <w:rStyle w:val="Refdenotaalpie"/>
          <w:rFonts w:ascii="Times New Roman" w:hAnsi="Times New Roman" w:cs="Times New Roman"/>
          <w:sz w:val="24"/>
          <w:szCs w:val="24"/>
        </w:rPr>
        <w:footnoteReference w:id="111"/>
      </w:r>
    </w:p>
    <w:p w:rsidR="003432D7" w:rsidRDefault="003432D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Particularmente, hago especial hincapié en la supresión de la falta de hurto y su incorporación como delito leve. </w:t>
      </w:r>
      <w:r w:rsidR="003F6950">
        <w:rPr>
          <w:rFonts w:ascii="Times New Roman" w:hAnsi="Times New Roman" w:cs="Times New Roman"/>
          <w:sz w:val="24"/>
          <w:szCs w:val="24"/>
        </w:rPr>
        <w:t xml:space="preserve">Con el objetivo de mejorar la eficacia de la justicia penal, se suprime la regulación de las faltas en el Libro III del Código Penal, aunque, como en el caso del delito en cuestión, algunas de ellas pasan a configurarse como delito leve. Hacer mención al nuevo tipo cualificado introducido en el artículo 234.3 CP, en el sentido de que sirve como nexo de relación con el delito de robo con fuerza en las cosas, en la modalidad de inutilización de los sistemas de alarma. Del mismo modo, se modifica el catálogo de agravantes específicas de los delitos patrimoniales, ante el objetivo esencial de hacer frente al problema de la </w:t>
      </w:r>
      <w:proofErr w:type="spellStart"/>
      <w:r w:rsidR="003F6950">
        <w:rPr>
          <w:rFonts w:ascii="Times New Roman" w:hAnsi="Times New Roman" w:cs="Times New Roman"/>
          <w:sz w:val="24"/>
          <w:szCs w:val="24"/>
        </w:rPr>
        <w:t>multirreincidencia</w:t>
      </w:r>
      <w:proofErr w:type="spellEnd"/>
      <w:r w:rsidR="003F6950">
        <w:rPr>
          <w:rFonts w:ascii="Times New Roman" w:hAnsi="Times New Roman" w:cs="Times New Roman"/>
          <w:sz w:val="24"/>
          <w:szCs w:val="24"/>
        </w:rPr>
        <w:t xml:space="preserve"> y de la </w:t>
      </w:r>
      <w:r w:rsidR="003F6950">
        <w:rPr>
          <w:rFonts w:ascii="Times New Roman" w:hAnsi="Times New Roman" w:cs="Times New Roman"/>
          <w:sz w:val="24"/>
          <w:szCs w:val="24"/>
        </w:rPr>
        <w:lastRenderedPageBreak/>
        <w:t>criminalidad grave. Además de este objetivo, se han introducido otros supuestos que tienen como misión dar una protección mayor ante hechos cometidos bajo determinadas circ</w:t>
      </w:r>
      <w:r w:rsidR="00862A91">
        <w:rPr>
          <w:rFonts w:ascii="Times New Roman" w:hAnsi="Times New Roman" w:cs="Times New Roman"/>
          <w:sz w:val="24"/>
          <w:szCs w:val="24"/>
        </w:rPr>
        <w:t>unstancias, desarrollando los mismo</w:t>
      </w:r>
      <w:r w:rsidR="003F6950">
        <w:rPr>
          <w:rFonts w:ascii="Times New Roman" w:hAnsi="Times New Roman" w:cs="Times New Roman"/>
          <w:sz w:val="24"/>
          <w:szCs w:val="24"/>
        </w:rPr>
        <w:t>s</w:t>
      </w:r>
      <w:r w:rsidR="00862A91">
        <w:rPr>
          <w:rFonts w:ascii="Times New Roman" w:hAnsi="Times New Roman" w:cs="Times New Roman"/>
          <w:sz w:val="24"/>
          <w:szCs w:val="24"/>
        </w:rPr>
        <w:t>,</w:t>
      </w:r>
      <w:r w:rsidR="003F6950">
        <w:rPr>
          <w:rFonts w:ascii="Times New Roman" w:hAnsi="Times New Roman" w:cs="Times New Roman"/>
          <w:sz w:val="24"/>
          <w:szCs w:val="24"/>
        </w:rPr>
        <w:t xml:space="preserve"> con amplitud</w:t>
      </w:r>
      <w:r w:rsidR="00862A91">
        <w:rPr>
          <w:rFonts w:ascii="Times New Roman" w:hAnsi="Times New Roman" w:cs="Times New Roman"/>
          <w:sz w:val="24"/>
          <w:szCs w:val="24"/>
        </w:rPr>
        <w:t>,</w:t>
      </w:r>
      <w:r w:rsidR="003F6950">
        <w:rPr>
          <w:rFonts w:ascii="Times New Roman" w:hAnsi="Times New Roman" w:cs="Times New Roman"/>
          <w:sz w:val="24"/>
          <w:szCs w:val="24"/>
        </w:rPr>
        <w:t xml:space="preserve"> en el apartado </w:t>
      </w:r>
      <w:r w:rsidR="00862A91">
        <w:rPr>
          <w:rFonts w:ascii="Times New Roman" w:hAnsi="Times New Roman" w:cs="Times New Roman"/>
          <w:sz w:val="24"/>
          <w:szCs w:val="24"/>
        </w:rPr>
        <w:t>tercero del segundo capítulo.</w:t>
      </w:r>
    </w:p>
    <w:p w:rsidR="00862A91" w:rsidRDefault="00862A9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En lo referente al delito de robo con fuerza en las cosas, considerar como aspecto más relevante la nueva definición del mismo. En este sentido, la fundamentación de la ampliación del concepto de fuerza a los supuestos en los que la misma se utiliza para abandonar el lugar donde el objeto material se encuentra, se deriva fundamentalmente de poder incorporar los casos de desactivación de los sistemas de alarma desde el interior del lugar. A este respecto, en el capítulo tercero realizo un análisis exhaustivo de esta situación, conglomerando toda la doctrina acerca de este tema.</w:t>
      </w:r>
    </w:p>
    <w:p w:rsidR="00862A91" w:rsidRDefault="00862A91"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Además de lo señalado en el párrafo anterior, en el capítulo tercero me he centrado en la nueva configuración </w:t>
      </w:r>
      <w:r w:rsidR="009B2C77">
        <w:rPr>
          <w:rFonts w:ascii="Times New Roman" w:hAnsi="Times New Roman" w:cs="Times New Roman"/>
          <w:sz w:val="24"/>
          <w:szCs w:val="24"/>
        </w:rPr>
        <w:t>del delito de robo con fuerza en las cosas cometido en casa habitada o edificio o local abierto</w:t>
      </w:r>
      <w:r w:rsidR="007B7104">
        <w:rPr>
          <w:rFonts w:ascii="Times New Roman" w:hAnsi="Times New Roman" w:cs="Times New Roman"/>
          <w:sz w:val="24"/>
          <w:szCs w:val="24"/>
        </w:rPr>
        <w:t xml:space="preserve"> al público</w:t>
      </w:r>
      <w:r w:rsidR="009B2C77">
        <w:rPr>
          <w:rFonts w:ascii="Times New Roman" w:hAnsi="Times New Roman" w:cs="Times New Roman"/>
          <w:sz w:val="24"/>
          <w:szCs w:val="24"/>
        </w:rPr>
        <w:t>. A este respecto, he analizado la distinción entre la comisión de los hechos dentro o fuera de las horas de apertura del negocio, así como el más que discutido tipo agravado relativo al modo de comisión del delito o a la gravedad de los daños causados.</w:t>
      </w:r>
    </w:p>
    <w:p w:rsidR="009B2C77" w:rsidRDefault="009B2C77"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Para finalizar, comentar que España ha seguido una tesis expansionista y de endurecimiento general de la penalidad, manifestada en todo el texto de la reforma y siguiendo con el desarrollo legislativo de todos los países.</w:t>
      </w:r>
      <w:r w:rsidR="008C5BC7">
        <w:rPr>
          <w:rStyle w:val="Refdenotaalpie"/>
          <w:rFonts w:ascii="Times New Roman" w:hAnsi="Times New Roman" w:cs="Times New Roman"/>
          <w:sz w:val="24"/>
          <w:szCs w:val="24"/>
        </w:rPr>
        <w:footnoteReference w:id="112"/>
      </w:r>
      <w:r>
        <w:rPr>
          <w:rFonts w:ascii="Times New Roman" w:hAnsi="Times New Roman" w:cs="Times New Roman"/>
          <w:sz w:val="24"/>
          <w:szCs w:val="24"/>
        </w:rPr>
        <w:t xml:space="preserve"> Dicho esto, una vez que he leído mucha doctrina acerca de este tema</w:t>
      </w:r>
      <w:r w:rsidR="007B7104">
        <w:rPr>
          <w:rFonts w:ascii="Times New Roman" w:hAnsi="Times New Roman" w:cs="Times New Roman"/>
          <w:sz w:val="24"/>
          <w:szCs w:val="24"/>
        </w:rPr>
        <w:t>, la misma ha sido crítica en algunos puntos de la nueva regulación, tanto por la inseguridad jurídica de los términos utilizados, como por la difícil justificación del incremento de la penalidad.</w:t>
      </w:r>
    </w:p>
    <w:p w:rsidR="00862A91" w:rsidRDefault="00862A91" w:rsidP="00931F05">
      <w:pPr>
        <w:spacing w:line="360" w:lineRule="auto"/>
        <w:jc w:val="both"/>
        <w:rPr>
          <w:rFonts w:ascii="Times New Roman" w:hAnsi="Times New Roman" w:cs="Times New Roman"/>
          <w:sz w:val="24"/>
          <w:szCs w:val="24"/>
        </w:rPr>
      </w:pPr>
    </w:p>
    <w:p w:rsidR="00803BAC" w:rsidRDefault="00803BAC" w:rsidP="00931F05">
      <w:pPr>
        <w:spacing w:line="360" w:lineRule="auto"/>
        <w:jc w:val="both"/>
        <w:rPr>
          <w:rFonts w:ascii="Times New Roman" w:hAnsi="Times New Roman" w:cs="Times New Roman"/>
          <w:sz w:val="24"/>
          <w:szCs w:val="24"/>
        </w:rPr>
      </w:pPr>
    </w:p>
    <w:p w:rsidR="00803BAC" w:rsidRDefault="00803BAC" w:rsidP="00931F05">
      <w:pPr>
        <w:spacing w:line="360" w:lineRule="auto"/>
        <w:jc w:val="both"/>
        <w:rPr>
          <w:rFonts w:ascii="Times New Roman" w:hAnsi="Times New Roman" w:cs="Times New Roman"/>
          <w:sz w:val="24"/>
          <w:szCs w:val="24"/>
        </w:rPr>
      </w:pPr>
    </w:p>
    <w:p w:rsidR="00236494" w:rsidRDefault="00236494" w:rsidP="00931F05">
      <w:pPr>
        <w:spacing w:line="360" w:lineRule="auto"/>
        <w:jc w:val="both"/>
        <w:rPr>
          <w:rFonts w:ascii="Times New Roman" w:hAnsi="Times New Roman" w:cs="Times New Roman"/>
          <w:sz w:val="24"/>
          <w:szCs w:val="24"/>
        </w:rPr>
      </w:pPr>
    </w:p>
    <w:p w:rsidR="00141E86" w:rsidRDefault="004A10EC"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375783">
        <w:rPr>
          <w:rFonts w:ascii="Times New Roman" w:hAnsi="Times New Roman" w:cs="Times New Roman"/>
          <w:sz w:val="24"/>
          <w:szCs w:val="24"/>
        </w:rPr>
        <w:t xml:space="preserve">   BIBLIOGRAFÍA:</w:t>
      </w:r>
    </w:p>
    <w:p w:rsidR="0087215B" w:rsidRPr="0087215B" w:rsidRDefault="0087215B" w:rsidP="0087215B">
      <w:pPr>
        <w:rPr>
          <w:rFonts w:ascii="Times New Roman" w:hAnsi="Times New Roman" w:cs="Times New Roman"/>
          <w:sz w:val="20"/>
          <w:szCs w:val="20"/>
        </w:rPr>
      </w:pPr>
      <w:r w:rsidRPr="0087215B">
        <w:rPr>
          <w:rFonts w:ascii="Times New Roman" w:hAnsi="Times New Roman" w:cs="Times New Roman"/>
          <w:sz w:val="20"/>
          <w:szCs w:val="20"/>
        </w:rPr>
        <w:t xml:space="preserve">Benítez </w:t>
      </w:r>
      <w:proofErr w:type="spellStart"/>
      <w:r w:rsidRPr="0087215B">
        <w:rPr>
          <w:rFonts w:ascii="Times New Roman" w:hAnsi="Times New Roman" w:cs="Times New Roman"/>
          <w:sz w:val="20"/>
          <w:szCs w:val="20"/>
        </w:rPr>
        <w:t>Ortúzar</w:t>
      </w:r>
      <w:proofErr w:type="spellEnd"/>
      <w:r w:rsidRPr="0087215B">
        <w:rPr>
          <w:rFonts w:ascii="Times New Roman" w:hAnsi="Times New Roman" w:cs="Times New Roman"/>
          <w:sz w:val="20"/>
          <w:szCs w:val="20"/>
        </w:rPr>
        <w:t xml:space="preserve">, Ignacio F (2016). ´´ Delitos contra el patrimonio y el orden socioeconómico (I) ´´. </w:t>
      </w:r>
      <w:r w:rsidR="000462C1">
        <w:rPr>
          <w:rFonts w:ascii="Times New Roman" w:hAnsi="Times New Roman" w:cs="Times New Roman"/>
          <w:sz w:val="20"/>
          <w:szCs w:val="20"/>
        </w:rPr>
        <w:t xml:space="preserve">Sistema de Derecho Penal. Parte especial. Director: Lorenzo Morillas Cueva. </w:t>
      </w:r>
      <w:r w:rsidRPr="0087215B">
        <w:rPr>
          <w:rFonts w:ascii="Times New Roman" w:hAnsi="Times New Roman" w:cs="Times New Roman"/>
          <w:sz w:val="20"/>
          <w:szCs w:val="20"/>
        </w:rPr>
        <w:t>Madrid</w:t>
      </w:r>
      <w:r w:rsidR="00776590">
        <w:rPr>
          <w:rFonts w:ascii="Times New Roman" w:hAnsi="Times New Roman" w:cs="Times New Roman"/>
          <w:sz w:val="20"/>
          <w:szCs w:val="20"/>
        </w:rPr>
        <w:t xml:space="preserve">, </w:t>
      </w:r>
      <w:proofErr w:type="spellStart"/>
      <w:r w:rsidR="00776590">
        <w:rPr>
          <w:rFonts w:ascii="Times New Roman" w:hAnsi="Times New Roman" w:cs="Times New Roman"/>
          <w:sz w:val="20"/>
          <w:szCs w:val="20"/>
        </w:rPr>
        <w:t>Dykinson</w:t>
      </w:r>
      <w:proofErr w:type="spellEnd"/>
      <w:r w:rsidR="00776590">
        <w:rPr>
          <w:rFonts w:ascii="Times New Roman" w:hAnsi="Times New Roman" w:cs="Times New Roman"/>
          <w:sz w:val="20"/>
          <w:szCs w:val="20"/>
        </w:rPr>
        <w:t>.</w:t>
      </w:r>
    </w:p>
    <w:p w:rsidR="00375783" w:rsidRPr="0087215B" w:rsidRDefault="0087215B" w:rsidP="0087215B">
      <w:pPr>
        <w:spacing w:line="360" w:lineRule="auto"/>
        <w:jc w:val="both"/>
        <w:rPr>
          <w:rFonts w:ascii="Times New Roman" w:hAnsi="Times New Roman" w:cs="Times New Roman"/>
          <w:sz w:val="20"/>
          <w:szCs w:val="20"/>
        </w:rPr>
      </w:pPr>
      <w:r w:rsidRPr="0087215B">
        <w:rPr>
          <w:rFonts w:ascii="Times New Roman" w:hAnsi="Times New Roman" w:cs="Times New Roman"/>
          <w:sz w:val="20"/>
          <w:szCs w:val="20"/>
        </w:rPr>
        <w:t xml:space="preserve">Benítez </w:t>
      </w:r>
      <w:proofErr w:type="spellStart"/>
      <w:r w:rsidRPr="0087215B">
        <w:rPr>
          <w:rFonts w:ascii="Times New Roman" w:hAnsi="Times New Roman" w:cs="Times New Roman"/>
          <w:sz w:val="20"/>
          <w:szCs w:val="20"/>
        </w:rPr>
        <w:t>Ortúzar</w:t>
      </w:r>
      <w:proofErr w:type="spellEnd"/>
      <w:r w:rsidRPr="0087215B">
        <w:rPr>
          <w:rFonts w:ascii="Times New Roman" w:hAnsi="Times New Roman" w:cs="Times New Roman"/>
          <w:sz w:val="20"/>
          <w:szCs w:val="20"/>
        </w:rPr>
        <w:t>, Ignacio F (2016). `` Delitos contra el patrimonio y el orden socioeconómico (I</w:t>
      </w:r>
      <w:r w:rsidR="00776590">
        <w:rPr>
          <w:rFonts w:ascii="Times New Roman" w:hAnsi="Times New Roman" w:cs="Times New Roman"/>
          <w:sz w:val="20"/>
          <w:szCs w:val="20"/>
        </w:rPr>
        <w:t xml:space="preserve">I) ´´. </w:t>
      </w:r>
      <w:r w:rsidR="000462C1">
        <w:rPr>
          <w:rFonts w:ascii="Times New Roman" w:hAnsi="Times New Roman" w:cs="Times New Roman"/>
          <w:sz w:val="20"/>
          <w:szCs w:val="20"/>
        </w:rPr>
        <w:t xml:space="preserve">Sistema de Derecho Penal. Parte especial. Director: Lorenzo Morillas Cueva. </w:t>
      </w:r>
      <w:r w:rsidR="00776590">
        <w:rPr>
          <w:rFonts w:ascii="Times New Roman" w:hAnsi="Times New Roman" w:cs="Times New Roman"/>
          <w:sz w:val="20"/>
          <w:szCs w:val="20"/>
        </w:rPr>
        <w:t xml:space="preserve">Madrid, </w:t>
      </w:r>
      <w:proofErr w:type="spellStart"/>
      <w:r w:rsidR="00776590">
        <w:rPr>
          <w:rFonts w:ascii="Times New Roman" w:hAnsi="Times New Roman" w:cs="Times New Roman"/>
          <w:sz w:val="20"/>
          <w:szCs w:val="20"/>
        </w:rPr>
        <w:t>Dykinson</w:t>
      </w:r>
      <w:proofErr w:type="spellEnd"/>
      <w:r w:rsidR="00776590">
        <w:rPr>
          <w:rFonts w:ascii="Times New Roman" w:hAnsi="Times New Roman" w:cs="Times New Roman"/>
          <w:sz w:val="20"/>
          <w:szCs w:val="20"/>
        </w:rPr>
        <w:t>.</w:t>
      </w:r>
    </w:p>
    <w:p w:rsidR="0087215B" w:rsidRPr="00AA1E5B" w:rsidRDefault="0087215B" w:rsidP="00AA1E5B">
      <w:pPr>
        <w:spacing w:line="360" w:lineRule="auto"/>
        <w:jc w:val="both"/>
        <w:rPr>
          <w:rFonts w:ascii="Times New Roman" w:hAnsi="Times New Roman" w:cs="Times New Roman"/>
          <w:sz w:val="20"/>
          <w:szCs w:val="20"/>
        </w:rPr>
      </w:pPr>
      <w:r w:rsidRPr="0087215B">
        <w:rPr>
          <w:rFonts w:ascii="Times New Roman" w:hAnsi="Times New Roman" w:cs="Times New Roman"/>
          <w:sz w:val="20"/>
          <w:szCs w:val="20"/>
        </w:rPr>
        <w:t xml:space="preserve">Benítez </w:t>
      </w:r>
      <w:proofErr w:type="spellStart"/>
      <w:r w:rsidRPr="0087215B">
        <w:rPr>
          <w:rFonts w:ascii="Times New Roman" w:hAnsi="Times New Roman" w:cs="Times New Roman"/>
          <w:sz w:val="20"/>
          <w:szCs w:val="20"/>
        </w:rPr>
        <w:t>Ortúzar</w:t>
      </w:r>
      <w:proofErr w:type="spellEnd"/>
      <w:r w:rsidRPr="0087215B">
        <w:rPr>
          <w:rFonts w:ascii="Times New Roman" w:hAnsi="Times New Roman" w:cs="Times New Roman"/>
          <w:sz w:val="20"/>
          <w:szCs w:val="20"/>
        </w:rPr>
        <w:t>, Ignacio F (2016). `` Delitos contra el patrimonio y el orden socioeconómico (</w:t>
      </w:r>
      <w:r w:rsidR="00AA1E5B">
        <w:rPr>
          <w:rFonts w:ascii="Times New Roman" w:hAnsi="Times New Roman" w:cs="Times New Roman"/>
          <w:sz w:val="20"/>
          <w:szCs w:val="20"/>
        </w:rPr>
        <w:t xml:space="preserve">III) ´´. </w:t>
      </w:r>
      <w:r w:rsidR="000462C1">
        <w:rPr>
          <w:rFonts w:ascii="Times New Roman" w:hAnsi="Times New Roman" w:cs="Times New Roman"/>
          <w:sz w:val="20"/>
          <w:szCs w:val="20"/>
        </w:rPr>
        <w:t xml:space="preserve">Sistema de Derecho Penal. Parte especial. Director: Lorenzo Morillas Cueva. </w:t>
      </w:r>
      <w:r w:rsidR="00AA1E5B">
        <w:rPr>
          <w:rFonts w:ascii="Times New Roman" w:hAnsi="Times New Roman" w:cs="Times New Roman"/>
          <w:sz w:val="20"/>
          <w:szCs w:val="20"/>
        </w:rPr>
        <w:t xml:space="preserve">Madrid, </w:t>
      </w:r>
      <w:proofErr w:type="spellStart"/>
      <w:r w:rsidR="00AA1E5B">
        <w:rPr>
          <w:rFonts w:ascii="Times New Roman" w:hAnsi="Times New Roman" w:cs="Times New Roman"/>
          <w:sz w:val="20"/>
          <w:szCs w:val="20"/>
        </w:rPr>
        <w:t>Dykinson</w:t>
      </w:r>
      <w:proofErr w:type="spellEnd"/>
      <w:r>
        <w:rPr>
          <w:rFonts w:ascii="Times New Roman" w:hAnsi="Times New Roman" w:cs="Times New Roman"/>
        </w:rPr>
        <w:t>.</w:t>
      </w:r>
    </w:p>
    <w:p w:rsidR="0087215B" w:rsidRPr="0087215B" w:rsidRDefault="0087215B" w:rsidP="0087215B">
      <w:pPr>
        <w:pStyle w:val="Textonotapie"/>
        <w:rPr>
          <w:rFonts w:ascii="Times New Roman" w:hAnsi="Times New Roman" w:cs="Times New Roman"/>
        </w:rPr>
      </w:pPr>
      <w:r w:rsidRPr="0087215B">
        <w:rPr>
          <w:rFonts w:ascii="Times New Roman" w:hAnsi="Times New Roman" w:cs="Times New Roman"/>
        </w:rPr>
        <w:t>Cano Cuenca, Adoración (2015). `` El delito de hurto (arts. 234 y ss. CP) ´´.</w:t>
      </w:r>
      <w:r w:rsidR="000462C1">
        <w:rPr>
          <w:rFonts w:ascii="Times New Roman" w:hAnsi="Times New Roman" w:cs="Times New Roman"/>
        </w:rPr>
        <w:t xml:space="preserve"> Comentarios a la Reforma del Código Penal de 2015. Director: José Luis González </w:t>
      </w:r>
      <w:proofErr w:type="spellStart"/>
      <w:r w:rsidR="000462C1">
        <w:rPr>
          <w:rFonts w:ascii="Times New Roman" w:hAnsi="Times New Roman" w:cs="Times New Roman"/>
        </w:rPr>
        <w:t>Cussac</w:t>
      </w:r>
      <w:proofErr w:type="spellEnd"/>
      <w:r w:rsidR="000462C1">
        <w:rPr>
          <w:rFonts w:ascii="Times New Roman" w:hAnsi="Times New Roman" w:cs="Times New Roman"/>
        </w:rPr>
        <w:t xml:space="preserve">. </w:t>
      </w:r>
      <w:r w:rsidRPr="0087215B">
        <w:rPr>
          <w:rFonts w:ascii="Times New Roman" w:hAnsi="Times New Roman" w:cs="Times New Roman"/>
        </w:rPr>
        <w:t>Vale</w:t>
      </w:r>
      <w:r w:rsidR="000462C1">
        <w:rPr>
          <w:rFonts w:ascii="Times New Roman" w:hAnsi="Times New Roman" w:cs="Times New Roman"/>
        </w:rPr>
        <w:t>n</w:t>
      </w:r>
      <w:r w:rsidR="00635B4A">
        <w:rPr>
          <w:rFonts w:ascii="Times New Roman" w:hAnsi="Times New Roman" w:cs="Times New Roman"/>
        </w:rPr>
        <w:t>cia, Tirant Lo Blanch</w:t>
      </w:r>
      <w:r w:rsidRPr="0087215B">
        <w:rPr>
          <w:rFonts w:ascii="Times New Roman" w:hAnsi="Times New Roman" w:cs="Times New Roman"/>
        </w:rPr>
        <w:t>.</w:t>
      </w:r>
    </w:p>
    <w:p w:rsidR="0087215B" w:rsidRDefault="0087215B" w:rsidP="0087215B">
      <w:pPr>
        <w:pStyle w:val="Textonotapie"/>
        <w:rPr>
          <w:rFonts w:ascii="Times New Roman" w:hAnsi="Times New Roman" w:cs="Times New Roman"/>
        </w:rPr>
      </w:pPr>
    </w:p>
    <w:p w:rsidR="0087215B" w:rsidRDefault="0087215B" w:rsidP="0087215B">
      <w:pPr>
        <w:pStyle w:val="Textonotapie"/>
        <w:rPr>
          <w:rFonts w:ascii="Times New Roman" w:hAnsi="Times New Roman" w:cs="Times New Roman"/>
        </w:rPr>
      </w:pPr>
      <w:r w:rsidRPr="0087215B">
        <w:rPr>
          <w:rFonts w:ascii="Times New Roman" w:hAnsi="Times New Roman" w:cs="Times New Roman"/>
        </w:rPr>
        <w:t xml:space="preserve">Del Carpio Delgado,  Juana (2014). </w:t>
      </w:r>
      <w:r w:rsidRPr="0087215B">
        <w:rPr>
          <w:rFonts w:ascii="Times New Roman" w:hAnsi="Times New Roman" w:cs="Times New Roman"/>
          <w:i/>
        </w:rPr>
        <w:t>Análisis crítico sobre la regulación de los delitos de robo en el proyecto de 2013 de reforma del Código Penal.</w:t>
      </w:r>
      <w:r w:rsidR="00776590">
        <w:rPr>
          <w:rFonts w:ascii="Times New Roman" w:hAnsi="Times New Roman" w:cs="Times New Roman"/>
        </w:rPr>
        <w:t xml:space="preserve"> La Ley 2219/2014.</w:t>
      </w:r>
    </w:p>
    <w:p w:rsidR="00776590" w:rsidRDefault="00776590" w:rsidP="0087215B">
      <w:pPr>
        <w:pStyle w:val="Textonotapie"/>
        <w:rPr>
          <w:rFonts w:ascii="Times New Roman" w:hAnsi="Times New Roman" w:cs="Times New Roman"/>
        </w:rPr>
      </w:pPr>
    </w:p>
    <w:p w:rsidR="00776590" w:rsidRPr="0087215B" w:rsidRDefault="00776590" w:rsidP="0087215B">
      <w:pPr>
        <w:pStyle w:val="Textonotapie"/>
        <w:rPr>
          <w:rFonts w:ascii="Times New Roman" w:hAnsi="Times New Roman" w:cs="Times New Roman"/>
        </w:rPr>
      </w:pP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w:t>
      </w:r>
    </w:p>
    <w:p w:rsidR="0087215B" w:rsidRDefault="0087215B" w:rsidP="0087215B">
      <w:pPr>
        <w:pStyle w:val="Textonotapie"/>
        <w:rPr>
          <w:rFonts w:ascii="Times New Roman" w:hAnsi="Times New Roman" w:cs="Times New Roman"/>
        </w:rPr>
      </w:pPr>
    </w:p>
    <w:p w:rsidR="00776590" w:rsidRPr="00164352" w:rsidRDefault="00776590" w:rsidP="00776590">
      <w:pPr>
        <w:pStyle w:val="Textonotapie"/>
        <w:rPr>
          <w:rFonts w:ascii="Times New Roman" w:hAnsi="Times New Roman" w:cs="Times New Roman"/>
        </w:rPr>
      </w:pPr>
      <w:r w:rsidRPr="00164352">
        <w:rPr>
          <w:rFonts w:ascii="Times New Roman" w:hAnsi="Times New Roman" w:cs="Times New Roman"/>
        </w:rPr>
        <w:t xml:space="preserve">Del Carpio Delgado, Juana (2013). </w:t>
      </w:r>
      <w:r w:rsidRPr="00164352">
        <w:rPr>
          <w:rFonts w:ascii="Times New Roman" w:hAnsi="Times New Roman" w:cs="Times New Roman"/>
          <w:i/>
        </w:rPr>
        <w:t xml:space="preserve">Sobre la innecesaria reforma de los delitos de hurto. A propósito del anteproyecto de 2012 de reforma del Código Penal. </w:t>
      </w:r>
      <w:r w:rsidRPr="00164352">
        <w:rPr>
          <w:rFonts w:ascii="Times New Roman" w:hAnsi="Times New Roman" w:cs="Times New Roman"/>
        </w:rPr>
        <w:t>Foro, Nueva época, p. 85.</w:t>
      </w:r>
    </w:p>
    <w:p w:rsidR="00776590" w:rsidRDefault="00776590" w:rsidP="0087215B">
      <w:pPr>
        <w:pStyle w:val="Textonotapie"/>
        <w:rPr>
          <w:rFonts w:ascii="Times New Roman" w:hAnsi="Times New Roman" w:cs="Times New Roman"/>
        </w:rPr>
      </w:pPr>
    </w:p>
    <w:p w:rsidR="0087215B" w:rsidRDefault="0087215B" w:rsidP="0087215B">
      <w:pPr>
        <w:pStyle w:val="Textonotapie"/>
        <w:rPr>
          <w:rFonts w:ascii="Times New Roman" w:hAnsi="Times New Roman" w:cs="Times New Roman"/>
        </w:rPr>
      </w:pPr>
      <w:proofErr w:type="spellStart"/>
      <w:r>
        <w:rPr>
          <w:rFonts w:ascii="Times New Roman" w:hAnsi="Times New Roman" w:cs="Times New Roman"/>
        </w:rPr>
        <w:t>Górriz</w:t>
      </w:r>
      <w:proofErr w:type="spellEnd"/>
      <w:r>
        <w:rPr>
          <w:rFonts w:ascii="Times New Roman" w:hAnsi="Times New Roman" w:cs="Times New Roman"/>
        </w:rPr>
        <w:t xml:space="preserve"> Royo, Elena M (2015). `` Delitos de robo: arts.237, 240, 241 y242 CP ´´. Valencia, Tirant Lo Blanch, p. 713.</w:t>
      </w:r>
    </w:p>
    <w:p w:rsidR="00AA1E5B" w:rsidRDefault="00AA1E5B" w:rsidP="00AA1E5B">
      <w:pPr>
        <w:pStyle w:val="Textonotapie"/>
        <w:rPr>
          <w:rFonts w:ascii="Times New Roman" w:hAnsi="Times New Roman" w:cs="Times New Roman"/>
        </w:rPr>
      </w:pPr>
    </w:p>
    <w:p w:rsidR="00AA1E5B" w:rsidRDefault="00AA1E5B" w:rsidP="0087215B">
      <w:pPr>
        <w:pStyle w:val="Textonotapie"/>
        <w:rPr>
          <w:rFonts w:ascii="Times New Roman" w:hAnsi="Times New Roman" w:cs="Times New Roman"/>
        </w:rPr>
      </w:pPr>
      <w:r w:rsidRPr="00CE17CB">
        <w:rPr>
          <w:rFonts w:ascii="Times New Roman" w:hAnsi="Times New Roman" w:cs="Times New Roman"/>
        </w:rPr>
        <w:t>Manzanares Samaniego, José Luis (2016). `` De los robos ´´. Comentarios al Código Penal tras las Leyes Orgánicas 1/2015, de 30 de marzo, y 2/2015, de 30 de marzo. Madrid</w:t>
      </w:r>
      <w:r>
        <w:rPr>
          <w:rFonts w:ascii="Times New Roman" w:hAnsi="Times New Roman" w:cs="Times New Roman"/>
        </w:rPr>
        <w:t xml:space="preserve">, </w:t>
      </w:r>
      <w:proofErr w:type="spellStart"/>
      <w:r>
        <w:rPr>
          <w:rFonts w:ascii="Times New Roman" w:hAnsi="Times New Roman" w:cs="Times New Roman"/>
        </w:rPr>
        <w:t>Wolters</w:t>
      </w:r>
      <w:proofErr w:type="spellEnd"/>
      <w:r>
        <w:rPr>
          <w:rFonts w:ascii="Times New Roman" w:hAnsi="Times New Roman" w:cs="Times New Roman"/>
        </w:rPr>
        <w:t xml:space="preserve"> </w:t>
      </w:r>
      <w:proofErr w:type="spellStart"/>
      <w:r>
        <w:rPr>
          <w:rFonts w:ascii="Times New Roman" w:hAnsi="Times New Roman" w:cs="Times New Roman"/>
        </w:rPr>
        <w:t>Kluwer</w:t>
      </w:r>
      <w:proofErr w:type="spellEnd"/>
      <w:r>
        <w:rPr>
          <w:rFonts w:ascii="Times New Roman" w:hAnsi="Times New Roman" w:cs="Times New Roman"/>
        </w:rPr>
        <w:t xml:space="preserve"> España.</w:t>
      </w:r>
    </w:p>
    <w:p w:rsidR="00AA1E5B" w:rsidRDefault="00AA1E5B" w:rsidP="0087215B">
      <w:pPr>
        <w:pStyle w:val="Textonotapie"/>
        <w:rPr>
          <w:rFonts w:ascii="Times New Roman" w:hAnsi="Times New Roman" w:cs="Times New Roman"/>
        </w:rPr>
      </w:pPr>
    </w:p>
    <w:p w:rsidR="009F094A" w:rsidRDefault="00AA1E5B" w:rsidP="0087215B">
      <w:pPr>
        <w:pStyle w:val="Textonotapie"/>
        <w:rPr>
          <w:rFonts w:ascii="Times New Roman" w:hAnsi="Times New Roman" w:cs="Times New Roman"/>
        </w:rPr>
      </w:pPr>
      <w:proofErr w:type="spellStart"/>
      <w:r w:rsidRPr="00AA1E5B">
        <w:rPr>
          <w:rFonts w:ascii="Times New Roman" w:hAnsi="Times New Roman" w:cs="Times New Roman"/>
        </w:rPr>
        <w:t>Mestre</w:t>
      </w:r>
      <w:proofErr w:type="spellEnd"/>
      <w:r w:rsidRPr="00AA1E5B">
        <w:rPr>
          <w:rFonts w:ascii="Times New Roman" w:hAnsi="Times New Roman" w:cs="Times New Roman"/>
        </w:rPr>
        <w:t xml:space="preserve"> Delgado, Esteban (2016). `` Delitos contra el patrimonio y contra el orden socioeconómico ´´. DELITOS. La parte especial del Derecho </w:t>
      </w:r>
      <w:r>
        <w:rPr>
          <w:rFonts w:ascii="Times New Roman" w:hAnsi="Times New Roman" w:cs="Times New Roman"/>
        </w:rPr>
        <w:t xml:space="preserve">penal. Madrid, </w:t>
      </w:r>
      <w:proofErr w:type="spellStart"/>
      <w:r>
        <w:rPr>
          <w:rFonts w:ascii="Times New Roman" w:hAnsi="Times New Roman" w:cs="Times New Roman"/>
        </w:rPr>
        <w:t>Dykinson</w:t>
      </w:r>
      <w:proofErr w:type="spellEnd"/>
      <w:r>
        <w:rPr>
          <w:rFonts w:ascii="Times New Roman" w:hAnsi="Times New Roman" w:cs="Times New Roman"/>
        </w:rPr>
        <w:t>.</w:t>
      </w:r>
    </w:p>
    <w:p w:rsidR="00AA1E5B" w:rsidRDefault="00AA1E5B" w:rsidP="0087215B">
      <w:pPr>
        <w:pStyle w:val="Textonotapie"/>
        <w:rPr>
          <w:rFonts w:ascii="Times New Roman" w:hAnsi="Times New Roman" w:cs="Times New Roman"/>
        </w:rPr>
      </w:pPr>
    </w:p>
    <w:p w:rsidR="00776590" w:rsidRDefault="009F094A" w:rsidP="0087215B">
      <w:pPr>
        <w:pStyle w:val="Textonotapie"/>
        <w:rPr>
          <w:rFonts w:ascii="Times New Roman" w:hAnsi="Times New Roman" w:cs="Times New Roman"/>
        </w:rPr>
      </w:pPr>
      <w:r w:rsidRPr="009F094A">
        <w:rPr>
          <w:rFonts w:ascii="Times New Roman" w:hAnsi="Times New Roman" w:cs="Times New Roman"/>
        </w:rPr>
        <w:t>Muñoz Conde, Francisco (2015). `` Delitos contra el patrimonio ´´. Derecho Penal Parte Especial. Val</w:t>
      </w:r>
      <w:r>
        <w:rPr>
          <w:rFonts w:ascii="Times New Roman" w:hAnsi="Times New Roman" w:cs="Times New Roman"/>
        </w:rPr>
        <w:t>encia, Tirant Lo Blanch.</w:t>
      </w:r>
    </w:p>
    <w:p w:rsidR="00A4054B" w:rsidRDefault="00A4054B" w:rsidP="00A4054B">
      <w:pPr>
        <w:pStyle w:val="Textonotapie"/>
        <w:rPr>
          <w:rFonts w:ascii="Times New Roman" w:hAnsi="Times New Roman" w:cs="Times New Roman"/>
        </w:rPr>
      </w:pPr>
    </w:p>
    <w:p w:rsidR="00A4054B" w:rsidRPr="00A4054B" w:rsidRDefault="00A4054B" w:rsidP="00A4054B">
      <w:pPr>
        <w:pStyle w:val="Textonotapie"/>
        <w:rPr>
          <w:rFonts w:ascii="Times New Roman" w:hAnsi="Times New Roman" w:cs="Times New Roman"/>
        </w:rPr>
      </w:pPr>
      <w:r w:rsidRPr="00A4054B">
        <w:rPr>
          <w:rFonts w:ascii="Times New Roman" w:hAnsi="Times New Roman" w:cs="Times New Roman"/>
        </w:rPr>
        <w:t>Quintero Olivares, Gonzalo (2008). `` Delitos contra el patrimonio y contra el orden socioeconómico. De los hurtos ´´. Comentarios al Código Penal. Parte Especial. Navarra, Aranzadi, p. 651.</w:t>
      </w:r>
    </w:p>
    <w:p w:rsidR="009F094A" w:rsidRDefault="009F094A" w:rsidP="00776590">
      <w:pPr>
        <w:pStyle w:val="Textonotapie"/>
        <w:rPr>
          <w:rFonts w:ascii="Times New Roman" w:hAnsi="Times New Roman" w:cs="Times New Roman"/>
        </w:rPr>
      </w:pPr>
    </w:p>
    <w:p w:rsidR="00776590" w:rsidRDefault="00776590" w:rsidP="00776590">
      <w:pPr>
        <w:pStyle w:val="Textonotapie"/>
        <w:rPr>
          <w:rFonts w:ascii="Times New Roman" w:hAnsi="Times New Roman" w:cs="Times New Roman"/>
        </w:rPr>
      </w:pP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w:t>
      </w:r>
      <w:r w:rsidR="000462C1">
        <w:rPr>
          <w:rFonts w:ascii="Times New Roman" w:hAnsi="Times New Roman" w:cs="Times New Roman"/>
        </w:rPr>
        <w:t xml:space="preserve">Estudios sobre el Código </w:t>
      </w:r>
      <w:r w:rsidR="00635B4A">
        <w:rPr>
          <w:rFonts w:ascii="Times New Roman" w:hAnsi="Times New Roman" w:cs="Times New Roman"/>
        </w:rPr>
        <w:t xml:space="preserve">Penal Reformado. Director: Lorenzo Morillas Cueva. </w:t>
      </w:r>
      <w:r>
        <w:rPr>
          <w:rFonts w:ascii="Times New Roman" w:hAnsi="Times New Roman" w:cs="Times New Roman"/>
        </w:rPr>
        <w:t xml:space="preserve">Madrid, </w:t>
      </w:r>
      <w:proofErr w:type="spellStart"/>
      <w:r>
        <w:rPr>
          <w:rFonts w:ascii="Times New Roman" w:hAnsi="Times New Roman" w:cs="Times New Roman"/>
        </w:rPr>
        <w:t>Dykinson</w:t>
      </w:r>
      <w:proofErr w:type="spellEnd"/>
      <w:r>
        <w:rPr>
          <w:rFonts w:ascii="Times New Roman" w:hAnsi="Times New Roman" w:cs="Times New Roman"/>
        </w:rPr>
        <w:t>.</w:t>
      </w:r>
    </w:p>
    <w:p w:rsidR="00776590" w:rsidRDefault="00776590" w:rsidP="00776590">
      <w:pPr>
        <w:pStyle w:val="Textonotapie"/>
        <w:rPr>
          <w:rFonts w:ascii="Times New Roman" w:hAnsi="Times New Roman" w:cs="Times New Roman"/>
        </w:rPr>
      </w:pPr>
    </w:p>
    <w:p w:rsidR="00776590" w:rsidRPr="00373470" w:rsidRDefault="00776590" w:rsidP="00776590">
      <w:pPr>
        <w:pStyle w:val="Textonotapie"/>
        <w:rPr>
          <w:rFonts w:ascii="Times New Roman" w:hAnsi="Times New Roman" w:cs="Times New Roman"/>
        </w:rPr>
      </w:pPr>
      <w:r>
        <w:rPr>
          <w:rFonts w:ascii="Times New Roman" w:hAnsi="Times New Roman" w:cs="Times New Roman"/>
        </w:rPr>
        <w:t xml:space="preserve">Zárate, González, Moral, Díaz, Mañas (2016). </w:t>
      </w:r>
      <w:r>
        <w:rPr>
          <w:rFonts w:ascii="Times New Roman" w:hAnsi="Times New Roman" w:cs="Times New Roman"/>
          <w:i/>
        </w:rPr>
        <w:t>Derecho penal parte especial. Obra adaptada al temario de oposición para el acceso a la Carrera Judicial y Fiscal.</w:t>
      </w:r>
      <w:r>
        <w:rPr>
          <w:rFonts w:ascii="Times New Roman" w:hAnsi="Times New Roman" w:cs="Times New Roman"/>
        </w:rPr>
        <w:t xml:space="preserve"> Madrid, Centro de Estudios Ramón Areces, p. 319.</w:t>
      </w:r>
    </w:p>
    <w:p w:rsidR="00776590" w:rsidRDefault="00776590" w:rsidP="00776590">
      <w:pPr>
        <w:pStyle w:val="Textonotapie"/>
      </w:pPr>
    </w:p>
    <w:p w:rsidR="00776590" w:rsidRDefault="00776590" w:rsidP="0087215B">
      <w:pPr>
        <w:pStyle w:val="Textonotapie"/>
        <w:rPr>
          <w:rFonts w:ascii="Times New Roman" w:hAnsi="Times New Roman" w:cs="Times New Roman"/>
        </w:rPr>
      </w:pPr>
    </w:p>
    <w:p w:rsidR="0087215B" w:rsidRDefault="0087215B" w:rsidP="0087215B">
      <w:pPr>
        <w:pStyle w:val="Textonotapie"/>
        <w:rPr>
          <w:rFonts w:ascii="Times New Roman" w:hAnsi="Times New Roman" w:cs="Times New Roman"/>
        </w:rPr>
      </w:pPr>
    </w:p>
    <w:p w:rsidR="0087215B" w:rsidRPr="00507C5A" w:rsidRDefault="0087215B" w:rsidP="0087215B">
      <w:pPr>
        <w:pStyle w:val="Textonotapie"/>
        <w:rPr>
          <w:rFonts w:ascii="Times New Roman" w:hAnsi="Times New Roman" w:cs="Times New Roman"/>
        </w:rPr>
      </w:pPr>
    </w:p>
    <w:p w:rsidR="0087215B" w:rsidRPr="0087215B" w:rsidRDefault="0087215B" w:rsidP="00931F05">
      <w:pPr>
        <w:spacing w:line="360" w:lineRule="auto"/>
        <w:jc w:val="both"/>
        <w:rPr>
          <w:rFonts w:ascii="Times New Roman" w:hAnsi="Times New Roman" w:cs="Times New Roman"/>
          <w:sz w:val="20"/>
          <w:szCs w:val="20"/>
        </w:rPr>
      </w:pPr>
    </w:p>
    <w:p w:rsidR="00357B84" w:rsidRDefault="00357B84" w:rsidP="00931F05">
      <w:pPr>
        <w:spacing w:line="360" w:lineRule="auto"/>
        <w:jc w:val="both"/>
        <w:rPr>
          <w:rFonts w:ascii="Times New Roman" w:hAnsi="Times New Roman" w:cs="Times New Roman"/>
          <w:sz w:val="24"/>
          <w:szCs w:val="24"/>
        </w:rPr>
      </w:pPr>
    </w:p>
    <w:p w:rsidR="004E0923" w:rsidRDefault="004E0923" w:rsidP="00931F05">
      <w:pPr>
        <w:spacing w:line="360" w:lineRule="auto"/>
        <w:jc w:val="both"/>
        <w:rPr>
          <w:rFonts w:ascii="Times New Roman" w:hAnsi="Times New Roman" w:cs="Times New Roman"/>
          <w:sz w:val="24"/>
          <w:szCs w:val="24"/>
        </w:rPr>
      </w:pPr>
    </w:p>
    <w:p w:rsidR="002B7F8B" w:rsidRDefault="002B7F8B" w:rsidP="00931F05">
      <w:pPr>
        <w:spacing w:line="360" w:lineRule="auto"/>
        <w:jc w:val="both"/>
        <w:rPr>
          <w:rFonts w:ascii="Times New Roman" w:hAnsi="Times New Roman" w:cs="Times New Roman"/>
          <w:sz w:val="24"/>
          <w:szCs w:val="24"/>
        </w:rPr>
      </w:pPr>
    </w:p>
    <w:p w:rsidR="00AC08FC" w:rsidRDefault="00AC08FC" w:rsidP="00931F05">
      <w:pPr>
        <w:spacing w:line="360" w:lineRule="auto"/>
        <w:jc w:val="both"/>
        <w:rPr>
          <w:rFonts w:ascii="Times New Roman" w:hAnsi="Times New Roman" w:cs="Times New Roman"/>
          <w:sz w:val="24"/>
          <w:szCs w:val="24"/>
        </w:rPr>
      </w:pPr>
    </w:p>
    <w:p w:rsidR="00AC08FC" w:rsidRPr="00FF2C4C" w:rsidRDefault="00AC08FC" w:rsidP="00931F05">
      <w:pPr>
        <w:spacing w:line="360" w:lineRule="auto"/>
        <w:jc w:val="both"/>
        <w:rPr>
          <w:rFonts w:ascii="Times New Roman" w:hAnsi="Times New Roman" w:cs="Times New Roman"/>
          <w:sz w:val="24"/>
          <w:szCs w:val="24"/>
        </w:rPr>
      </w:pPr>
    </w:p>
    <w:p w:rsidR="00455BAC" w:rsidRDefault="00455BAC" w:rsidP="00931F05">
      <w:pPr>
        <w:spacing w:line="360" w:lineRule="auto"/>
        <w:jc w:val="both"/>
        <w:rPr>
          <w:rFonts w:ascii="Times New Roman" w:hAnsi="Times New Roman" w:cs="Times New Roman"/>
          <w:sz w:val="24"/>
          <w:szCs w:val="24"/>
        </w:rPr>
      </w:pPr>
    </w:p>
    <w:p w:rsidR="005B07C0" w:rsidRDefault="005B07C0" w:rsidP="00931F05">
      <w:pPr>
        <w:spacing w:line="360" w:lineRule="auto"/>
        <w:jc w:val="both"/>
        <w:rPr>
          <w:rFonts w:ascii="Times New Roman" w:hAnsi="Times New Roman" w:cs="Times New Roman"/>
          <w:sz w:val="24"/>
          <w:szCs w:val="24"/>
        </w:rPr>
      </w:pPr>
    </w:p>
    <w:p w:rsidR="00A4464D" w:rsidRDefault="00A4464D" w:rsidP="00931F05">
      <w:pPr>
        <w:spacing w:line="360" w:lineRule="auto"/>
        <w:jc w:val="both"/>
        <w:rPr>
          <w:rFonts w:ascii="Times New Roman" w:hAnsi="Times New Roman" w:cs="Times New Roman"/>
          <w:sz w:val="24"/>
          <w:szCs w:val="24"/>
        </w:rPr>
      </w:pPr>
    </w:p>
    <w:p w:rsidR="004E63F9" w:rsidRDefault="004E63F9" w:rsidP="00931F05">
      <w:pPr>
        <w:spacing w:line="360" w:lineRule="auto"/>
        <w:jc w:val="both"/>
        <w:rPr>
          <w:rFonts w:ascii="Times New Roman" w:hAnsi="Times New Roman" w:cs="Times New Roman"/>
          <w:sz w:val="24"/>
          <w:szCs w:val="24"/>
        </w:rPr>
      </w:pPr>
    </w:p>
    <w:p w:rsidR="00C30119" w:rsidRDefault="00C30119" w:rsidP="00931F05">
      <w:pPr>
        <w:spacing w:line="360" w:lineRule="auto"/>
        <w:jc w:val="both"/>
        <w:rPr>
          <w:rFonts w:ascii="Times New Roman" w:hAnsi="Times New Roman" w:cs="Times New Roman"/>
          <w:sz w:val="24"/>
          <w:szCs w:val="24"/>
        </w:rPr>
      </w:pPr>
    </w:p>
    <w:p w:rsidR="00C30119" w:rsidRDefault="00C30119" w:rsidP="00931F05">
      <w:pPr>
        <w:spacing w:line="360" w:lineRule="auto"/>
        <w:jc w:val="both"/>
        <w:rPr>
          <w:rFonts w:ascii="Times New Roman" w:hAnsi="Times New Roman" w:cs="Times New Roman"/>
          <w:sz w:val="24"/>
          <w:szCs w:val="24"/>
        </w:rPr>
      </w:pPr>
    </w:p>
    <w:p w:rsidR="00A160AA" w:rsidRDefault="00A160AA" w:rsidP="00931F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4E1406" w:rsidRPr="006D4D12" w:rsidRDefault="004E1406" w:rsidP="00931F05">
      <w:pPr>
        <w:spacing w:line="360" w:lineRule="auto"/>
        <w:jc w:val="both"/>
        <w:rPr>
          <w:rFonts w:ascii="Times New Roman" w:hAnsi="Times New Roman" w:cs="Times New Roman"/>
          <w:sz w:val="24"/>
          <w:szCs w:val="24"/>
        </w:rPr>
      </w:pPr>
    </w:p>
    <w:p w:rsidR="006D4D12" w:rsidRPr="006466B5" w:rsidRDefault="006D4D12" w:rsidP="00931F05">
      <w:pPr>
        <w:spacing w:line="360" w:lineRule="auto"/>
        <w:jc w:val="both"/>
        <w:rPr>
          <w:rFonts w:ascii="Times New Roman" w:hAnsi="Times New Roman" w:cs="Times New Roman"/>
          <w:sz w:val="24"/>
          <w:szCs w:val="24"/>
        </w:rPr>
      </w:pPr>
    </w:p>
    <w:sectPr w:rsidR="006D4D12" w:rsidRPr="006466B5" w:rsidSect="00CF7469">
      <w:footerReference w:type="default" r:id="rId10"/>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D97" w:rsidRDefault="00252D97" w:rsidP="0002210B">
      <w:pPr>
        <w:spacing w:after="0" w:line="240" w:lineRule="auto"/>
      </w:pPr>
      <w:r>
        <w:separator/>
      </w:r>
    </w:p>
  </w:endnote>
  <w:endnote w:type="continuationSeparator" w:id="0">
    <w:p w:rsidR="00252D97" w:rsidRDefault="00252D97" w:rsidP="000221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7469" w:rsidRDefault="00CF7469">
    <w:pPr>
      <w:pStyle w:val="Piedepgin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Página </w:t>
    </w:r>
    <w:r>
      <w:rPr>
        <w:rFonts w:eastAsiaTheme="minorEastAsia"/>
      </w:rPr>
      <w:fldChar w:fldCharType="begin"/>
    </w:r>
    <w:r>
      <w:instrText>PAGE   \* MERGEFORMAT</w:instrText>
    </w:r>
    <w:r>
      <w:rPr>
        <w:rFonts w:eastAsiaTheme="minorEastAsia"/>
      </w:rPr>
      <w:fldChar w:fldCharType="separate"/>
    </w:r>
    <w:r w:rsidR="00700C70" w:rsidRPr="00700C70">
      <w:rPr>
        <w:rFonts w:asciiTheme="majorHAnsi" w:eastAsiaTheme="majorEastAsia" w:hAnsiTheme="majorHAnsi" w:cstheme="majorBidi"/>
        <w:noProof/>
      </w:rPr>
      <w:t>2</w:t>
    </w:r>
    <w:r>
      <w:rPr>
        <w:rFonts w:asciiTheme="majorHAnsi" w:eastAsiaTheme="majorEastAsia" w:hAnsiTheme="majorHAnsi" w:cstheme="majorBidi"/>
      </w:rPr>
      <w:fldChar w:fldCharType="end"/>
    </w:r>
  </w:p>
  <w:p w:rsidR="00CF7469" w:rsidRDefault="00CF746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D97" w:rsidRDefault="00252D97" w:rsidP="0002210B">
      <w:pPr>
        <w:spacing w:after="0" w:line="240" w:lineRule="auto"/>
      </w:pPr>
      <w:r>
        <w:separator/>
      </w:r>
    </w:p>
  </w:footnote>
  <w:footnote w:type="continuationSeparator" w:id="0">
    <w:p w:rsidR="00252D97" w:rsidRDefault="00252D97" w:rsidP="0002210B">
      <w:pPr>
        <w:spacing w:after="0" w:line="240" w:lineRule="auto"/>
      </w:pPr>
      <w:r>
        <w:continuationSeparator/>
      </w:r>
    </w:p>
  </w:footnote>
  <w:footnote w:id="1">
    <w:p w:rsidR="002D0065" w:rsidRPr="0002210B"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``Delitos contra el patrimonio y el orden socioeconómico (I) ´´. Madrid, </w:t>
      </w:r>
      <w:proofErr w:type="spellStart"/>
      <w:r>
        <w:rPr>
          <w:rFonts w:ascii="Times New Roman" w:hAnsi="Times New Roman" w:cs="Times New Roman"/>
        </w:rPr>
        <w:t>Dykinson</w:t>
      </w:r>
      <w:proofErr w:type="spellEnd"/>
      <w:r>
        <w:rPr>
          <w:rFonts w:ascii="Times New Roman" w:hAnsi="Times New Roman" w:cs="Times New Roman"/>
        </w:rPr>
        <w:t>, p. 395.</w:t>
      </w:r>
    </w:p>
  </w:footnote>
  <w:footnote w:id="2">
    <w:p w:rsidR="002D0065" w:rsidRPr="00DF1542"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414.</w:t>
      </w:r>
    </w:p>
  </w:footnote>
  <w:footnote w:id="3">
    <w:p w:rsidR="002D0065" w:rsidRDefault="002D0065">
      <w:pPr>
        <w:pStyle w:val="Textonotapie"/>
      </w:pPr>
      <w:r>
        <w:rPr>
          <w:rStyle w:val="Refdenotaalpie"/>
        </w:rPr>
        <w:footnoteRef/>
      </w:r>
      <w:r>
        <w:t xml:space="preserve"> </w:t>
      </w:r>
      <w:r w:rsidRPr="00A732BF">
        <w:rPr>
          <w:rFonts w:ascii="Times New Roman" w:hAnsi="Times New Roman" w:cs="Times New Roman"/>
        </w:rPr>
        <w:t xml:space="preserve">Benítez </w:t>
      </w:r>
      <w:proofErr w:type="spellStart"/>
      <w:r w:rsidRPr="00A732BF">
        <w:rPr>
          <w:rFonts w:ascii="Times New Roman" w:hAnsi="Times New Roman" w:cs="Times New Roman"/>
        </w:rPr>
        <w:t>Ortúzar</w:t>
      </w:r>
      <w:proofErr w:type="spellEnd"/>
      <w:r w:rsidRPr="00A732BF">
        <w:rPr>
          <w:rFonts w:ascii="Times New Roman" w:hAnsi="Times New Roman" w:cs="Times New Roman"/>
        </w:rPr>
        <w:t>, Ignacio F (2016). `` Delitos contra el patrimonio y el orden socioeconómico (III) ´´. Madrid</w:t>
      </w:r>
      <w:r>
        <w:rPr>
          <w:rFonts w:ascii="Times New Roman" w:hAnsi="Times New Roman" w:cs="Times New Roman"/>
        </w:rPr>
        <w:t xml:space="preserve">, </w:t>
      </w:r>
      <w:proofErr w:type="spellStart"/>
      <w:r>
        <w:rPr>
          <w:rFonts w:ascii="Times New Roman" w:hAnsi="Times New Roman" w:cs="Times New Roman"/>
        </w:rPr>
        <w:t>Dykinson</w:t>
      </w:r>
      <w:proofErr w:type="spellEnd"/>
      <w:r>
        <w:rPr>
          <w:rFonts w:ascii="Times New Roman" w:hAnsi="Times New Roman" w:cs="Times New Roman"/>
        </w:rPr>
        <w:t>, p. 442.</w:t>
      </w:r>
    </w:p>
  </w:footnote>
  <w:footnote w:id="4">
    <w:p w:rsidR="002D0065" w:rsidRPr="00DE3206" w:rsidRDefault="002D0065">
      <w:pPr>
        <w:pStyle w:val="Textonotapie"/>
        <w:rPr>
          <w:rFonts w:ascii="Times New Roman" w:hAnsi="Times New Roman" w:cs="Times New Roman"/>
        </w:rPr>
      </w:pPr>
      <w:r w:rsidRPr="00DE3206">
        <w:rPr>
          <w:rStyle w:val="Refdenotaalpie"/>
          <w:rFonts w:ascii="Times New Roman" w:hAnsi="Times New Roman" w:cs="Times New Roman"/>
        </w:rPr>
        <w:footnoteRef/>
      </w:r>
      <w:r w:rsidRPr="00DE3206">
        <w:rPr>
          <w:rFonts w:ascii="Times New Roman" w:hAnsi="Times New Roman" w:cs="Times New Roman"/>
        </w:rPr>
        <w:t xml:space="preserve"> Benítez </w:t>
      </w:r>
      <w:proofErr w:type="spellStart"/>
      <w:r w:rsidRPr="00DE3206">
        <w:rPr>
          <w:rFonts w:ascii="Times New Roman" w:hAnsi="Times New Roman" w:cs="Times New Roman"/>
        </w:rPr>
        <w:t>Ortúzar</w:t>
      </w:r>
      <w:proofErr w:type="spellEnd"/>
      <w:r w:rsidRPr="00DE3206">
        <w:rPr>
          <w:rFonts w:ascii="Times New Roman" w:hAnsi="Times New Roman" w:cs="Times New Roman"/>
        </w:rPr>
        <w:t>, Ignacio F (2016). ´´ Delitos contra el patrimonio y el orden socioeconómico (I) ´´. Madrid</w:t>
      </w:r>
      <w:r>
        <w:rPr>
          <w:rFonts w:ascii="Times New Roman" w:hAnsi="Times New Roman" w:cs="Times New Roman"/>
        </w:rPr>
        <w:t xml:space="preserve">, </w:t>
      </w:r>
      <w:proofErr w:type="spellStart"/>
      <w:r>
        <w:rPr>
          <w:rFonts w:ascii="Times New Roman" w:hAnsi="Times New Roman" w:cs="Times New Roman"/>
        </w:rPr>
        <w:t>Dykinson</w:t>
      </w:r>
      <w:proofErr w:type="spellEnd"/>
      <w:r>
        <w:rPr>
          <w:rFonts w:ascii="Times New Roman" w:hAnsi="Times New Roman" w:cs="Times New Roman"/>
        </w:rPr>
        <w:t>, p. 398.</w:t>
      </w:r>
    </w:p>
  </w:footnote>
  <w:footnote w:id="5">
    <w:p w:rsidR="009F094A" w:rsidRDefault="009F094A">
      <w:pPr>
        <w:pStyle w:val="Textonotapie"/>
      </w:pPr>
      <w:r>
        <w:rPr>
          <w:rStyle w:val="Refdenotaalpie"/>
        </w:rPr>
        <w:footnoteRef/>
      </w:r>
      <w:r>
        <w:t xml:space="preserve"> </w:t>
      </w:r>
      <w:r w:rsidRPr="00573A80">
        <w:rPr>
          <w:rFonts w:ascii="Times New Roman" w:hAnsi="Times New Roman" w:cs="Times New Roman"/>
        </w:rPr>
        <w:t>Muñoz Conde, Francisco (2015). `` Delitos contra el patrimonio ´´. Derecho Penal Parte Especial. Valencia, Tirant Lo Blanch</w:t>
      </w:r>
      <w:r>
        <w:rPr>
          <w:rFonts w:ascii="Times New Roman" w:hAnsi="Times New Roman" w:cs="Times New Roman"/>
        </w:rPr>
        <w:t>, p. 324.</w:t>
      </w:r>
    </w:p>
  </w:footnote>
  <w:footnote w:id="6">
    <w:p w:rsidR="002D0065" w:rsidRPr="00DE3206"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415.</w:t>
      </w:r>
    </w:p>
  </w:footnote>
  <w:footnote w:id="7">
    <w:p w:rsidR="00635B4A" w:rsidRPr="00A4054B" w:rsidRDefault="00635B4A">
      <w:pPr>
        <w:pStyle w:val="Textonotapie"/>
        <w:rPr>
          <w:rFonts w:ascii="Times New Roman" w:hAnsi="Times New Roman" w:cs="Times New Roman"/>
        </w:rPr>
      </w:pPr>
      <w:r>
        <w:rPr>
          <w:rStyle w:val="Refdenotaalpie"/>
        </w:rPr>
        <w:footnoteRef/>
      </w:r>
      <w:r>
        <w:t xml:space="preserve"> </w:t>
      </w:r>
      <w:r w:rsidRPr="00A4054B">
        <w:rPr>
          <w:rFonts w:ascii="Times New Roman" w:hAnsi="Times New Roman" w:cs="Times New Roman"/>
        </w:rPr>
        <w:t xml:space="preserve">Quintero Olivares, Gonzalo (2008). `` Delitos contra el patrimonio y contra el orden socioeconómico. De los hurtos ´´. Comentarios al Código Penal. Parte Especial. </w:t>
      </w:r>
      <w:r w:rsidR="00A4054B" w:rsidRPr="00A4054B">
        <w:rPr>
          <w:rFonts w:ascii="Times New Roman" w:hAnsi="Times New Roman" w:cs="Times New Roman"/>
        </w:rPr>
        <w:t>Navarra, Aranzadi, p. 651.</w:t>
      </w:r>
    </w:p>
  </w:footnote>
  <w:footnote w:id="8">
    <w:p w:rsidR="002D0065" w:rsidRPr="002118CC"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Ortuzar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415.</w:t>
      </w:r>
    </w:p>
  </w:footnote>
  <w:footnote w:id="9">
    <w:p w:rsidR="002D0065" w:rsidRPr="00BD7AC9" w:rsidRDefault="002D0065">
      <w:pPr>
        <w:pStyle w:val="Textonotapie"/>
        <w:rPr>
          <w:rFonts w:ascii="Times New Roman" w:hAnsi="Times New Roman" w:cs="Times New Roman"/>
        </w:rPr>
      </w:pPr>
      <w:r>
        <w:rPr>
          <w:rStyle w:val="Refdenotaalpie"/>
        </w:rPr>
        <w:footnoteRef/>
      </w:r>
      <w:r>
        <w:t xml:space="preserve"> </w:t>
      </w:r>
      <w:r w:rsidRPr="00BD7AC9">
        <w:rPr>
          <w:rFonts w:ascii="Times New Roman" w:hAnsi="Times New Roman" w:cs="Times New Roman"/>
        </w:rPr>
        <w:t xml:space="preserve">Benítez </w:t>
      </w:r>
      <w:proofErr w:type="spellStart"/>
      <w:r w:rsidRPr="00BD7AC9">
        <w:rPr>
          <w:rFonts w:ascii="Times New Roman" w:hAnsi="Times New Roman" w:cs="Times New Roman"/>
        </w:rPr>
        <w:t>Ortúzar</w:t>
      </w:r>
      <w:proofErr w:type="spellEnd"/>
      <w:r w:rsidRPr="00BD7AC9">
        <w:rPr>
          <w:rFonts w:ascii="Times New Roman" w:hAnsi="Times New Roman" w:cs="Times New Roman"/>
        </w:rPr>
        <w:t xml:space="preserve">, Ignacio F (2016). `` Delitos contra el patrimonio y el orden socioeconómico (II) ´´. Madrid, </w:t>
      </w:r>
      <w:proofErr w:type="spellStart"/>
      <w:r w:rsidRPr="00BD7AC9">
        <w:rPr>
          <w:rFonts w:ascii="Times New Roman" w:hAnsi="Times New Roman" w:cs="Times New Roman"/>
        </w:rPr>
        <w:t>Dykinson</w:t>
      </w:r>
      <w:proofErr w:type="spellEnd"/>
      <w:r w:rsidRPr="00BD7AC9">
        <w:rPr>
          <w:rFonts w:ascii="Times New Roman" w:hAnsi="Times New Roman" w:cs="Times New Roman"/>
        </w:rPr>
        <w:t>, p. 415, 416.</w:t>
      </w:r>
    </w:p>
  </w:footnote>
  <w:footnote w:id="10">
    <w:p w:rsidR="002D0065" w:rsidRDefault="002D0065">
      <w:pPr>
        <w:pStyle w:val="Textonotapie"/>
      </w:pPr>
      <w:r>
        <w:rPr>
          <w:rStyle w:val="Refdenotaalpie"/>
        </w:rPr>
        <w:footnoteRef/>
      </w:r>
      <w:r>
        <w:t xml:space="preserve"> </w:t>
      </w:r>
      <w:r w:rsidRPr="00BD7AC9">
        <w:rPr>
          <w:rFonts w:ascii="Times New Roman" w:hAnsi="Times New Roman" w:cs="Times New Roman"/>
        </w:rPr>
        <w:t xml:space="preserve">Benítez </w:t>
      </w:r>
      <w:proofErr w:type="spellStart"/>
      <w:r w:rsidRPr="00BD7AC9">
        <w:rPr>
          <w:rFonts w:ascii="Times New Roman" w:hAnsi="Times New Roman" w:cs="Times New Roman"/>
        </w:rPr>
        <w:t>Ortúzar</w:t>
      </w:r>
      <w:proofErr w:type="spellEnd"/>
      <w:r w:rsidRPr="00BD7AC9">
        <w:rPr>
          <w:rFonts w:ascii="Times New Roman" w:hAnsi="Times New Roman" w:cs="Times New Roman"/>
        </w:rPr>
        <w:t xml:space="preserve">, Ignacio F (2016). `` Delitos contra el patrimonio y el orden socioeconómico (II) ´´. Madrid, </w:t>
      </w:r>
      <w:proofErr w:type="spellStart"/>
      <w:r w:rsidRPr="00BD7AC9">
        <w:rPr>
          <w:rFonts w:ascii="Times New Roman" w:hAnsi="Times New Roman" w:cs="Times New Roman"/>
        </w:rPr>
        <w:t>Dykinson</w:t>
      </w:r>
      <w:proofErr w:type="spellEnd"/>
      <w:r w:rsidRPr="00BD7AC9">
        <w:rPr>
          <w:rFonts w:ascii="Times New Roman" w:hAnsi="Times New Roman" w:cs="Times New Roman"/>
        </w:rPr>
        <w:t>, p. 416.</w:t>
      </w:r>
    </w:p>
  </w:footnote>
  <w:footnote w:id="11">
    <w:p w:rsidR="002D0065" w:rsidRPr="00BD7AC9"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416, 417.</w:t>
      </w:r>
    </w:p>
  </w:footnote>
  <w:footnote w:id="12">
    <w:p w:rsidR="002D0065" w:rsidRPr="00BD7AC9" w:rsidRDefault="002D0065">
      <w:pPr>
        <w:pStyle w:val="Textonotapie"/>
        <w:rPr>
          <w:rFonts w:ascii="Times New Roman" w:hAnsi="Times New Roman" w:cs="Times New Roman"/>
        </w:rPr>
      </w:pPr>
      <w:r>
        <w:rPr>
          <w:rStyle w:val="Refdenotaalpie"/>
        </w:rPr>
        <w:footnoteRef/>
      </w:r>
      <w:r>
        <w:t xml:space="preserve"> </w:t>
      </w:r>
      <w:r w:rsidRPr="00BD7AC9">
        <w:rPr>
          <w:rFonts w:ascii="Times New Roman" w:hAnsi="Times New Roman" w:cs="Times New Roman"/>
        </w:rPr>
        <w:t xml:space="preserve">Benítez </w:t>
      </w:r>
      <w:proofErr w:type="spellStart"/>
      <w:r w:rsidRPr="00BD7AC9">
        <w:rPr>
          <w:rFonts w:ascii="Times New Roman" w:hAnsi="Times New Roman" w:cs="Times New Roman"/>
        </w:rPr>
        <w:t>Ortúzar</w:t>
      </w:r>
      <w:proofErr w:type="spellEnd"/>
      <w:r w:rsidRPr="00BD7AC9">
        <w:rPr>
          <w:rFonts w:ascii="Times New Roman" w:hAnsi="Times New Roman" w:cs="Times New Roman"/>
        </w:rPr>
        <w:t>, Ignacio</w:t>
      </w:r>
      <w:r>
        <w:t xml:space="preserve"> F (2016</w:t>
      </w:r>
      <w:r w:rsidRPr="00BD7AC9">
        <w:rPr>
          <w:rFonts w:ascii="Times New Roman" w:hAnsi="Times New Roman" w:cs="Times New Roman"/>
        </w:rPr>
        <w:t>). `` Delitos contra el patrimonio y el orden socioeconómico (I</w:t>
      </w:r>
      <w:r>
        <w:rPr>
          <w:rFonts w:ascii="Times New Roman" w:hAnsi="Times New Roman" w:cs="Times New Roman"/>
        </w:rPr>
        <w:t xml:space="preserve">I) ´´. Madrid, </w:t>
      </w:r>
      <w:proofErr w:type="spellStart"/>
      <w:r>
        <w:rPr>
          <w:rFonts w:ascii="Times New Roman" w:hAnsi="Times New Roman" w:cs="Times New Roman"/>
        </w:rPr>
        <w:t>Dykinson</w:t>
      </w:r>
      <w:proofErr w:type="spellEnd"/>
      <w:r>
        <w:rPr>
          <w:rFonts w:ascii="Times New Roman" w:hAnsi="Times New Roman" w:cs="Times New Roman"/>
        </w:rPr>
        <w:t>, p. 417.</w:t>
      </w:r>
    </w:p>
  </w:footnote>
  <w:footnote w:id="13">
    <w:p w:rsidR="002D0065" w:rsidRPr="00EA5746"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418, 419, 420.</w:t>
      </w:r>
    </w:p>
  </w:footnote>
  <w:footnote w:id="14">
    <w:p w:rsidR="00FD2293" w:rsidRPr="00573A80" w:rsidRDefault="00FD2293">
      <w:pPr>
        <w:pStyle w:val="Textonotapie"/>
        <w:rPr>
          <w:rFonts w:ascii="Times New Roman" w:hAnsi="Times New Roman" w:cs="Times New Roman"/>
        </w:rPr>
      </w:pPr>
      <w:r>
        <w:rPr>
          <w:rStyle w:val="Refdenotaalpie"/>
        </w:rPr>
        <w:footnoteRef/>
      </w:r>
      <w:r>
        <w:t xml:space="preserve"> </w:t>
      </w:r>
      <w:r w:rsidRPr="00573A80">
        <w:rPr>
          <w:rFonts w:ascii="Times New Roman" w:hAnsi="Times New Roman" w:cs="Times New Roman"/>
        </w:rPr>
        <w:t xml:space="preserve">Muñoz Conde, Francisco (2015). `` Delitos contra el patrimonio ´´. Derecho Penal Parte Especial. Valencia, </w:t>
      </w:r>
      <w:r w:rsidR="00573A80" w:rsidRPr="00573A80">
        <w:rPr>
          <w:rFonts w:ascii="Times New Roman" w:hAnsi="Times New Roman" w:cs="Times New Roman"/>
        </w:rPr>
        <w:t>Tirant Lo Blanch, p. 328.</w:t>
      </w:r>
    </w:p>
  </w:footnote>
  <w:footnote w:id="15">
    <w:p w:rsidR="002D0065" w:rsidRPr="00DE5A4B" w:rsidRDefault="002D0065">
      <w:pPr>
        <w:pStyle w:val="Textonotapie"/>
        <w:rPr>
          <w:rFonts w:ascii="Times New Roman" w:hAnsi="Times New Roman" w:cs="Times New Roman"/>
        </w:rPr>
      </w:pPr>
      <w:r w:rsidRPr="00DE5A4B">
        <w:rPr>
          <w:rStyle w:val="Refdenotaalpie"/>
          <w:rFonts w:ascii="Times New Roman" w:hAnsi="Times New Roman" w:cs="Times New Roman"/>
        </w:rPr>
        <w:footnoteRef/>
      </w:r>
      <w:r w:rsidRPr="00DE5A4B">
        <w:rPr>
          <w:rFonts w:ascii="Times New Roman" w:hAnsi="Times New Roman" w:cs="Times New Roman"/>
        </w:rPr>
        <w:t xml:space="preserve"> Benítez </w:t>
      </w:r>
      <w:proofErr w:type="spellStart"/>
      <w:r w:rsidRPr="00DE5A4B">
        <w:rPr>
          <w:rFonts w:ascii="Times New Roman" w:hAnsi="Times New Roman" w:cs="Times New Roman"/>
        </w:rPr>
        <w:t>Ortúzar</w:t>
      </w:r>
      <w:proofErr w:type="spellEnd"/>
      <w:r w:rsidRPr="00DE5A4B">
        <w:rPr>
          <w:rFonts w:ascii="Times New Roman" w:hAnsi="Times New Roman" w:cs="Times New Roman"/>
        </w:rPr>
        <w:t xml:space="preserve">, Ignacio F (2016). `` Delitos contra el patrimonio y el orden socioeconómico (III) ´´. Madrid, </w:t>
      </w:r>
      <w:proofErr w:type="spellStart"/>
      <w:r w:rsidRPr="00DE5A4B">
        <w:rPr>
          <w:rFonts w:ascii="Times New Roman" w:hAnsi="Times New Roman" w:cs="Times New Roman"/>
        </w:rPr>
        <w:t>Dykinson</w:t>
      </w:r>
      <w:proofErr w:type="spellEnd"/>
      <w:r w:rsidRPr="00DE5A4B">
        <w:rPr>
          <w:rFonts w:ascii="Times New Roman" w:hAnsi="Times New Roman" w:cs="Times New Roman"/>
        </w:rPr>
        <w:t>, p. 442.</w:t>
      </w:r>
    </w:p>
  </w:footnote>
  <w:footnote w:id="16">
    <w:p w:rsidR="002D0065" w:rsidRPr="00DE5A4B" w:rsidRDefault="002D0065">
      <w:pPr>
        <w:pStyle w:val="Textonotapie"/>
        <w:rPr>
          <w:rFonts w:ascii="Times New Roman" w:hAnsi="Times New Roman" w:cs="Times New Roman"/>
        </w:rPr>
      </w:pPr>
      <w:r w:rsidRPr="00DE5A4B">
        <w:rPr>
          <w:rStyle w:val="Refdenotaalpie"/>
          <w:rFonts w:ascii="Times New Roman" w:hAnsi="Times New Roman" w:cs="Times New Roman"/>
        </w:rPr>
        <w:footnoteRef/>
      </w:r>
      <w:r w:rsidRPr="00DE5A4B">
        <w:rPr>
          <w:rFonts w:ascii="Times New Roman" w:hAnsi="Times New Roman" w:cs="Times New Roman"/>
        </w:rPr>
        <w:t xml:space="preserve"> Benítez </w:t>
      </w:r>
      <w:proofErr w:type="spellStart"/>
      <w:r w:rsidRPr="00DE5A4B">
        <w:rPr>
          <w:rFonts w:ascii="Times New Roman" w:hAnsi="Times New Roman" w:cs="Times New Roman"/>
        </w:rPr>
        <w:t>Ortúzar</w:t>
      </w:r>
      <w:proofErr w:type="spellEnd"/>
      <w:r w:rsidRPr="00DE5A4B">
        <w:rPr>
          <w:rFonts w:ascii="Times New Roman" w:hAnsi="Times New Roman" w:cs="Times New Roman"/>
        </w:rPr>
        <w:t xml:space="preserve">, Ignacio F (2016). `` Delitos contra el patrimonio y el orden socioeconómico (II) ´´. Madrid, </w:t>
      </w:r>
      <w:proofErr w:type="spellStart"/>
      <w:r w:rsidRPr="00DE5A4B">
        <w:rPr>
          <w:rFonts w:ascii="Times New Roman" w:hAnsi="Times New Roman" w:cs="Times New Roman"/>
        </w:rPr>
        <w:t>Dykinson</w:t>
      </w:r>
      <w:proofErr w:type="spellEnd"/>
      <w:r w:rsidRPr="00DE5A4B">
        <w:rPr>
          <w:rFonts w:ascii="Times New Roman" w:hAnsi="Times New Roman" w:cs="Times New Roman"/>
        </w:rPr>
        <w:t>, p. 418.</w:t>
      </w:r>
    </w:p>
  </w:footnote>
  <w:footnote w:id="17">
    <w:p w:rsidR="002D0065" w:rsidRPr="00DE5A4B" w:rsidRDefault="002D0065">
      <w:pPr>
        <w:pStyle w:val="Textonotapie"/>
        <w:rPr>
          <w:rFonts w:ascii="Times New Roman" w:hAnsi="Times New Roman" w:cs="Times New Roman"/>
        </w:rPr>
      </w:pPr>
      <w:r w:rsidRPr="00DE5A4B">
        <w:rPr>
          <w:rStyle w:val="Refdenotaalpie"/>
          <w:rFonts w:ascii="Times New Roman" w:hAnsi="Times New Roman" w:cs="Times New Roman"/>
        </w:rPr>
        <w:footnoteRef/>
      </w:r>
      <w:r w:rsidRPr="00DE5A4B">
        <w:rPr>
          <w:rFonts w:ascii="Times New Roman" w:hAnsi="Times New Roman" w:cs="Times New Roman"/>
        </w:rPr>
        <w:t xml:space="preserve"> Benítez </w:t>
      </w:r>
      <w:proofErr w:type="spellStart"/>
      <w:r w:rsidRPr="00DE5A4B">
        <w:rPr>
          <w:rFonts w:ascii="Times New Roman" w:hAnsi="Times New Roman" w:cs="Times New Roman"/>
        </w:rPr>
        <w:t>Ortúzar</w:t>
      </w:r>
      <w:proofErr w:type="spellEnd"/>
      <w:r w:rsidRPr="00DE5A4B">
        <w:rPr>
          <w:rFonts w:ascii="Times New Roman" w:hAnsi="Times New Roman" w:cs="Times New Roman"/>
        </w:rPr>
        <w:t xml:space="preserve">, Ignacio F (2016). `` Delitos contra el patrimonio y el orden socioeconómico (III) ´´. Madrid, </w:t>
      </w:r>
      <w:proofErr w:type="spellStart"/>
      <w:r w:rsidRPr="00DE5A4B">
        <w:rPr>
          <w:rFonts w:ascii="Times New Roman" w:hAnsi="Times New Roman" w:cs="Times New Roman"/>
        </w:rPr>
        <w:t>Dykinson</w:t>
      </w:r>
      <w:proofErr w:type="spellEnd"/>
      <w:r w:rsidRPr="00DE5A4B">
        <w:rPr>
          <w:rFonts w:ascii="Times New Roman" w:hAnsi="Times New Roman" w:cs="Times New Roman"/>
        </w:rPr>
        <w:t>, p. 446.</w:t>
      </w:r>
    </w:p>
  </w:footnote>
  <w:footnote w:id="18">
    <w:p w:rsidR="002D0065" w:rsidRPr="00DE5A4B" w:rsidRDefault="002D0065" w:rsidP="00DE5A4B">
      <w:pPr>
        <w:pStyle w:val="Textonotapie"/>
        <w:rPr>
          <w:rFonts w:ascii="Times New Roman" w:hAnsi="Times New Roman" w:cs="Times New Roman"/>
        </w:rPr>
      </w:pPr>
      <w:r>
        <w:rPr>
          <w:rStyle w:val="Refdenotaalpie"/>
        </w:rPr>
        <w:footnoteRef/>
      </w:r>
      <w:r>
        <w:t xml:space="preserve"> </w:t>
      </w:r>
      <w:r w:rsidRPr="00DE5A4B">
        <w:rPr>
          <w:rFonts w:ascii="Times New Roman" w:hAnsi="Times New Roman" w:cs="Times New Roman"/>
        </w:rPr>
        <w:t xml:space="preserve">Benítez </w:t>
      </w:r>
      <w:proofErr w:type="spellStart"/>
      <w:r w:rsidRPr="00DE5A4B">
        <w:rPr>
          <w:rFonts w:ascii="Times New Roman" w:hAnsi="Times New Roman" w:cs="Times New Roman"/>
        </w:rPr>
        <w:t>Ortúzar</w:t>
      </w:r>
      <w:proofErr w:type="spellEnd"/>
      <w:r w:rsidRPr="00DE5A4B">
        <w:rPr>
          <w:rFonts w:ascii="Times New Roman" w:hAnsi="Times New Roman" w:cs="Times New Roman"/>
        </w:rPr>
        <w:t xml:space="preserve">, Ignacio F (2016). `` Delitos contra el patrimonio y el orden socioeconómico (III) ´´. Madrid, </w:t>
      </w:r>
      <w:proofErr w:type="spellStart"/>
      <w:r w:rsidRPr="00DE5A4B">
        <w:rPr>
          <w:rFonts w:ascii="Times New Roman" w:hAnsi="Times New Roman" w:cs="Times New Roman"/>
        </w:rPr>
        <w:t>Dykinson</w:t>
      </w:r>
      <w:proofErr w:type="spellEnd"/>
      <w:r w:rsidRPr="00DE5A4B">
        <w:rPr>
          <w:rFonts w:ascii="Times New Roman" w:hAnsi="Times New Roman" w:cs="Times New Roman"/>
        </w:rPr>
        <w:t>, p. 442.</w:t>
      </w:r>
    </w:p>
    <w:p w:rsidR="002D0065" w:rsidRDefault="002D0065">
      <w:pPr>
        <w:pStyle w:val="Textonotapie"/>
      </w:pPr>
    </w:p>
  </w:footnote>
  <w:footnote w:id="19">
    <w:p w:rsidR="00CE17CB" w:rsidRPr="00CE17CB" w:rsidRDefault="00CE17CB">
      <w:pPr>
        <w:pStyle w:val="Textonotapie"/>
        <w:rPr>
          <w:rFonts w:ascii="Times New Roman" w:hAnsi="Times New Roman" w:cs="Times New Roman"/>
        </w:rPr>
      </w:pPr>
      <w:r w:rsidRPr="00CE17CB">
        <w:rPr>
          <w:rStyle w:val="Refdenotaalpie"/>
          <w:rFonts w:ascii="Times New Roman" w:hAnsi="Times New Roman" w:cs="Times New Roman"/>
        </w:rPr>
        <w:footnoteRef/>
      </w:r>
      <w:r w:rsidRPr="00CE17CB">
        <w:rPr>
          <w:rFonts w:ascii="Times New Roman" w:hAnsi="Times New Roman" w:cs="Times New Roman"/>
        </w:rPr>
        <w:t xml:space="preserve"> Manzanares Samaniego, José Luis (2016). `` De los robos ´´. Comentarios al Código Penal tras las Leyes Orgánicas 1/2015, de 30 de marzo, y 2/2015, de 30 de marzo. Madrid, </w:t>
      </w:r>
      <w:proofErr w:type="spellStart"/>
      <w:r w:rsidRPr="00CE17CB">
        <w:rPr>
          <w:rFonts w:ascii="Times New Roman" w:hAnsi="Times New Roman" w:cs="Times New Roman"/>
        </w:rPr>
        <w:t>Wolters</w:t>
      </w:r>
      <w:proofErr w:type="spellEnd"/>
      <w:r w:rsidRPr="00CE17CB">
        <w:rPr>
          <w:rFonts w:ascii="Times New Roman" w:hAnsi="Times New Roman" w:cs="Times New Roman"/>
        </w:rPr>
        <w:t xml:space="preserve"> </w:t>
      </w:r>
      <w:proofErr w:type="spellStart"/>
      <w:r w:rsidRPr="00CE17CB">
        <w:rPr>
          <w:rFonts w:ascii="Times New Roman" w:hAnsi="Times New Roman" w:cs="Times New Roman"/>
        </w:rPr>
        <w:t>Kluwer</w:t>
      </w:r>
      <w:proofErr w:type="spellEnd"/>
      <w:r w:rsidRPr="00CE17CB">
        <w:rPr>
          <w:rFonts w:ascii="Times New Roman" w:hAnsi="Times New Roman" w:cs="Times New Roman"/>
        </w:rPr>
        <w:t xml:space="preserve"> España, p. 852.</w:t>
      </w:r>
    </w:p>
  </w:footnote>
  <w:footnote w:id="20">
    <w:p w:rsidR="002D0065" w:rsidRPr="00BB78EF"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417,418.</w:t>
      </w:r>
    </w:p>
  </w:footnote>
  <w:footnote w:id="21">
    <w:p w:rsidR="00381994" w:rsidRPr="00617E16" w:rsidRDefault="00381994">
      <w:pPr>
        <w:pStyle w:val="Textonotapie"/>
        <w:rPr>
          <w:rFonts w:ascii="Times New Roman" w:hAnsi="Times New Roman" w:cs="Times New Roman"/>
        </w:rPr>
      </w:pPr>
      <w:r>
        <w:rPr>
          <w:rStyle w:val="Refdenotaalpie"/>
        </w:rPr>
        <w:footnoteRef/>
      </w:r>
      <w:r>
        <w:t xml:space="preserve"> </w:t>
      </w:r>
      <w:proofErr w:type="spellStart"/>
      <w:r w:rsidRPr="00617E16">
        <w:rPr>
          <w:rFonts w:ascii="Times New Roman" w:hAnsi="Times New Roman" w:cs="Times New Roman"/>
        </w:rPr>
        <w:t>Mestre</w:t>
      </w:r>
      <w:proofErr w:type="spellEnd"/>
      <w:r w:rsidRPr="00617E16">
        <w:rPr>
          <w:rFonts w:ascii="Times New Roman" w:hAnsi="Times New Roman" w:cs="Times New Roman"/>
        </w:rPr>
        <w:t xml:space="preserve"> Delgado, Esteban (2016). `` Delitos contra el patrimonio y contra el orden socioeconómico ´´. DELITOS. La parte especial del Derecho penal. Madrid, </w:t>
      </w:r>
      <w:proofErr w:type="spellStart"/>
      <w:r w:rsidRPr="00617E16">
        <w:rPr>
          <w:rFonts w:ascii="Times New Roman" w:hAnsi="Times New Roman" w:cs="Times New Roman"/>
        </w:rPr>
        <w:t>Dykinson</w:t>
      </w:r>
      <w:proofErr w:type="spellEnd"/>
      <w:r w:rsidRPr="00617E16">
        <w:rPr>
          <w:rFonts w:ascii="Times New Roman" w:hAnsi="Times New Roman" w:cs="Times New Roman"/>
        </w:rPr>
        <w:t>, p. 333.</w:t>
      </w:r>
    </w:p>
  </w:footnote>
  <w:footnote w:id="22">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418.</w:t>
      </w:r>
    </w:p>
  </w:footnote>
  <w:footnote w:id="23">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420, 421</w:t>
      </w:r>
    </w:p>
  </w:footnote>
  <w:footnote w:id="24">
    <w:p w:rsidR="002D0065" w:rsidRPr="00037950" w:rsidRDefault="002D0065" w:rsidP="00037950">
      <w:pPr>
        <w:pStyle w:val="Textonotapie"/>
        <w:rPr>
          <w:rFonts w:ascii="Times New Roman" w:hAnsi="Times New Roman" w:cs="Times New Roman"/>
        </w:rPr>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xml:space="preserve">, robo, robo y hurto de uso de vehículos de motor, usurpación ´´. Madrid, </w:t>
      </w:r>
      <w:proofErr w:type="spellStart"/>
      <w:r w:rsidRPr="00037950">
        <w:rPr>
          <w:rFonts w:ascii="Times New Roman" w:hAnsi="Times New Roman" w:cs="Times New Roman"/>
        </w:rPr>
        <w:t>Dykinson</w:t>
      </w:r>
      <w:proofErr w:type="spellEnd"/>
      <w:r w:rsidRPr="00037950">
        <w:rPr>
          <w:rFonts w:ascii="Times New Roman" w:hAnsi="Times New Roman" w:cs="Times New Roman"/>
        </w:rPr>
        <w:t>, p. 517</w:t>
      </w:r>
      <w:r>
        <w:rPr>
          <w:rFonts w:ascii="Times New Roman" w:hAnsi="Times New Roman" w:cs="Times New Roman"/>
        </w:rPr>
        <w:t>,518</w:t>
      </w:r>
      <w:r w:rsidRPr="00037950">
        <w:rPr>
          <w:rFonts w:ascii="Times New Roman" w:hAnsi="Times New Roman" w:cs="Times New Roman"/>
        </w:rPr>
        <w:t>.</w:t>
      </w:r>
    </w:p>
    <w:p w:rsidR="002D0065" w:rsidRPr="00037950" w:rsidRDefault="002D0065">
      <w:pPr>
        <w:pStyle w:val="Textonotapie"/>
        <w:rPr>
          <w:rFonts w:ascii="Times New Roman" w:hAnsi="Times New Roman" w:cs="Times New Roman"/>
        </w:rPr>
      </w:pPr>
    </w:p>
  </w:footnote>
  <w:footnote w:id="25">
    <w:p w:rsidR="00617E16" w:rsidRPr="00617E16" w:rsidRDefault="00617E16">
      <w:pPr>
        <w:pStyle w:val="Textonotapie"/>
        <w:rPr>
          <w:rFonts w:ascii="Times New Roman" w:hAnsi="Times New Roman" w:cs="Times New Roman"/>
        </w:rPr>
      </w:pPr>
      <w:r>
        <w:rPr>
          <w:rStyle w:val="Refdenotaalpie"/>
        </w:rPr>
        <w:footnoteRef/>
      </w:r>
      <w:r>
        <w:t xml:space="preserve"> </w:t>
      </w:r>
      <w:proofErr w:type="spellStart"/>
      <w:r w:rsidRPr="00617E16">
        <w:rPr>
          <w:rFonts w:ascii="Times New Roman" w:hAnsi="Times New Roman" w:cs="Times New Roman"/>
        </w:rPr>
        <w:t>Mestre</w:t>
      </w:r>
      <w:proofErr w:type="spellEnd"/>
      <w:r w:rsidRPr="00617E16">
        <w:rPr>
          <w:rFonts w:ascii="Times New Roman" w:hAnsi="Times New Roman" w:cs="Times New Roman"/>
        </w:rPr>
        <w:t xml:space="preserve"> Delgado, Esteban (2016). `` Delitos contra el patrimonio y contra el orden socioeconómico ´´. DELITOS. La parte especial del Derecho</w:t>
      </w:r>
      <w:r w:rsidR="00B07B96">
        <w:rPr>
          <w:rFonts w:ascii="Times New Roman" w:hAnsi="Times New Roman" w:cs="Times New Roman"/>
        </w:rPr>
        <w:t xml:space="preserve"> penal. Madrid, </w:t>
      </w:r>
      <w:proofErr w:type="spellStart"/>
      <w:r w:rsidR="00B07B96">
        <w:rPr>
          <w:rFonts w:ascii="Times New Roman" w:hAnsi="Times New Roman" w:cs="Times New Roman"/>
        </w:rPr>
        <w:t>Dykinson</w:t>
      </w:r>
      <w:proofErr w:type="spellEnd"/>
      <w:r w:rsidR="00B07B96">
        <w:rPr>
          <w:rFonts w:ascii="Times New Roman" w:hAnsi="Times New Roman" w:cs="Times New Roman"/>
        </w:rPr>
        <w:t>, p. 335</w:t>
      </w:r>
      <w:r w:rsidRPr="00617E16">
        <w:rPr>
          <w:rFonts w:ascii="Times New Roman" w:hAnsi="Times New Roman" w:cs="Times New Roman"/>
        </w:rPr>
        <w:t>.</w:t>
      </w:r>
    </w:p>
  </w:footnote>
  <w:footnote w:id="26">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518</w:t>
      </w:r>
    </w:p>
  </w:footnote>
  <w:footnote w:id="27">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518,519.</w:t>
      </w:r>
    </w:p>
  </w:footnote>
  <w:footnote w:id="28">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520.</w:t>
      </w:r>
    </w:p>
  </w:footnote>
  <w:footnote w:id="29">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519.</w:t>
      </w:r>
    </w:p>
  </w:footnote>
  <w:footnote w:id="30">
    <w:p w:rsidR="002D0065" w:rsidRPr="00507C5A" w:rsidRDefault="002D0065">
      <w:pPr>
        <w:pStyle w:val="Textonotapie"/>
        <w:rPr>
          <w:rFonts w:ascii="Times New Roman" w:hAnsi="Times New Roman" w:cs="Times New Roman"/>
        </w:rPr>
      </w:pPr>
      <w:r>
        <w:rPr>
          <w:rStyle w:val="Refdenotaalpie"/>
        </w:rPr>
        <w:footnoteRef/>
      </w:r>
      <w:r>
        <w:t xml:space="preserve"> </w:t>
      </w:r>
      <w:r w:rsidRPr="00507C5A">
        <w:rPr>
          <w:rFonts w:ascii="Times New Roman" w:hAnsi="Times New Roman" w:cs="Times New Roman"/>
        </w:rPr>
        <w:t xml:space="preserve">BOE (2015). Ley Orgánica 1/2015, de 30 de Marzo, por la que se modifica la Ley Orgánica 10/1995, de 23 de noviembre, del Código Penal. Disponible online: </w:t>
      </w:r>
      <w:hyperlink r:id="rId1" w:history="1">
        <w:r w:rsidRPr="00222D71">
          <w:rPr>
            <w:rStyle w:val="Hipervnculo"/>
            <w:rFonts w:ascii="Times New Roman" w:hAnsi="Times New Roman" w:cs="Times New Roman"/>
          </w:rPr>
          <w:t>https://www.boe.es/diario_boe/txt</w:t>
        </w:r>
      </w:hyperlink>
      <w:r w:rsidRPr="00507C5A">
        <w:rPr>
          <w:rFonts w:ascii="Times New Roman" w:hAnsi="Times New Roman" w:cs="Times New Roman"/>
        </w:rPr>
        <w:t>.</w:t>
      </w:r>
      <w:r>
        <w:rPr>
          <w:rFonts w:ascii="Times New Roman" w:hAnsi="Times New Roman" w:cs="Times New Roman"/>
        </w:rPr>
        <w:t xml:space="preserve"> Preámbulo I.</w:t>
      </w:r>
    </w:p>
  </w:footnote>
  <w:footnote w:id="31">
    <w:p w:rsidR="002D0065" w:rsidRPr="00BC42A8"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Del Carpio Delgado, Juana (2015). </w:t>
      </w:r>
      <w:r>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 p. 5.</w:t>
      </w:r>
    </w:p>
  </w:footnote>
  <w:footnote w:id="32">
    <w:p w:rsidR="002D0065" w:rsidRDefault="002D0065">
      <w:pPr>
        <w:pStyle w:val="Textonotapie"/>
      </w:pPr>
      <w:r>
        <w:rPr>
          <w:rStyle w:val="Refdenotaalpie"/>
        </w:rPr>
        <w:footnoteRef/>
      </w:r>
      <w:r>
        <w:rPr>
          <w:rFonts w:ascii="Times New Roman" w:hAnsi="Times New Roman" w:cs="Times New Roman"/>
        </w:rP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521.</w:t>
      </w:r>
      <w:r>
        <w:t xml:space="preserve"> </w:t>
      </w:r>
    </w:p>
  </w:footnote>
  <w:footnote w:id="33">
    <w:p w:rsidR="002D0065" w:rsidRDefault="002D0065">
      <w:pPr>
        <w:pStyle w:val="Textonotapie"/>
      </w:pPr>
      <w:r>
        <w:rPr>
          <w:rStyle w:val="Refdenotaalpie"/>
        </w:rPr>
        <w:footnoteRef/>
      </w:r>
      <w:r>
        <w:t xml:space="preserve"> Cano Cuenca, Adoración (2015). `` El delito de hurto (arts. 234 y ss. CP) ´´. </w:t>
      </w:r>
      <w:proofErr w:type="spellStart"/>
      <w:r>
        <w:t>Valecia</w:t>
      </w:r>
      <w:proofErr w:type="spellEnd"/>
      <w:r>
        <w:t>, Tirant Lo Blanch, p. 696.</w:t>
      </w:r>
    </w:p>
  </w:footnote>
  <w:footnote w:id="34">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428.</w:t>
      </w:r>
    </w:p>
  </w:footnote>
  <w:footnote w:id="35">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519.</w:t>
      </w:r>
    </w:p>
  </w:footnote>
  <w:footnote w:id="36">
    <w:p w:rsidR="002D0065" w:rsidRPr="00F9224D" w:rsidRDefault="002D0065">
      <w:pPr>
        <w:pStyle w:val="Textonotapie"/>
        <w:rPr>
          <w:rFonts w:ascii="Times New Roman" w:hAnsi="Times New Roman" w:cs="Times New Roman"/>
        </w:rPr>
      </w:pPr>
      <w:r w:rsidRPr="00F9224D">
        <w:rPr>
          <w:rStyle w:val="Refdenotaalpie"/>
          <w:rFonts w:ascii="Times New Roman" w:hAnsi="Times New Roman" w:cs="Times New Roman"/>
        </w:rPr>
        <w:footnoteRef/>
      </w:r>
      <w:r w:rsidRPr="00F9224D">
        <w:rPr>
          <w:rFonts w:ascii="Times New Roman" w:hAnsi="Times New Roman" w:cs="Times New Roman"/>
        </w:rPr>
        <w:t xml:space="preserve"> Del Carpio Delgado, Juana (2014). </w:t>
      </w:r>
      <w:r w:rsidRPr="00F9224D">
        <w:rPr>
          <w:rFonts w:ascii="Times New Roman" w:hAnsi="Times New Roman" w:cs="Times New Roman"/>
          <w:i/>
        </w:rPr>
        <w:t>Análisis crítico sobre la regulación de los delitos de robo en el Proyecto de 2013 de reforma del Código Penal.</w:t>
      </w:r>
      <w:r w:rsidRPr="00F9224D">
        <w:rPr>
          <w:rFonts w:ascii="Times New Roman" w:hAnsi="Times New Roman" w:cs="Times New Roman"/>
        </w:rPr>
        <w:t xml:space="preserve"> La Ley 2219/2014, p. 4.</w:t>
      </w:r>
    </w:p>
  </w:footnote>
  <w:footnote w:id="37">
    <w:p w:rsidR="002D0065" w:rsidRPr="00F9224D" w:rsidRDefault="002D0065">
      <w:pPr>
        <w:pStyle w:val="Textonotapie"/>
        <w:rPr>
          <w:rFonts w:ascii="Times New Roman" w:hAnsi="Times New Roman" w:cs="Times New Roman"/>
        </w:rPr>
      </w:pPr>
      <w:r w:rsidRPr="00F9224D">
        <w:rPr>
          <w:rStyle w:val="Refdenotaalpie"/>
          <w:rFonts w:ascii="Times New Roman" w:hAnsi="Times New Roman" w:cs="Times New Roman"/>
        </w:rPr>
        <w:footnoteRef/>
      </w:r>
      <w:r w:rsidRPr="00F9224D">
        <w:rPr>
          <w:rFonts w:ascii="Times New Roman" w:hAnsi="Times New Roman" w:cs="Times New Roman"/>
        </w:rPr>
        <w:t xml:space="preserve"> Del Carpio Delgado, Juana (2015). </w:t>
      </w:r>
      <w:r w:rsidRPr="00F9224D">
        <w:rPr>
          <w:rFonts w:ascii="Times New Roman" w:hAnsi="Times New Roman" w:cs="Times New Roman"/>
          <w:i/>
        </w:rPr>
        <w:t xml:space="preserve">La regulación de los delitos de hurto tras la reforma de 2015 del Código Penal. </w:t>
      </w:r>
      <w:r w:rsidRPr="00F9224D">
        <w:rPr>
          <w:rFonts w:ascii="Times New Roman" w:hAnsi="Times New Roman" w:cs="Times New Roman"/>
        </w:rPr>
        <w:t>La Ley 6313/2015, p. 7.</w:t>
      </w:r>
    </w:p>
  </w:footnote>
  <w:footnote w:id="38">
    <w:p w:rsidR="002D0065" w:rsidRDefault="002D0065">
      <w:pPr>
        <w:pStyle w:val="Textonotapie"/>
      </w:pPr>
      <w:r w:rsidRPr="00F9224D">
        <w:rPr>
          <w:rStyle w:val="Refdenotaalpie"/>
          <w:rFonts w:ascii="Times New Roman" w:hAnsi="Times New Roman" w:cs="Times New Roman"/>
        </w:rPr>
        <w:footnoteRef/>
      </w:r>
      <w:r w:rsidRPr="00F9224D">
        <w:rPr>
          <w:rFonts w:ascii="Times New Roman" w:hAnsi="Times New Roman" w:cs="Times New Roman"/>
        </w:rPr>
        <w:t xml:space="preserve"> Del Carpio Delgado, Juana (2015). </w:t>
      </w:r>
      <w:r w:rsidRPr="00F9224D">
        <w:rPr>
          <w:rFonts w:ascii="Times New Roman" w:hAnsi="Times New Roman" w:cs="Times New Roman"/>
          <w:i/>
        </w:rPr>
        <w:t xml:space="preserve">La regulación de los delitos de hurto tras la reforma de 2015 del Código Penal. </w:t>
      </w:r>
      <w:r w:rsidRPr="00F9224D">
        <w:rPr>
          <w:rFonts w:ascii="Times New Roman" w:hAnsi="Times New Roman" w:cs="Times New Roman"/>
        </w:rPr>
        <w:t>La Ley 6313/2015, p. 7.</w:t>
      </w:r>
      <w:r>
        <w:t xml:space="preserve"> </w:t>
      </w:r>
    </w:p>
  </w:footnote>
  <w:footnote w:id="39">
    <w:p w:rsidR="002D0065" w:rsidRDefault="002D0065">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sidRPr="00F9224D">
        <w:rPr>
          <w:rFonts w:ascii="Times New Roman" w:hAnsi="Times New Roman" w:cs="Times New Roman"/>
        </w:rPr>
        <w:t>La Ley 6313/2015, p. 7.</w:t>
      </w:r>
    </w:p>
  </w:footnote>
  <w:footnote w:id="40">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429.</w:t>
      </w:r>
    </w:p>
  </w:footnote>
  <w:footnote w:id="41">
    <w:p w:rsidR="002D0065" w:rsidRDefault="002D0065" w:rsidP="00660A77">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sidRPr="00F9224D">
        <w:rPr>
          <w:rFonts w:ascii="Times New Roman" w:hAnsi="Times New Roman" w:cs="Times New Roman"/>
        </w:rPr>
        <w:t>La Ley 6313/2015, p. 7.</w:t>
      </w:r>
    </w:p>
    <w:p w:rsidR="002D0065" w:rsidRDefault="002D0065">
      <w:pPr>
        <w:pStyle w:val="Textonotapie"/>
      </w:pPr>
    </w:p>
  </w:footnote>
  <w:footnote w:id="42">
    <w:p w:rsidR="002D0065" w:rsidRDefault="002D0065" w:rsidP="00660A77">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429.</w:t>
      </w:r>
    </w:p>
    <w:p w:rsidR="002D0065" w:rsidRDefault="002D0065">
      <w:pPr>
        <w:pStyle w:val="Textonotapie"/>
      </w:pPr>
    </w:p>
  </w:footnote>
  <w:footnote w:id="43">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429.</w:t>
      </w:r>
    </w:p>
  </w:footnote>
  <w:footnote w:id="44">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429.</w:t>
      </w:r>
    </w:p>
  </w:footnote>
  <w:footnote w:id="45">
    <w:p w:rsidR="002D0065" w:rsidRPr="00373470" w:rsidRDefault="002D0065">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Zárate, González, Moral, Díaz, Mañas (2016). </w:t>
      </w:r>
      <w:r>
        <w:rPr>
          <w:rFonts w:ascii="Times New Roman" w:hAnsi="Times New Roman" w:cs="Times New Roman"/>
          <w:i/>
        </w:rPr>
        <w:t>Derecho penal parte especial. Obra adaptada al temario de oposición para el acceso a la Carrera Judicial y Fiscal.</w:t>
      </w:r>
      <w:r>
        <w:rPr>
          <w:rFonts w:ascii="Times New Roman" w:hAnsi="Times New Roman" w:cs="Times New Roman"/>
        </w:rPr>
        <w:t xml:space="preserve"> Madrid, Centro de Estudios Ramón Areces, p. 319.</w:t>
      </w:r>
    </w:p>
  </w:footnote>
  <w:footnote w:id="46">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522.</w:t>
      </w:r>
    </w:p>
  </w:footnote>
  <w:footnote w:id="47">
    <w:p w:rsidR="002D0065" w:rsidRPr="00507C5A" w:rsidRDefault="002D0065" w:rsidP="00373470">
      <w:pPr>
        <w:pStyle w:val="Textonotapie"/>
        <w:rPr>
          <w:rFonts w:ascii="Times New Roman" w:hAnsi="Times New Roman" w:cs="Times New Roman"/>
        </w:rPr>
      </w:pPr>
      <w:r>
        <w:rPr>
          <w:rStyle w:val="Refdenotaalpie"/>
        </w:rPr>
        <w:footnoteRef/>
      </w:r>
      <w:r>
        <w:t xml:space="preserve"> </w:t>
      </w:r>
      <w:r w:rsidRPr="00507C5A">
        <w:rPr>
          <w:rFonts w:ascii="Times New Roman" w:hAnsi="Times New Roman" w:cs="Times New Roman"/>
        </w:rPr>
        <w:t xml:space="preserve">BOE (2015). Ley Orgánica 1/2015, de 30 de Marzo, por la que se modifica la Ley Orgánica 10/1995, de 23 de noviembre, del Código Penal. Disponible online: </w:t>
      </w:r>
      <w:hyperlink r:id="rId2" w:history="1">
        <w:r w:rsidRPr="00222D71">
          <w:rPr>
            <w:rStyle w:val="Hipervnculo"/>
            <w:rFonts w:ascii="Times New Roman" w:hAnsi="Times New Roman" w:cs="Times New Roman"/>
          </w:rPr>
          <w:t>https://www.boe.es/diario_boe/txt</w:t>
        </w:r>
      </w:hyperlink>
      <w:r w:rsidRPr="00507C5A">
        <w:rPr>
          <w:rFonts w:ascii="Times New Roman" w:hAnsi="Times New Roman" w:cs="Times New Roman"/>
        </w:rPr>
        <w:t>.</w:t>
      </w:r>
      <w:r>
        <w:rPr>
          <w:rFonts w:ascii="Times New Roman" w:hAnsi="Times New Roman" w:cs="Times New Roman"/>
        </w:rPr>
        <w:t xml:space="preserve"> Preámbulo XIV.</w:t>
      </w:r>
    </w:p>
    <w:p w:rsidR="002D0065" w:rsidRDefault="002D0065">
      <w:pPr>
        <w:pStyle w:val="Textonotapie"/>
      </w:pPr>
    </w:p>
  </w:footnote>
  <w:footnote w:id="48">
    <w:p w:rsidR="002D0065" w:rsidRDefault="002D0065" w:rsidP="00F27CE3">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523.</w:t>
      </w:r>
    </w:p>
    <w:p w:rsidR="002D0065" w:rsidRDefault="002D0065">
      <w:pPr>
        <w:pStyle w:val="Textonotapie"/>
      </w:pPr>
    </w:p>
  </w:footnote>
  <w:footnote w:id="49">
    <w:p w:rsidR="002D0065" w:rsidRDefault="002D0065" w:rsidP="00F27CE3">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523.</w:t>
      </w:r>
    </w:p>
    <w:p w:rsidR="002D0065" w:rsidRDefault="002D0065" w:rsidP="00F27CE3">
      <w:pPr>
        <w:pStyle w:val="Textonotapie"/>
      </w:pPr>
    </w:p>
    <w:p w:rsidR="002D0065" w:rsidRDefault="002D0065">
      <w:pPr>
        <w:pStyle w:val="Textonotapie"/>
      </w:pPr>
    </w:p>
  </w:footnote>
  <w:footnote w:id="50">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523.</w:t>
      </w:r>
    </w:p>
  </w:footnote>
  <w:footnote w:id="51">
    <w:p w:rsidR="002D0065" w:rsidRPr="00507C5A" w:rsidRDefault="002D0065" w:rsidP="000F5DBF">
      <w:pPr>
        <w:pStyle w:val="Textonotapie"/>
        <w:rPr>
          <w:rFonts w:ascii="Times New Roman" w:hAnsi="Times New Roman" w:cs="Times New Roman"/>
        </w:rPr>
      </w:pPr>
      <w:r>
        <w:rPr>
          <w:rStyle w:val="Refdenotaalpie"/>
        </w:rPr>
        <w:footnoteRef/>
      </w:r>
      <w:r>
        <w:t xml:space="preserve"> </w:t>
      </w:r>
      <w:r w:rsidRPr="00507C5A">
        <w:rPr>
          <w:rFonts w:ascii="Times New Roman" w:hAnsi="Times New Roman" w:cs="Times New Roman"/>
        </w:rPr>
        <w:t xml:space="preserve">BOE (2015). Ley Orgánica 1/2015, de 30 de Marzo, por la que se modifica la Ley Orgánica 10/1995, de 23 de noviembre, del Código Penal. Disponible online: </w:t>
      </w:r>
      <w:hyperlink r:id="rId3" w:history="1">
        <w:r w:rsidRPr="00222D71">
          <w:rPr>
            <w:rStyle w:val="Hipervnculo"/>
            <w:rFonts w:ascii="Times New Roman" w:hAnsi="Times New Roman" w:cs="Times New Roman"/>
          </w:rPr>
          <w:t>https://www.boe.es/diario_boe/txt</w:t>
        </w:r>
      </w:hyperlink>
      <w:r w:rsidRPr="00507C5A">
        <w:rPr>
          <w:rFonts w:ascii="Times New Roman" w:hAnsi="Times New Roman" w:cs="Times New Roman"/>
        </w:rPr>
        <w:t>.</w:t>
      </w:r>
      <w:r>
        <w:rPr>
          <w:rFonts w:ascii="Times New Roman" w:hAnsi="Times New Roman" w:cs="Times New Roman"/>
        </w:rPr>
        <w:t xml:space="preserve"> Preámbulo XIV.</w:t>
      </w:r>
    </w:p>
    <w:p w:rsidR="002D0065" w:rsidRDefault="002D0065">
      <w:pPr>
        <w:pStyle w:val="Textonotapie"/>
      </w:pPr>
    </w:p>
  </w:footnote>
  <w:footnote w:id="52">
    <w:p w:rsidR="002D0065" w:rsidRDefault="002D0065" w:rsidP="000F5DBF">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432,433.</w:t>
      </w:r>
    </w:p>
    <w:p w:rsidR="002D0065" w:rsidRDefault="002D0065">
      <w:pPr>
        <w:pStyle w:val="Textonotapie"/>
      </w:pPr>
    </w:p>
  </w:footnote>
  <w:footnote w:id="53">
    <w:p w:rsidR="002D0065" w:rsidRDefault="002D0065">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 p. 12.</w:t>
      </w:r>
    </w:p>
  </w:footnote>
  <w:footnote w:id="54">
    <w:p w:rsidR="002D0065" w:rsidRDefault="002D0065" w:rsidP="009251A1">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433.</w:t>
      </w:r>
    </w:p>
    <w:p w:rsidR="002D0065" w:rsidRDefault="002D0065">
      <w:pPr>
        <w:pStyle w:val="Textonotapie"/>
      </w:pPr>
    </w:p>
  </w:footnote>
  <w:footnote w:id="55">
    <w:p w:rsidR="002D0065" w:rsidRDefault="002D0065">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 p. 13.</w:t>
      </w:r>
    </w:p>
  </w:footnote>
  <w:footnote w:id="56">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433,434.</w:t>
      </w:r>
    </w:p>
  </w:footnote>
  <w:footnote w:id="57">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525.</w:t>
      </w:r>
    </w:p>
  </w:footnote>
  <w:footnote w:id="58">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434.</w:t>
      </w:r>
    </w:p>
  </w:footnote>
  <w:footnote w:id="59">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525.</w:t>
      </w:r>
    </w:p>
  </w:footnote>
  <w:footnote w:id="60">
    <w:p w:rsidR="002D0065" w:rsidRDefault="002D0065" w:rsidP="00E87BD1">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525,526.</w:t>
      </w:r>
    </w:p>
    <w:p w:rsidR="002D0065" w:rsidRDefault="002D0065">
      <w:pPr>
        <w:pStyle w:val="Textonotapie"/>
      </w:pPr>
    </w:p>
  </w:footnote>
  <w:footnote w:id="61">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436.</w:t>
      </w:r>
    </w:p>
  </w:footnote>
  <w:footnote w:id="62">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436.</w:t>
      </w:r>
    </w:p>
  </w:footnote>
  <w:footnote w:id="63">
    <w:p w:rsidR="002D0065" w:rsidRDefault="002D0065" w:rsidP="00AB702E">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526.</w:t>
      </w:r>
    </w:p>
    <w:p w:rsidR="002D0065" w:rsidRDefault="002D0065">
      <w:pPr>
        <w:pStyle w:val="Textonotapie"/>
      </w:pPr>
    </w:p>
  </w:footnote>
  <w:footnote w:id="64">
    <w:p w:rsidR="002D0065" w:rsidRDefault="002D0065" w:rsidP="00E316AC">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526.</w:t>
      </w:r>
    </w:p>
    <w:p w:rsidR="002D0065" w:rsidRDefault="002D0065">
      <w:pPr>
        <w:pStyle w:val="Textonotapie"/>
      </w:pPr>
    </w:p>
  </w:footnote>
  <w:footnote w:id="65">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436.</w:t>
      </w:r>
    </w:p>
  </w:footnote>
  <w:footnote w:id="66">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 ´´. Madrid, </w:t>
      </w:r>
      <w:proofErr w:type="spellStart"/>
      <w:r>
        <w:rPr>
          <w:rFonts w:ascii="Times New Roman" w:hAnsi="Times New Roman" w:cs="Times New Roman"/>
        </w:rPr>
        <w:t>Dykinson</w:t>
      </w:r>
      <w:proofErr w:type="spellEnd"/>
      <w:r>
        <w:rPr>
          <w:rFonts w:ascii="Times New Roman" w:hAnsi="Times New Roman" w:cs="Times New Roman"/>
        </w:rPr>
        <w:t>, p. 436.</w:t>
      </w:r>
    </w:p>
  </w:footnote>
  <w:footnote w:id="67">
    <w:p w:rsidR="002D0065" w:rsidRDefault="002D0065" w:rsidP="00E316AC">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527.</w:t>
      </w:r>
    </w:p>
    <w:p w:rsidR="002D0065" w:rsidRDefault="002D0065">
      <w:pPr>
        <w:pStyle w:val="Textonotapie"/>
      </w:pPr>
    </w:p>
  </w:footnote>
  <w:footnote w:id="68">
    <w:p w:rsidR="00751B51" w:rsidRDefault="00751B51">
      <w:pPr>
        <w:pStyle w:val="Textonotapie"/>
      </w:pPr>
      <w:r>
        <w:rPr>
          <w:rStyle w:val="Refdenotaalpie"/>
        </w:rPr>
        <w:footnoteRef/>
      </w:r>
      <w:r w:rsidRPr="00573A80">
        <w:rPr>
          <w:rFonts w:ascii="Times New Roman" w:hAnsi="Times New Roman" w:cs="Times New Roman"/>
        </w:rPr>
        <w:t>Muñoz Conde, Francisco (2015). `` Delitos contra el patrimonio ´´. Derecho Penal Parte Especial. Valencia, Tirant Lo Blanch</w:t>
      </w:r>
      <w:r>
        <w:rPr>
          <w:rFonts w:ascii="Times New Roman" w:hAnsi="Times New Roman" w:cs="Times New Roman"/>
        </w:rPr>
        <w:t>, p. 339</w:t>
      </w:r>
      <w:r>
        <w:t xml:space="preserve"> </w:t>
      </w:r>
    </w:p>
  </w:footnote>
  <w:footnote w:id="69">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527, 528.</w:t>
      </w:r>
    </w:p>
  </w:footnote>
  <w:footnote w:id="70">
    <w:p w:rsidR="002D0065" w:rsidRDefault="002D0065" w:rsidP="00B923E5">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 p. 16.</w:t>
      </w:r>
    </w:p>
    <w:p w:rsidR="002D0065" w:rsidRDefault="002D0065">
      <w:pPr>
        <w:pStyle w:val="Textonotapie"/>
      </w:pPr>
    </w:p>
  </w:footnote>
  <w:footnote w:id="71">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528.</w:t>
      </w:r>
    </w:p>
  </w:footnote>
  <w:footnote w:id="72">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528.</w:t>
      </w:r>
    </w:p>
  </w:footnote>
  <w:footnote w:id="73">
    <w:p w:rsidR="002D0065" w:rsidRDefault="002D0065" w:rsidP="00E71A3B">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 p. 18.</w:t>
      </w:r>
    </w:p>
    <w:p w:rsidR="002D0065" w:rsidRDefault="002D0065">
      <w:pPr>
        <w:pStyle w:val="Textonotapie"/>
      </w:pPr>
    </w:p>
  </w:footnote>
  <w:footnote w:id="74">
    <w:p w:rsidR="002D0065" w:rsidRDefault="002D0065">
      <w:pPr>
        <w:pStyle w:val="Textonotapie"/>
      </w:pPr>
      <w:r>
        <w:rPr>
          <w:rStyle w:val="Refdenotaalpie"/>
        </w:rPr>
        <w:footnoteRef/>
      </w:r>
      <w:r>
        <w:rPr>
          <w:rFonts w:ascii="Times New Roman" w:hAnsi="Times New Roman" w:cs="Times New Roman"/>
        </w:rP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529.</w:t>
      </w:r>
      <w:r>
        <w:t xml:space="preserve"> </w:t>
      </w:r>
    </w:p>
  </w:footnote>
  <w:footnote w:id="75">
    <w:p w:rsidR="002D0065" w:rsidRDefault="002D0065" w:rsidP="00132C7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529.</w:t>
      </w:r>
      <w:r>
        <w:t xml:space="preserve"> </w:t>
      </w:r>
    </w:p>
    <w:p w:rsidR="002D0065" w:rsidRDefault="002D0065">
      <w:pPr>
        <w:pStyle w:val="Textonotapie"/>
      </w:pPr>
    </w:p>
  </w:footnote>
  <w:footnote w:id="76">
    <w:p w:rsidR="002D0065" w:rsidRDefault="002D0065">
      <w:pPr>
        <w:pStyle w:val="Textonotapie"/>
      </w:pPr>
      <w:r>
        <w:rPr>
          <w:rStyle w:val="Refdenotaalpie"/>
        </w:rPr>
        <w:footnoteRef/>
      </w:r>
      <w:r>
        <w:t xml:space="preserve"> </w:t>
      </w:r>
      <w:r w:rsidRPr="00F9224D">
        <w:rPr>
          <w:rFonts w:ascii="Times New Roman" w:hAnsi="Times New Roman" w:cs="Times New Roman"/>
        </w:rPr>
        <w:t xml:space="preserve">Del Carpio Delgado, Juana (2015). </w:t>
      </w:r>
      <w:r w:rsidRPr="00F9224D">
        <w:rPr>
          <w:rFonts w:ascii="Times New Roman" w:hAnsi="Times New Roman" w:cs="Times New Roman"/>
          <w:i/>
        </w:rPr>
        <w:t xml:space="preserve">La regulación de los delitos de hurto tras la reforma de 2015 del Código Penal. </w:t>
      </w:r>
      <w:r>
        <w:rPr>
          <w:rFonts w:ascii="Times New Roman" w:hAnsi="Times New Roman" w:cs="Times New Roman"/>
        </w:rPr>
        <w:t>La Ley 6313/2015, p. 19, 20.</w:t>
      </w:r>
    </w:p>
  </w:footnote>
  <w:footnote w:id="77">
    <w:p w:rsidR="00E41700" w:rsidRPr="00E41700" w:rsidRDefault="00E41700">
      <w:pPr>
        <w:pStyle w:val="Textonotapie"/>
        <w:rPr>
          <w:rFonts w:ascii="Times New Roman" w:hAnsi="Times New Roman" w:cs="Times New Roman"/>
        </w:rPr>
      </w:pPr>
      <w:r>
        <w:rPr>
          <w:rStyle w:val="Refdenotaalpie"/>
        </w:rPr>
        <w:footnoteRef/>
      </w:r>
      <w:r>
        <w:t xml:space="preserve"> </w:t>
      </w:r>
      <w:proofErr w:type="spellStart"/>
      <w:r>
        <w:rPr>
          <w:rFonts w:ascii="Times New Roman" w:hAnsi="Times New Roman" w:cs="Times New Roman"/>
        </w:rPr>
        <w:t>Górriz</w:t>
      </w:r>
      <w:proofErr w:type="spellEnd"/>
      <w:r>
        <w:rPr>
          <w:rFonts w:ascii="Times New Roman" w:hAnsi="Times New Roman" w:cs="Times New Roman"/>
        </w:rPr>
        <w:t xml:space="preserve"> Royo, Elena M (2015). `` Delitos de robo: arts.237, 240, 241 y242 CP ´´. Valencia, Tirant Lo Blanch, p. 713.</w:t>
      </w:r>
    </w:p>
  </w:footnote>
  <w:footnote w:id="78">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442.</w:t>
      </w:r>
    </w:p>
  </w:footnote>
  <w:footnote w:id="79">
    <w:p w:rsidR="002D0065" w:rsidRDefault="002D0065" w:rsidP="00443C6C">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443.</w:t>
      </w:r>
    </w:p>
    <w:p w:rsidR="002D0065" w:rsidRDefault="002D0065">
      <w:pPr>
        <w:pStyle w:val="Textonotapie"/>
      </w:pPr>
    </w:p>
  </w:footnote>
  <w:footnote w:id="80">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534.</w:t>
      </w:r>
    </w:p>
  </w:footnote>
  <w:footnote w:id="81">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534.</w:t>
      </w:r>
    </w:p>
  </w:footnote>
  <w:footnote w:id="82">
    <w:p w:rsidR="002D0065" w:rsidRDefault="002D0065" w:rsidP="007F6094">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443.</w:t>
      </w:r>
    </w:p>
    <w:p w:rsidR="002D0065" w:rsidRDefault="002D0065">
      <w:pPr>
        <w:pStyle w:val="Textonotapie"/>
      </w:pPr>
    </w:p>
  </w:footnote>
  <w:footnote w:id="83">
    <w:p w:rsidR="002D0065" w:rsidRDefault="002D0065" w:rsidP="007F6094">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444.</w:t>
      </w:r>
    </w:p>
    <w:p w:rsidR="002D0065" w:rsidRDefault="002D0065">
      <w:pPr>
        <w:pStyle w:val="Textonotapie"/>
      </w:pPr>
    </w:p>
  </w:footnote>
  <w:footnote w:id="84">
    <w:p w:rsidR="002D0065" w:rsidRDefault="002D0065" w:rsidP="007F6094">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444.</w:t>
      </w:r>
    </w:p>
    <w:p w:rsidR="002D0065" w:rsidRDefault="002D0065">
      <w:pPr>
        <w:pStyle w:val="Textonotapie"/>
      </w:pPr>
    </w:p>
  </w:footnote>
  <w:footnote w:id="85">
    <w:p w:rsidR="002D0065" w:rsidRDefault="002D0065" w:rsidP="007F6094">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445.</w:t>
      </w:r>
    </w:p>
    <w:p w:rsidR="002D0065" w:rsidRDefault="002D0065">
      <w:pPr>
        <w:pStyle w:val="Textonotapie"/>
      </w:pPr>
    </w:p>
  </w:footnote>
  <w:footnote w:id="86">
    <w:p w:rsidR="002D0065" w:rsidRDefault="002D0065" w:rsidP="007F6094">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445.</w:t>
      </w:r>
    </w:p>
    <w:p w:rsidR="002D0065" w:rsidRDefault="002D0065">
      <w:pPr>
        <w:pStyle w:val="Textonotapie"/>
      </w:pPr>
    </w:p>
  </w:footnote>
  <w:footnote w:id="87">
    <w:p w:rsidR="002D0065" w:rsidRDefault="002D0065" w:rsidP="007F6094">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445.</w:t>
      </w:r>
    </w:p>
    <w:p w:rsidR="002D0065" w:rsidRDefault="002D0065">
      <w:pPr>
        <w:pStyle w:val="Textonotapie"/>
      </w:pPr>
    </w:p>
  </w:footnote>
  <w:footnote w:id="88">
    <w:p w:rsidR="002D0065" w:rsidRDefault="002D0065" w:rsidP="00E97A89">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534, 535.</w:t>
      </w:r>
    </w:p>
    <w:p w:rsidR="002D0065" w:rsidRDefault="002D0065">
      <w:pPr>
        <w:pStyle w:val="Textonotapie"/>
      </w:pPr>
    </w:p>
  </w:footnote>
  <w:footnote w:id="89">
    <w:p w:rsidR="002D0065" w:rsidRPr="00F16379" w:rsidRDefault="002D0065">
      <w:pPr>
        <w:pStyle w:val="Textonotapie"/>
      </w:pPr>
      <w:r>
        <w:rPr>
          <w:rStyle w:val="Refdenotaalpie"/>
        </w:rPr>
        <w:footnoteRef/>
      </w:r>
      <w:r>
        <w:t xml:space="preserve"> Del Carpio Delgado,  Juana (2014). </w:t>
      </w:r>
      <w:r>
        <w:rPr>
          <w:i/>
        </w:rPr>
        <w:t>Análisis crítico sobre la regulación de los delitos de robo en el proyecto de 2013 de reforma del Código Penal.</w:t>
      </w:r>
      <w:r>
        <w:t xml:space="preserve"> La Ley 2219/2014, p. 4.</w:t>
      </w:r>
    </w:p>
  </w:footnote>
  <w:footnote w:id="90">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457.</w:t>
      </w:r>
    </w:p>
  </w:footnote>
  <w:footnote w:id="91">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538.</w:t>
      </w:r>
    </w:p>
  </w:footnote>
  <w:footnote w:id="92">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538.</w:t>
      </w:r>
    </w:p>
  </w:footnote>
  <w:footnote w:id="93">
    <w:p w:rsidR="002D0065" w:rsidRPr="00F16379" w:rsidRDefault="002D0065" w:rsidP="00CC2D22">
      <w:pPr>
        <w:pStyle w:val="Textonotapie"/>
      </w:pPr>
      <w:r>
        <w:rPr>
          <w:rStyle w:val="Refdenotaalpie"/>
        </w:rPr>
        <w:footnoteRef/>
      </w:r>
      <w:r>
        <w:t xml:space="preserve"> Del Carpio Delgado,  Juana (2014). </w:t>
      </w:r>
      <w:r>
        <w:rPr>
          <w:i/>
        </w:rPr>
        <w:t>Análisis crítico sobre la regulación de los delitos de robo en el proyecto de 2013 de reforma del Código Penal.</w:t>
      </w:r>
      <w:r>
        <w:t xml:space="preserve"> La Ley 2219/2014, p. 12, 13.</w:t>
      </w:r>
    </w:p>
    <w:p w:rsidR="002D0065" w:rsidRDefault="002D0065">
      <w:pPr>
        <w:pStyle w:val="Textonotapie"/>
      </w:pPr>
    </w:p>
  </w:footnote>
  <w:footnote w:id="94">
    <w:p w:rsidR="002D0065" w:rsidRPr="00F16379" w:rsidRDefault="002D0065" w:rsidP="00CC2D22">
      <w:pPr>
        <w:pStyle w:val="Textonotapie"/>
      </w:pPr>
      <w:r>
        <w:rPr>
          <w:rStyle w:val="Refdenotaalpie"/>
        </w:rPr>
        <w:footnoteRef/>
      </w:r>
      <w:r>
        <w:t xml:space="preserve"> Del Carpio Delgado,  Juana (2014). </w:t>
      </w:r>
      <w:r>
        <w:rPr>
          <w:i/>
        </w:rPr>
        <w:t>Análisis crítico sobre la regulación de los delitos de robo en el proyecto de 2013 de reforma del Código Penal.</w:t>
      </w:r>
      <w:r>
        <w:t xml:space="preserve"> La Ley 2219/2014, p. 13, 14.</w:t>
      </w:r>
    </w:p>
    <w:p w:rsidR="002D0065" w:rsidRDefault="002D0065">
      <w:pPr>
        <w:pStyle w:val="Textonotapie"/>
      </w:pPr>
    </w:p>
  </w:footnote>
  <w:footnote w:id="95">
    <w:p w:rsidR="00546AE4" w:rsidRPr="00CE17CB" w:rsidRDefault="0039289C" w:rsidP="00546AE4">
      <w:pPr>
        <w:pStyle w:val="Textonotapie"/>
        <w:rPr>
          <w:rFonts w:ascii="Times New Roman" w:hAnsi="Times New Roman" w:cs="Times New Roman"/>
        </w:rPr>
      </w:pPr>
      <w:r>
        <w:rPr>
          <w:rStyle w:val="Refdenotaalpie"/>
        </w:rPr>
        <w:footnoteRef/>
      </w:r>
      <w:r>
        <w:t xml:space="preserve"> </w:t>
      </w:r>
      <w:r w:rsidR="00546AE4" w:rsidRPr="00CE17CB">
        <w:rPr>
          <w:rFonts w:ascii="Times New Roman" w:hAnsi="Times New Roman" w:cs="Times New Roman"/>
        </w:rPr>
        <w:t>Manzanares Samaniego, José Luis (2016). `` De los robos ´´. Comentarios al Código Penal tras las Leyes Orgánicas 1/2015, de 30 de marzo, y 2/2015, de 30 de marzo. Madrid</w:t>
      </w:r>
      <w:r w:rsidR="00546AE4">
        <w:rPr>
          <w:rFonts w:ascii="Times New Roman" w:hAnsi="Times New Roman" w:cs="Times New Roman"/>
        </w:rPr>
        <w:t xml:space="preserve">, </w:t>
      </w:r>
      <w:proofErr w:type="spellStart"/>
      <w:r w:rsidR="00546AE4">
        <w:rPr>
          <w:rFonts w:ascii="Times New Roman" w:hAnsi="Times New Roman" w:cs="Times New Roman"/>
        </w:rPr>
        <w:t>Wolters</w:t>
      </w:r>
      <w:proofErr w:type="spellEnd"/>
      <w:r w:rsidR="00546AE4">
        <w:rPr>
          <w:rFonts w:ascii="Times New Roman" w:hAnsi="Times New Roman" w:cs="Times New Roman"/>
        </w:rPr>
        <w:t xml:space="preserve"> </w:t>
      </w:r>
      <w:proofErr w:type="spellStart"/>
      <w:r w:rsidR="00546AE4">
        <w:rPr>
          <w:rFonts w:ascii="Times New Roman" w:hAnsi="Times New Roman" w:cs="Times New Roman"/>
        </w:rPr>
        <w:t>Kluwer</w:t>
      </w:r>
      <w:proofErr w:type="spellEnd"/>
      <w:r w:rsidR="00546AE4">
        <w:rPr>
          <w:rFonts w:ascii="Times New Roman" w:hAnsi="Times New Roman" w:cs="Times New Roman"/>
        </w:rPr>
        <w:t xml:space="preserve"> España, p. 863</w:t>
      </w:r>
    </w:p>
    <w:p w:rsidR="0039289C" w:rsidRDefault="0039289C">
      <w:pPr>
        <w:pStyle w:val="Textonotapie"/>
      </w:pPr>
    </w:p>
  </w:footnote>
  <w:footnote w:id="96">
    <w:p w:rsidR="00546AE4" w:rsidRDefault="00546AE4" w:rsidP="00546AE4">
      <w:pPr>
        <w:pStyle w:val="Textonotapie"/>
      </w:pPr>
      <w:r>
        <w:rPr>
          <w:rStyle w:val="Refdenotaalpie"/>
        </w:rPr>
        <w:footnoteRef/>
      </w:r>
      <w:r>
        <w:t xml:space="preserve"> </w:t>
      </w:r>
      <w:r w:rsidRPr="00573A80">
        <w:rPr>
          <w:rFonts w:ascii="Times New Roman" w:hAnsi="Times New Roman" w:cs="Times New Roman"/>
        </w:rPr>
        <w:t>Muñoz Conde, Francisco (2015). `` Delitos contra el patrimonio ´´. Derecho Penal Parte Especial. Valencia, Tirant Lo Blanch</w:t>
      </w:r>
      <w:r>
        <w:rPr>
          <w:rFonts w:ascii="Times New Roman" w:hAnsi="Times New Roman" w:cs="Times New Roman"/>
        </w:rPr>
        <w:t>, p. 348</w:t>
      </w:r>
    </w:p>
    <w:p w:rsidR="00546AE4" w:rsidRDefault="00546AE4">
      <w:pPr>
        <w:pStyle w:val="Textonotapie"/>
      </w:pPr>
    </w:p>
  </w:footnote>
  <w:footnote w:id="97">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539.</w:t>
      </w:r>
    </w:p>
  </w:footnote>
  <w:footnote w:id="98">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459.</w:t>
      </w:r>
    </w:p>
  </w:footnote>
  <w:footnote w:id="99">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460.</w:t>
      </w:r>
    </w:p>
  </w:footnote>
  <w:footnote w:id="100">
    <w:p w:rsidR="002D0065" w:rsidRDefault="002D0065">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459, 460.</w:t>
      </w:r>
    </w:p>
  </w:footnote>
  <w:footnote w:id="101">
    <w:p w:rsidR="002D0065" w:rsidRDefault="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539.</w:t>
      </w:r>
    </w:p>
  </w:footnote>
  <w:footnote w:id="102">
    <w:p w:rsidR="002D0065" w:rsidRPr="00F16379" w:rsidRDefault="002D0065" w:rsidP="002D0065">
      <w:pPr>
        <w:pStyle w:val="Textonotapie"/>
      </w:pPr>
      <w:r>
        <w:rPr>
          <w:rStyle w:val="Refdenotaalpie"/>
        </w:rPr>
        <w:footnoteRef/>
      </w:r>
      <w:r>
        <w:t xml:space="preserve"> Del Carpio Delgado,  Juana (2014). </w:t>
      </w:r>
      <w:r>
        <w:rPr>
          <w:i/>
        </w:rPr>
        <w:t>Análisis crítico sobre la regulación de los delitos de robo en el proyecto de 2013 de reforma del Código Penal.</w:t>
      </w:r>
      <w:r>
        <w:t xml:space="preserve"> La Ley 2219/2014, p. 15.</w:t>
      </w:r>
    </w:p>
    <w:p w:rsidR="002D0065" w:rsidRDefault="002D0065">
      <w:pPr>
        <w:pStyle w:val="Textonotapie"/>
      </w:pPr>
    </w:p>
  </w:footnote>
  <w:footnote w:id="103">
    <w:p w:rsidR="002D0065" w:rsidRDefault="002D0065" w:rsidP="002D0065">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539, 540.</w:t>
      </w:r>
    </w:p>
    <w:p w:rsidR="002D0065" w:rsidRDefault="002D0065">
      <w:pPr>
        <w:pStyle w:val="Textonotapie"/>
      </w:pPr>
    </w:p>
  </w:footnote>
  <w:footnote w:id="104">
    <w:p w:rsidR="00D12BDC" w:rsidRDefault="00D12BDC" w:rsidP="00D12BDC">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540.</w:t>
      </w:r>
    </w:p>
    <w:p w:rsidR="00D12BDC" w:rsidRDefault="00D12BDC">
      <w:pPr>
        <w:pStyle w:val="Textonotapie"/>
      </w:pPr>
    </w:p>
  </w:footnote>
  <w:footnote w:id="105">
    <w:p w:rsidR="00D12BDC" w:rsidRDefault="00D12BDC">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460.</w:t>
      </w:r>
    </w:p>
  </w:footnote>
  <w:footnote w:id="106">
    <w:p w:rsidR="00D12BDC" w:rsidRDefault="00D12BDC">
      <w:pPr>
        <w:pStyle w:val="Textonotapie"/>
      </w:pPr>
      <w:r>
        <w:rPr>
          <w:rStyle w:val="Refdenotaalpie"/>
        </w:rPr>
        <w:footnoteRef/>
      </w:r>
      <w:r>
        <w:t xml:space="preserve"> </w:t>
      </w:r>
      <w:r w:rsidRPr="00507C5A">
        <w:rPr>
          <w:rFonts w:ascii="Times New Roman" w:hAnsi="Times New Roman" w:cs="Times New Roman"/>
        </w:rPr>
        <w:t xml:space="preserve">BOE (2015). Ley Orgánica 1/2015, de 30 de Marzo, por la que se modifica la Ley Orgánica 10/1995, de 23 de noviembre, del Código Penal. Disponible online: </w:t>
      </w:r>
      <w:hyperlink r:id="rId4" w:history="1">
        <w:r w:rsidRPr="00222D71">
          <w:rPr>
            <w:rStyle w:val="Hipervnculo"/>
            <w:rFonts w:ascii="Times New Roman" w:hAnsi="Times New Roman" w:cs="Times New Roman"/>
          </w:rPr>
          <w:t>https://www.boe.es/diario_boe/txt</w:t>
        </w:r>
      </w:hyperlink>
      <w:r w:rsidRPr="00507C5A">
        <w:rPr>
          <w:rFonts w:ascii="Times New Roman" w:hAnsi="Times New Roman" w:cs="Times New Roman"/>
        </w:rPr>
        <w:t>.</w:t>
      </w:r>
      <w:r>
        <w:rPr>
          <w:rFonts w:ascii="Times New Roman" w:hAnsi="Times New Roman" w:cs="Times New Roman"/>
        </w:rPr>
        <w:t xml:space="preserve"> Preámbulo XIV.</w:t>
      </w:r>
    </w:p>
  </w:footnote>
  <w:footnote w:id="107">
    <w:p w:rsidR="00E21D71" w:rsidRDefault="00E21D71">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540,541.</w:t>
      </w:r>
    </w:p>
  </w:footnote>
  <w:footnote w:id="108">
    <w:p w:rsidR="00E21D71" w:rsidRDefault="00E21D71">
      <w:pPr>
        <w:pStyle w:val="Textonotapie"/>
      </w:pPr>
      <w:r>
        <w:rPr>
          <w:rStyle w:val="Refdenotaalpie"/>
        </w:rPr>
        <w:footnoteRef/>
      </w:r>
      <w:r>
        <w:t xml:space="preserve"> </w:t>
      </w:r>
      <w:r>
        <w:rPr>
          <w:rFonts w:ascii="Times New Roman" w:hAnsi="Times New Roman" w:cs="Times New Roman"/>
        </w:rPr>
        <w:t xml:space="preserve">Benítez </w:t>
      </w:r>
      <w:proofErr w:type="spellStart"/>
      <w:r>
        <w:rPr>
          <w:rFonts w:ascii="Times New Roman" w:hAnsi="Times New Roman" w:cs="Times New Roman"/>
        </w:rPr>
        <w:t>Ortúzar</w:t>
      </w:r>
      <w:proofErr w:type="spellEnd"/>
      <w:r>
        <w:rPr>
          <w:rFonts w:ascii="Times New Roman" w:hAnsi="Times New Roman" w:cs="Times New Roman"/>
        </w:rPr>
        <w:t xml:space="preserve">, Ignacio F (2016). `` Delitos contra el patrimonio y el orden socioeconómico (III) ´´. Madrid, </w:t>
      </w:r>
      <w:proofErr w:type="spellStart"/>
      <w:r>
        <w:rPr>
          <w:rFonts w:ascii="Times New Roman" w:hAnsi="Times New Roman" w:cs="Times New Roman"/>
        </w:rPr>
        <w:t>Dykinson</w:t>
      </w:r>
      <w:proofErr w:type="spellEnd"/>
      <w:r>
        <w:rPr>
          <w:rFonts w:ascii="Times New Roman" w:hAnsi="Times New Roman" w:cs="Times New Roman"/>
        </w:rPr>
        <w:t>, p. 461.</w:t>
      </w:r>
    </w:p>
  </w:footnote>
  <w:footnote w:id="109">
    <w:p w:rsidR="00E21D71" w:rsidRDefault="00E21D71">
      <w:pPr>
        <w:pStyle w:val="Textonotapie"/>
      </w:pPr>
      <w:r>
        <w:rPr>
          <w:rStyle w:val="Refdenotaalpie"/>
        </w:rPr>
        <w:footnoteRef/>
      </w:r>
      <w:r>
        <w:t xml:space="preserve"> Del Carpio Delgado,  Juana (2014). </w:t>
      </w:r>
      <w:r>
        <w:rPr>
          <w:i/>
        </w:rPr>
        <w:t>Análisis crítico sobre la regulación de los delitos de robo en el proyecto de 2013 de reforma del Código Penal.</w:t>
      </w:r>
      <w:r>
        <w:t xml:space="preserve"> La Ley 2219/2014, p. 15.</w:t>
      </w:r>
    </w:p>
  </w:footnote>
  <w:footnote w:id="110">
    <w:p w:rsidR="00E21D71" w:rsidRDefault="00E21D71">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541.</w:t>
      </w:r>
    </w:p>
  </w:footnote>
  <w:footnote w:id="111">
    <w:p w:rsidR="00164352" w:rsidRPr="00164352" w:rsidRDefault="00164352">
      <w:pPr>
        <w:pStyle w:val="Textonotapie"/>
        <w:rPr>
          <w:rFonts w:ascii="Times New Roman" w:hAnsi="Times New Roman" w:cs="Times New Roman"/>
        </w:rPr>
      </w:pPr>
      <w:r>
        <w:rPr>
          <w:rStyle w:val="Refdenotaalpie"/>
        </w:rPr>
        <w:footnoteRef/>
      </w:r>
      <w:r>
        <w:t xml:space="preserve"> </w:t>
      </w:r>
      <w:r w:rsidRPr="00164352">
        <w:rPr>
          <w:rFonts w:ascii="Times New Roman" w:hAnsi="Times New Roman" w:cs="Times New Roman"/>
        </w:rPr>
        <w:t xml:space="preserve">Del Carpio Delgado, Juana (2013). </w:t>
      </w:r>
      <w:r w:rsidRPr="00164352">
        <w:rPr>
          <w:rFonts w:ascii="Times New Roman" w:hAnsi="Times New Roman" w:cs="Times New Roman"/>
          <w:i/>
        </w:rPr>
        <w:t xml:space="preserve">Sobre la innecesaria reforma de los delitos de hurto. A propósito del anteproyecto de 2012 de reforma del Código Penal. </w:t>
      </w:r>
      <w:r w:rsidRPr="00164352">
        <w:rPr>
          <w:rFonts w:ascii="Times New Roman" w:hAnsi="Times New Roman" w:cs="Times New Roman"/>
        </w:rPr>
        <w:t>Foro, Nueva época, p. 85.</w:t>
      </w:r>
    </w:p>
  </w:footnote>
  <w:footnote w:id="112">
    <w:p w:rsidR="008C5BC7" w:rsidRDefault="008C5BC7" w:rsidP="008C5BC7">
      <w:pPr>
        <w:pStyle w:val="Textonotapie"/>
      </w:pPr>
      <w:r>
        <w:rPr>
          <w:rStyle w:val="Refdenotaalpie"/>
        </w:rPr>
        <w:footnoteRef/>
      </w:r>
      <w:r>
        <w:t xml:space="preserve"> </w:t>
      </w:r>
      <w:r w:rsidRPr="00037950">
        <w:rPr>
          <w:rFonts w:ascii="Times New Roman" w:hAnsi="Times New Roman" w:cs="Times New Roman"/>
        </w:rPr>
        <w:t xml:space="preserve">Sánchez Robert, María José (2015). `` Hurto, </w:t>
      </w:r>
      <w:proofErr w:type="spellStart"/>
      <w:r w:rsidRPr="00037950">
        <w:rPr>
          <w:rFonts w:ascii="Times New Roman" w:hAnsi="Times New Roman" w:cs="Times New Roman"/>
        </w:rPr>
        <w:t>furtum</w:t>
      </w:r>
      <w:proofErr w:type="spellEnd"/>
      <w:r w:rsidRPr="00037950">
        <w:rPr>
          <w:rFonts w:ascii="Times New Roman" w:hAnsi="Times New Roman" w:cs="Times New Roman"/>
        </w:rPr>
        <w:t xml:space="preserve"> </w:t>
      </w:r>
      <w:proofErr w:type="spellStart"/>
      <w:r w:rsidRPr="00037950">
        <w:rPr>
          <w:rFonts w:ascii="Times New Roman" w:hAnsi="Times New Roman" w:cs="Times New Roman"/>
        </w:rPr>
        <w:t>possesionis</w:t>
      </w:r>
      <w:proofErr w:type="spellEnd"/>
      <w:r w:rsidRPr="00037950">
        <w:rPr>
          <w:rFonts w:ascii="Times New Roman" w:hAnsi="Times New Roman" w:cs="Times New Roman"/>
        </w:rPr>
        <w:t>, robo, robo y hurto de uso de vehículos de motor, usurpac</w:t>
      </w:r>
      <w:r>
        <w:rPr>
          <w:rFonts w:ascii="Times New Roman" w:hAnsi="Times New Roman" w:cs="Times New Roman"/>
        </w:rPr>
        <w:t xml:space="preserve">ión ´´. Madrid, </w:t>
      </w:r>
      <w:proofErr w:type="spellStart"/>
      <w:r>
        <w:rPr>
          <w:rFonts w:ascii="Times New Roman" w:hAnsi="Times New Roman" w:cs="Times New Roman"/>
        </w:rPr>
        <w:t>Dykinson</w:t>
      </w:r>
      <w:proofErr w:type="spellEnd"/>
      <w:r>
        <w:rPr>
          <w:rFonts w:ascii="Times New Roman" w:hAnsi="Times New Roman" w:cs="Times New Roman"/>
        </w:rPr>
        <w:t>, p. 534.</w:t>
      </w:r>
    </w:p>
    <w:p w:rsidR="008C5BC7" w:rsidRDefault="008C5BC7">
      <w:pPr>
        <w:pStyle w:val="Textonotapi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01D70"/>
    <w:multiLevelType w:val="multilevel"/>
    <w:tmpl w:val="F21004BC"/>
    <w:lvl w:ilvl="0">
      <w:start w:val="1"/>
      <w:numFmt w:val="decimal"/>
      <w:lvlText w:val="%1."/>
      <w:lvlJc w:val="left"/>
      <w:pPr>
        <w:ind w:left="375" w:hanging="375"/>
      </w:pPr>
      <w:rPr>
        <w:rFonts w:hint="default"/>
      </w:rPr>
    </w:lvl>
    <w:lvl w:ilvl="1">
      <w:start w:val="1"/>
      <w:numFmt w:val="decimal"/>
      <w:lvlText w:val="%1.%2)"/>
      <w:lvlJc w:val="left"/>
      <w:pPr>
        <w:ind w:left="1980" w:hanging="72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1880" w:hanging="1800"/>
      </w:pPr>
      <w:rPr>
        <w:rFonts w:hint="default"/>
      </w:rPr>
    </w:lvl>
  </w:abstractNum>
  <w:abstractNum w:abstractNumId="1">
    <w:nsid w:val="0C8C0C97"/>
    <w:multiLevelType w:val="hybridMultilevel"/>
    <w:tmpl w:val="46C42D62"/>
    <w:lvl w:ilvl="0" w:tplc="600C3F8E">
      <w:numFmt w:val="bullet"/>
      <w:lvlText w:val="-"/>
      <w:lvlJc w:val="left"/>
      <w:pPr>
        <w:ind w:left="2516" w:hanging="360"/>
      </w:pPr>
      <w:rPr>
        <w:rFonts w:ascii="Times New Roman" w:eastAsiaTheme="minorHAnsi" w:hAnsi="Times New Roman" w:cs="Times New Roman" w:hint="default"/>
      </w:rPr>
    </w:lvl>
    <w:lvl w:ilvl="1" w:tplc="0C0A0003" w:tentative="1">
      <w:start w:val="1"/>
      <w:numFmt w:val="bullet"/>
      <w:lvlText w:val="o"/>
      <w:lvlJc w:val="left"/>
      <w:pPr>
        <w:ind w:left="2696" w:hanging="360"/>
      </w:pPr>
      <w:rPr>
        <w:rFonts w:ascii="Courier New" w:hAnsi="Courier New" w:cs="Courier New" w:hint="default"/>
      </w:rPr>
    </w:lvl>
    <w:lvl w:ilvl="2" w:tplc="0C0A0005" w:tentative="1">
      <w:start w:val="1"/>
      <w:numFmt w:val="bullet"/>
      <w:lvlText w:val=""/>
      <w:lvlJc w:val="left"/>
      <w:pPr>
        <w:ind w:left="3416" w:hanging="360"/>
      </w:pPr>
      <w:rPr>
        <w:rFonts w:ascii="Wingdings" w:hAnsi="Wingdings" w:hint="default"/>
      </w:rPr>
    </w:lvl>
    <w:lvl w:ilvl="3" w:tplc="0C0A0001" w:tentative="1">
      <w:start w:val="1"/>
      <w:numFmt w:val="bullet"/>
      <w:lvlText w:val=""/>
      <w:lvlJc w:val="left"/>
      <w:pPr>
        <w:ind w:left="4136" w:hanging="360"/>
      </w:pPr>
      <w:rPr>
        <w:rFonts w:ascii="Symbol" w:hAnsi="Symbol" w:hint="default"/>
      </w:rPr>
    </w:lvl>
    <w:lvl w:ilvl="4" w:tplc="0C0A0003" w:tentative="1">
      <w:start w:val="1"/>
      <w:numFmt w:val="bullet"/>
      <w:lvlText w:val="o"/>
      <w:lvlJc w:val="left"/>
      <w:pPr>
        <w:ind w:left="4856" w:hanging="360"/>
      </w:pPr>
      <w:rPr>
        <w:rFonts w:ascii="Courier New" w:hAnsi="Courier New" w:cs="Courier New" w:hint="default"/>
      </w:rPr>
    </w:lvl>
    <w:lvl w:ilvl="5" w:tplc="0C0A0005" w:tentative="1">
      <w:start w:val="1"/>
      <w:numFmt w:val="bullet"/>
      <w:lvlText w:val=""/>
      <w:lvlJc w:val="left"/>
      <w:pPr>
        <w:ind w:left="5576" w:hanging="360"/>
      </w:pPr>
      <w:rPr>
        <w:rFonts w:ascii="Wingdings" w:hAnsi="Wingdings" w:hint="default"/>
      </w:rPr>
    </w:lvl>
    <w:lvl w:ilvl="6" w:tplc="0C0A0001" w:tentative="1">
      <w:start w:val="1"/>
      <w:numFmt w:val="bullet"/>
      <w:lvlText w:val=""/>
      <w:lvlJc w:val="left"/>
      <w:pPr>
        <w:ind w:left="6296" w:hanging="360"/>
      </w:pPr>
      <w:rPr>
        <w:rFonts w:ascii="Symbol" w:hAnsi="Symbol" w:hint="default"/>
      </w:rPr>
    </w:lvl>
    <w:lvl w:ilvl="7" w:tplc="0C0A0003" w:tentative="1">
      <w:start w:val="1"/>
      <w:numFmt w:val="bullet"/>
      <w:lvlText w:val="o"/>
      <w:lvlJc w:val="left"/>
      <w:pPr>
        <w:ind w:left="7016" w:hanging="360"/>
      </w:pPr>
      <w:rPr>
        <w:rFonts w:ascii="Courier New" w:hAnsi="Courier New" w:cs="Courier New" w:hint="default"/>
      </w:rPr>
    </w:lvl>
    <w:lvl w:ilvl="8" w:tplc="0C0A0005" w:tentative="1">
      <w:start w:val="1"/>
      <w:numFmt w:val="bullet"/>
      <w:lvlText w:val=""/>
      <w:lvlJc w:val="left"/>
      <w:pPr>
        <w:ind w:left="7736" w:hanging="360"/>
      </w:pPr>
      <w:rPr>
        <w:rFonts w:ascii="Wingdings" w:hAnsi="Wingdings" w:hint="default"/>
      </w:rPr>
    </w:lvl>
  </w:abstractNum>
  <w:abstractNum w:abstractNumId="2">
    <w:nsid w:val="2B407F0D"/>
    <w:multiLevelType w:val="hybridMultilevel"/>
    <w:tmpl w:val="C20CBC80"/>
    <w:lvl w:ilvl="0" w:tplc="0C0A0001">
      <w:start w:val="1"/>
      <w:numFmt w:val="bullet"/>
      <w:lvlText w:val=""/>
      <w:lvlJc w:val="left"/>
      <w:pPr>
        <w:ind w:left="1135" w:hanging="360"/>
      </w:pPr>
      <w:rPr>
        <w:rFonts w:ascii="Symbol" w:hAnsi="Symbol" w:hint="default"/>
      </w:rPr>
    </w:lvl>
    <w:lvl w:ilvl="1" w:tplc="0C0A0003" w:tentative="1">
      <w:start w:val="1"/>
      <w:numFmt w:val="bullet"/>
      <w:lvlText w:val="o"/>
      <w:lvlJc w:val="left"/>
      <w:pPr>
        <w:ind w:left="1855" w:hanging="360"/>
      </w:pPr>
      <w:rPr>
        <w:rFonts w:ascii="Courier New" w:hAnsi="Courier New" w:cs="Courier New" w:hint="default"/>
      </w:rPr>
    </w:lvl>
    <w:lvl w:ilvl="2" w:tplc="0C0A0005" w:tentative="1">
      <w:start w:val="1"/>
      <w:numFmt w:val="bullet"/>
      <w:lvlText w:val=""/>
      <w:lvlJc w:val="left"/>
      <w:pPr>
        <w:ind w:left="2575" w:hanging="360"/>
      </w:pPr>
      <w:rPr>
        <w:rFonts w:ascii="Wingdings" w:hAnsi="Wingdings" w:hint="default"/>
      </w:rPr>
    </w:lvl>
    <w:lvl w:ilvl="3" w:tplc="0C0A0001" w:tentative="1">
      <w:start w:val="1"/>
      <w:numFmt w:val="bullet"/>
      <w:lvlText w:val=""/>
      <w:lvlJc w:val="left"/>
      <w:pPr>
        <w:ind w:left="3295" w:hanging="360"/>
      </w:pPr>
      <w:rPr>
        <w:rFonts w:ascii="Symbol" w:hAnsi="Symbol" w:hint="default"/>
      </w:rPr>
    </w:lvl>
    <w:lvl w:ilvl="4" w:tplc="0C0A0003" w:tentative="1">
      <w:start w:val="1"/>
      <w:numFmt w:val="bullet"/>
      <w:lvlText w:val="o"/>
      <w:lvlJc w:val="left"/>
      <w:pPr>
        <w:ind w:left="4015" w:hanging="360"/>
      </w:pPr>
      <w:rPr>
        <w:rFonts w:ascii="Courier New" w:hAnsi="Courier New" w:cs="Courier New" w:hint="default"/>
      </w:rPr>
    </w:lvl>
    <w:lvl w:ilvl="5" w:tplc="0C0A0005" w:tentative="1">
      <w:start w:val="1"/>
      <w:numFmt w:val="bullet"/>
      <w:lvlText w:val=""/>
      <w:lvlJc w:val="left"/>
      <w:pPr>
        <w:ind w:left="4735" w:hanging="360"/>
      </w:pPr>
      <w:rPr>
        <w:rFonts w:ascii="Wingdings" w:hAnsi="Wingdings" w:hint="default"/>
      </w:rPr>
    </w:lvl>
    <w:lvl w:ilvl="6" w:tplc="0C0A0001" w:tentative="1">
      <w:start w:val="1"/>
      <w:numFmt w:val="bullet"/>
      <w:lvlText w:val=""/>
      <w:lvlJc w:val="left"/>
      <w:pPr>
        <w:ind w:left="5455" w:hanging="360"/>
      </w:pPr>
      <w:rPr>
        <w:rFonts w:ascii="Symbol" w:hAnsi="Symbol" w:hint="default"/>
      </w:rPr>
    </w:lvl>
    <w:lvl w:ilvl="7" w:tplc="0C0A0003" w:tentative="1">
      <w:start w:val="1"/>
      <w:numFmt w:val="bullet"/>
      <w:lvlText w:val="o"/>
      <w:lvlJc w:val="left"/>
      <w:pPr>
        <w:ind w:left="6175" w:hanging="360"/>
      </w:pPr>
      <w:rPr>
        <w:rFonts w:ascii="Courier New" w:hAnsi="Courier New" w:cs="Courier New" w:hint="default"/>
      </w:rPr>
    </w:lvl>
    <w:lvl w:ilvl="8" w:tplc="0C0A0005" w:tentative="1">
      <w:start w:val="1"/>
      <w:numFmt w:val="bullet"/>
      <w:lvlText w:val=""/>
      <w:lvlJc w:val="left"/>
      <w:pPr>
        <w:ind w:left="6895" w:hanging="360"/>
      </w:pPr>
      <w:rPr>
        <w:rFonts w:ascii="Wingdings" w:hAnsi="Wingdings" w:hint="default"/>
      </w:rPr>
    </w:lvl>
  </w:abstractNum>
  <w:abstractNum w:abstractNumId="3">
    <w:nsid w:val="32EB2D18"/>
    <w:multiLevelType w:val="multilevel"/>
    <w:tmpl w:val="7404575A"/>
    <w:lvl w:ilvl="0">
      <w:start w:val="1"/>
      <w:numFmt w:val="decimal"/>
      <w:lvlText w:val="%1."/>
      <w:lvlJc w:val="left"/>
      <w:pPr>
        <w:ind w:left="375" w:hanging="375"/>
      </w:pPr>
      <w:rPr>
        <w:rFonts w:hint="default"/>
      </w:rPr>
    </w:lvl>
    <w:lvl w:ilvl="1">
      <w:start w:val="1"/>
      <w:numFmt w:val="decimal"/>
      <w:lvlText w:val="%1.%2)"/>
      <w:lvlJc w:val="left"/>
      <w:pPr>
        <w:ind w:left="1920" w:hanging="720"/>
      </w:pPr>
      <w:rPr>
        <w:rFonts w:hint="default"/>
      </w:rPr>
    </w:lvl>
    <w:lvl w:ilvl="2">
      <w:start w:val="1"/>
      <w:numFmt w:val="decimal"/>
      <w:lvlText w:val="%1.%2)%3."/>
      <w:lvlJc w:val="left"/>
      <w:pPr>
        <w:ind w:left="3120" w:hanging="720"/>
      </w:pPr>
      <w:rPr>
        <w:rFonts w:hint="default"/>
      </w:rPr>
    </w:lvl>
    <w:lvl w:ilvl="3">
      <w:start w:val="1"/>
      <w:numFmt w:val="decimal"/>
      <w:lvlText w:val="%1.%2)%3.%4."/>
      <w:lvlJc w:val="left"/>
      <w:pPr>
        <w:ind w:left="4680" w:hanging="108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440" w:hanging="144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10200" w:hanging="1800"/>
      </w:pPr>
      <w:rPr>
        <w:rFonts w:hint="default"/>
      </w:rPr>
    </w:lvl>
    <w:lvl w:ilvl="8">
      <w:start w:val="1"/>
      <w:numFmt w:val="decimal"/>
      <w:lvlText w:val="%1.%2)%3.%4.%5.%6.%7.%8.%9."/>
      <w:lvlJc w:val="left"/>
      <w:pPr>
        <w:ind w:left="11400" w:hanging="1800"/>
      </w:pPr>
      <w:rPr>
        <w:rFonts w:hint="default"/>
      </w:rPr>
    </w:lvl>
  </w:abstractNum>
  <w:abstractNum w:abstractNumId="4">
    <w:nsid w:val="332836B6"/>
    <w:multiLevelType w:val="hybridMultilevel"/>
    <w:tmpl w:val="7BEC6C42"/>
    <w:lvl w:ilvl="0" w:tplc="600C3F8E">
      <w:numFmt w:val="bullet"/>
      <w:lvlText w:val="-"/>
      <w:lvlJc w:val="left"/>
      <w:pPr>
        <w:ind w:left="1260" w:hanging="360"/>
      </w:pPr>
      <w:rPr>
        <w:rFonts w:ascii="Times New Roman" w:eastAsiaTheme="minorHAnsi" w:hAnsi="Times New Roman" w:cs="Times New Roman" w:hint="default"/>
      </w:rPr>
    </w:lvl>
    <w:lvl w:ilvl="1" w:tplc="0C0A0003" w:tentative="1">
      <w:start w:val="1"/>
      <w:numFmt w:val="bullet"/>
      <w:lvlText w:val="o"/>
      <w:lvlJc w:val="left"/>
      <w:pPr>
        <w:ind w:left="1980" w:hanging="360"/>
      </w:pPr>
      <w:rPr>
        <w:rFonts w:ascii="Courier New" w:hAnsi="Courier New" w:cs="Courier New" w:hint="default"/>
      </w:rPr>
    </w:lvl>
    <w:lvl w:ilvl="2" w:tplc="0C0A0005" w:tentative="1">
      <w:start w:val="1"/>
      <w:numFmt w:val="bullet"/>
      <w:lvlText w:val=""/>
      <w:lvlJc w:val="left"/>
      <w:pPr>
        <w:ind w:left="2700" w:hanging="360"/>
      </w:pPr>
      <w:rPr>
        <w:rFonts w:ascii="Wingdings" w:hAnsi="Wingdings" w:hint="default"/>
      </w:rPr>
    </w:lvl>
    <w:lvl w:ilvl="3" w:tplc="0C0A0001" w:tentative="1">
      <w:start w:val="1"/>
      <w:numFmt w:val="bullet"/>
      <w:lvlText w:val=""/>
      <w:lvlJc w:val="left"/>
      <w:pPr>
        <w:ind w:left="3420" w:hanging="360"/>
      </w:pPr>
      <w:rPr>
        <w:rFonts w:ascii="Symbol" w:hAnsi="Symbol" w:hint="default"/>
      </w:rPr>
    </w:lvl>
    <w:lvl w:ilvl="4" w:tplc="0C0A0003" w:tentative="1">
      <w:start w:val="1"/>
      <w:numFmt w:val="bullet"/>
      <w:lvlText w:val="o"/>
      <w:lvlJc w:val="left"/>
      <w:pPr>
        <w:ind w:left="4140" w:hanging="360"/>
      </w:pPr>
      <w:rPr>
        <w:rFonts w:ascii="Courier New" w:hAnsi="Courier New" w:cs="Courier New" w:hint="default"/>
      </w:rPr>
    </w:lvl>
    <w:lvl w:ilvl="5" w:tplc="0C0A0005" w:tentative="1">
      <w:start w:val="1"/>
      <w:numFmt w:val="bullet"/>
      <w:lvlText w:val=""/>
      <w:lvlJc w:val="left"/>
      <w:pPr>
        <w:ind w:left="4860" w:hanging="360"/>
      </w:pPr>
      <w:rPr>
        <w:rFonts w:ascii="Wingdings" w:hAnsi="Wingdings" w:hint="default"/>
      </w:rPr>
    </w:lvl>
    <w:lvl w:ilvl="6" w:tplc="0C0A0001" w:tentative="1">
      <w:start w:val="1"/>
      <w:numFmt w:val="bullet"/>
      <w:lvlText w:val=""/>
      <w:lvlJc w:val="left"/>
      <w:pPr>
        <w:ind w:left="5580" w:hanging="360"/>
      </w:pPr>
      <w:rPr>
        <w:rFonts w:ascii="Symbol" w:hAnsi="Symbol" w:hint="default"/>
      </w:rPr>
    </w:lvl>
    <w:lvl w:ilvl="7" w:tplc="0C0A0003" w:tentative="1">
      <w:start w:val="1"/>
      <w:numFmt w:val="bullet"/>
      <w:lvlText w:val="o"/>
      <w:lvlJc w:val="left"/>
      <w:pPr>
        <w:ind w:left="6300" w:hanging="360"/>
      </w:pPr>
      <w:rPr>
        <w:rFonts w:ascii="Courier New" w:hAnsi="Courier New" w:cs="Courier New" w:hint="default"/>
      </w:rPr>
    </w:lvl>
    <w:lvl w:ilvl="8" w:tplc="0C0A0005" w:tentative="1">
      <w:start w:val="1"/>
      <w:numFmt w:val="bullet"/>
      <w:lvlText w:val=""/>
      <w:lvlJc w:val="left"/>
      <w:pPr>
        <w:ind w:left="7020" w:hanging="360"/>
      </w:pPr>
      <w:rPr>
        <w:rFonts w:ascii="Wingdings" w:hAnsi="Wingdings" w:hint="default"/>
      </w:rPr>
    </w:lvl>
  </w:abstractNum>
  <w:abstractNum w:abstractNumId="5">
    <w:nsid w:val="487E5AC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C593A93"/>
    <w:multiLevelType w:val="multilevel"/>
    <w:tmpl w:val="D17C15C6"/>
    <w:lvl w:ilvl="0">
      <w:start w:val="1"/>
      <w:numFmt w:val="decimal"/>
      <w:lvlText w:val="%1."/>
      <w:lvlJc w:val="left"/>
      <w:pPr>
        <w:ind w:left="555" w:hanging="555"/>
      </w:pPr>
      <w:rPr>
        <w:rFonts w:hint="default"/>
      </w:rPr>
    </w:lvl>
    <w:lvl w:ilvl="1">
      <w:start w:val="1"/>
      <w:numFmt w:val="decimal"/>
      <w:lvlText w:val="%1.%2."/>
      <w:lvlJc w:val="left"/>
      <w:pPr>
        <w:ind w:left="1455" w:hanging="55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000" w:hanging="1800"/>
      </w:pPr>
      <w:rPr>
        <w:rFonts w:hint="default"/>
      </w:rPr>
    </w:lvl>
  </w:abstractNum>
  <w:abstractNum w:abstractNumId="7">
    <w:nsid w:val="578F4FF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F57582A"/>
    <w:multiLevelType w:val="multilevel"/>
    <w:tmpl w:val="0102FF9E"/>
    <w:lvl w:ilvl="0">
      <w:start w:val="1"/>
      <w:numFmt w:val="decimal"/>
      <w:lvlText w:val="%1."/>
      <w:lvlJc w:val="left"/>
      <w:pPr>
        <w:ind w:left="555" w:hanging="555"/>
      </w:pPr>
      <w:rPr>
        <w:rFonts w:hint="default"/>
      </w:rPr>
    </w:lvl>
    <w:lvl w:ilvl="1">
      <w:start w:val="1"/>
      <w:numFmt w:val="decimal"/>
      <w:lvlText w:val="%1.%2."/>
      <w:lvlJc w:val="left"/>
      <w:pPr>
        <w:ind w:left="1785" w:hanging="55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770" w:hanging="108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590" w:hanging="144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410" w:hanging="1800"/>
      </w:pPr>
      <w:rPr>
        <w:rFonts w:hint="default"/>
      </w:rPr>
    </w:lvl>
    <w:lvl w:ilvl="8">
      <w:start w:val="1"/>
      <w:numFmt w:val="decimal"/>
      <w:lvlText w:val="%1.%2.%3)%4.%5.%6.%7.%8.%9."/>
      <w:lvlJc w:val="left"/>
      <w:pPr>
        <w:ind w:left="11640" w:hanging="1800"/>
      </w:pPr>
      <w:rPr>
        <w:rFonts w:hint="default"/>
      </w:rPr>
    </w:lvl>
  </w:abstractNum>
  <w:abstractNum w:abstractNumId="9">
    <w:nsid w:val="772E7030"/>
    <w:multiLevelType w:val="hybridMultilevel"/>
    <w:tmpl w:val="42263A78"/>
    <w:lvl w:ilvl="0" w:tplc="0C0A000F">
      <w:start w:val="1"/>
      <w:numFmt w:val="decimal"/>
      <w:lvlText w:val="%1."/>
      <w:lvlJc w:val="left"/>
      <w:pPr>
        <w:ind w:left="1135" w:hanging="360"/>
      </w:pPr>
    </w:lvl>
    <w:lvl w:ilvl="1" w:tplc="0C0A0019" w:tentative="1">
      <w:start w:val="1"/>
      <w:numFmt w:val="lowerLetter"/>
      <w:lvlText w:val="%2."/>
      <w:lvlJc w:val="left"/>
      <w:pPr>
        <w:ind w:left="1855" w:hanging="360"/>
      </w:pPr>
    </w:lvl>
    <w:lvl w:ilvl="2" w:tplc="0C0A001B" w:tentative="1">
      <w:start w:val="1"/>
      <w:numFmt w:val="lowerRoman"/>
      <w:lvlText w:val="%3."/>
      <w:lvlJc w:val="right"/>
      <w:pPr>
        <w:ind w:left="2575" w:hanging="180"/>
      </w:pPr>
    </w:lvl>
    <w:lvl w:ilvl="3" w:tplc="0C0A000F" w:tentative="1">
      <w:start w:val="1"/>
      <w:numFmt w:val="decimal"/>
      <w:lvlText w:val="%4."/>
      <w:lvlJc w:val="left"/>
      <w:pPr>
        <w:ind w:left="3295" w:hanging="360"/>
      </w:pPr>
    </w:lvl>
    <w:lvl w:ilvl="4" w:tplc="0C0A0019" w:tentative="1">
      <w:start w:val="1"/>
      <w:numFmt w:val="lowerLetter"/>
      <w:lvlText w:val="%5."/>
      <w:lvlJc w:val="left"/>
      <w:pPr>
        <w:ind w:left="4015" w:hanging="360"/>
      </w:pPr>
    </w:lvl>
    <w:lvl w:ilvl="5" w:tplc="0C0A001B" w:tentative="1">
      <w:start w:val="1"/>
      <w:numFmt w:val="lowerRoman"/>
      <w:lvlText w:val="%6."/>
      <w:lvlJc w:val="right"/>
      <w:pPr>
        <w:ind w:left="4735" w:hanging="180"/>
      </w:pPr>
    </w:lvl>
    <w:lvl w:ilvl="6" w:tplc="0C0A000F" w:tentative="1">
      <w:start w:val="1"/>
      <w:numFmt w:val="decimal"/>
      <w:lvlText w:val="%7."/>
      <w:lvlJc w:val="left"/>
      <w:pPr>
        <w:ind w:left="5455" w:hanging="360"/>
      </w:pPr>
    </w:lvl>
    <w:lvl w:ilvl="7" w:tplc="0C0A0019" w:tentative="1">
      <w:start w:val="1"/>
      <w:numFmt w:val="lowerLetter"/>
      <w:lvlText w:val="%8."/>
      <w:lvlJc w:val="left"/>
      <w:pPr>
        <w:ind w:left="6175" w:hanging="360"/>
      </w:pPr>
    </w:lvl>
    <w:lvl w:ilvl="8" w:tplc="0C0A001B" w:tentative="1">
      <w:start w:val="1"/>
      <w:numFmt w:val="lowerRoman"/>
      <w:lvlText w:val="%9."/>
      <w:lvlJc w:val="right"/>
      <w:pPr>
        <w:ind w:left="6895" w:hanging="180"/>
      </w:pPr>
    </w:lvl>
  </w:abstractNum>
  <w:num w:numId="1">
    <w:abstractNumId w:val="4"/>
  </w:num>
  <w:num w:numId="2">
    <w:abstractNumId w:val="5"/>
  </w:num>
  <w:num w:numId="3">
    <w:abstractNumId w:val="0"/>
  </w:num>
  <w:num w:numId="4">
    <w:abstractNumId w:val="7"/>
  </w:num>
  <w:num w:numId="5">
    <w:abstractNumId w:val="8"/>
  </w:num>
  <w:num w:numId="6">
    <w:abstractNumId w:val="1"/>
  </w:num>
  <w:num w:numId="7">
    <w:abstractNumId w:val="2"/>
  </w:num>
  <w:num w:numId="8">
    <w:abstractNumId w:val="9"/>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3D4"/>
    <w:rsid w:val="00001536"/>
    <w:rsid w:val="00002710"/>
    <w:rsid w:val="000034AF"/>
    <w:rsid w:val="00004617"/>
    <w:rsid w:val="00006DB0"/>
    <w:rsid w:val="000101E6"/>
    <w:rsid w:val="0002210B"/>
    <w:rsid w:val="0002783E"/>
    <w:rsid w:val="00027F1D"/>
    <w:rsid w:val="00037788"/>
    <w:rsid w:val="00037854"/>
    <w:rsid w:val="00037950"/>
    <w:rsid w:val="00043561"/>
    <w:rsid w:val="00045602"/>
    <w:rsid w:val="00046139"/>
    <w:rsid w:val="000462C1"/>
    <w:rsid w:val="000613B1"/>
    <w:rsid w:val="00077216"/>
    <w:rsid w:val="00083775"/>
    <w:rsid w:val="00092F66"/>
    <w:rsid w:val="000932F3"/>
    <w:rsid w:val="000A6FA9"/>
    <w:rsid w:val="000B03D4"/>
    <w:rsid w:val="000B1210"/>
    <w:rsid w:val="000B2CF6"/>
    <w:rsid w:val="000B2EDF"/>
    <w:rsid w:val="000B48B9"/>
    <w:rsid w:val="000B6346"/>
    <w:rsid w:val="000C1CFE"/>
    <w:rsid w:val="000D230D"/>
    <w:rsid w:val="000D355F"/>
    <w:rsid w:val="000D7C62"/>
    <w:rsid w:val="000E1F9D"/>
    <w:rsid w:val="000E2FAC"/>
    <w:rsid w:val="000E3C36"/>
    <w:rsid w:val="000E6F53"/>
    <w:rsid w:val="000F4121"/>
    <w:rsid w:val="000F5DBF"/>
    <w:rsid w:val="00104289"/>
    <w:rsid w:val="001239A7"/>
    <w:rsid w:val="00132C75"/>
    <w:rsid w:val="001332CC"/>
    <w:rsid w:val="00141E86"/>
    <w:rsid w:val="00143EC1"/>
    <w:rsid w:val="00155F8E"/>
    <w:rsid w:val="00160D1B"/>
    <w:rsid w:val="001622DF"/>
    <w:rsid w:val="00164352"/>
    <w:rsid w:val="00166BB9"/>
    <w:rsid w:val="00170E1D"/>
    <w:rsid w:val="001946AD"/>
    <w:rsid w:val="001A390B"/>
    <w:rsid w:val="001B1AFB"/>
    <w:rsid w:val="001C1369"/>
    <w:rsid w:val="001C2031"/>
    <w:rsid w:val="001C6C53"/>
    <w:rsid w:val="001D13EA"/>
    <w:rsid w:val="001D2ED9"/>
    <w:rsid w:val="001D44B1"/>
    <w:rsid w:val="001D5E49"/>
    <w:rsid w:val="001D61BF"/>
    <w:rsid w:val="001E0179"/>
    <w:rsid w:val="001E4667"/>
    <w:rsid w:val="001E593D"/>
    <w:rsid w:val="001E6A51"/>
    <w:rsid w:val="002021E7"/>
    <w:rsid w:val="002043F9"/>
    <w:rsid w:val="00204A85"/>
    <w:rsid w:val="00205329"/>
    <w:rsid w:val="002058AD"/>
    <w:rsid w:val="002118CC"/>
    <w:rsid w:val="0021220D"/>
    <w:rsid w:val="0021362F"/>
    <w:rsid w:val="002245C7"/>
    <w:rsid w:val="00230003"/>
    <w:rsid w:val="00231D61"/>
    <w:rsid w:val="002334B9"/>
    <w:rsid w:val="00236494"/>
    <w:rsid w:val="002411BF"/>
    <w:rsid w:val="00246F5D"/>
    <w:rsid w:val="00252D97"/>
    <w:rsid w:val="00261802"/>
    <w:rsid w:val="00263B63"/>
    <w:rsid w:val="00270001"/>
    <w:rsid w:val="00282AB9"/>
    <w:rsid w:val="00286CDE"/>
    <w:rsid w:val="0029274E"/>
    <w:rsid w:val="002A03AE"/>
    <w:rsid w:val="002A29EE"/>
    <w:rsid w:val="002B1191"/>
    <w:rsid w:val="002B7F8B"/>
    <w:rsid w:val="002C0DDB"/>
    <w:rsid w:val="002C4D84"/>
    <w:rsid w:val="002C515C"/>
    <w:rsid w:val="002D0065"/>
    <w:rsid w:val="002F1540"/>
    <w:rsid w:val="002F1D18"/>
    <w:rsid w:val="002F3DCE"/>
    <w:rsid w:val="002F78CD"/>
    <w:rsid w:val="003013A0"/>
    <w:rsid w:val="003056E3"/>
    <w:rsid w:val="00316C77"/>
    <w:rsid w:val="003217B5"/>
    <w:rsid w:val="003230E6"/>
    <w:rsid w:val="00326846"/>
    <w:rsid w:val="00327DC1"/>
    <w:rsid w:val="00333059"/>
    <w:rsid w:val="003346A8"/>
    <w:rsid w:val="003432D7"/>
    <w:rsid w:val="00343D62"/>
    <w:rsid w:val="0034413E"/>
    <w:rsid w:val="00357B84"/>
    <w:rsid w:val="00360908"/>
    <w:rsid w:val="00362299"/>
    <w:rsid w:val="0036299E"/>
    <w:rsid w:val="003716F6"/>
    <w:rsid w:val="00373470"/>
    <w:rsid w:val="00374F4A"/>
    <w:rsid w:val="00375783"/>
    <w:rsid w:val="00380617"/>
    <w:rsid w:val="00381994"/>
    <w:rsid w:val="003831B8"/>
    <w:rsid w:val="0039289C"/>
    <w:rsid w:val="00396387"/>
    <w:rsid w:val="003A281D"/>
    <w:rsid w:val="003A5AB5"/>
    <w:rsid w:val="003B0140"/>
    <w:rsid w:val="003D2334"/>
    <w:rsid w:val="003D4B18"/>
    <w:rsid w:val="003F0FAD"/>
    <w:rsid w:val="003F1AF1"/>
    <w:rsid w:val="003F1ECA"/>
    <w:rsid w:val="003F6950"/>
    <w:rsid w:val="00410009"/>
    <w:rsid w:val="0042244C"/>
    <w:rsid w:val="004263FF"/>
    <w:rsid w:val="00435A7E"/>
    <w:rsid w:val="00443C6C"/>
    <w:rsid w:val="00445FBE"/>
    <w:rsid w:val="00446C2C"/>
    <w:rsid w:val="00450B5A"/>
    <w:rsid w:val="00452354"/>
    <w:rsid w:val="00455BAC"/>
    <w:rsid w:val="00464961"/>
    <w:rsid w:val="00474F4D"/>
    <w:rsid w:val="00483674"/>
    <w:rsid w:val="004A10EC"/>
    <w:rsid w:val="004A7FA0"/>
    <w:rsid w:val="004B7E1B"/>
    <w:rsid w:val="004C6257"/>
    <w:rsid w:val="004D084B"/>
    <w:rsid w:val="004D150B"/>
    <w:rsid w:val="004D69EF"/>
    <w:rsid w:val="004E0923"/>
    <w:rsid w:val="004E1406"/>
    <w:rsid w:val="004E1D38"/>
    <w:rsid w:val="004E63F9"/>
    <w:rsid w:val="004F4374"/>
    <w:rsid w:val="0050306F"/>
    <w:rsid w:val="00503710"/>
    <w:rsid w:val="00507C5A"/>
    <w:rsid w:val="005239DF"/>
    <w:rsid w:val="00525C22"/>
    <w:rsid w:val="00534AFD"/>
    <w:rsid w:val="00546AE4"/>
    <w:rsid w:val="005601F1"/>
    <w:rsid w:val="00564058"/>
    <w:rsid w:val="00573A80"/>
    <w:rsid w:val="00576127"/>
    <w:rsid w:val="00586708"/>
    <w:rsid w:val="00593DE5"/>
    <w:rsid w:val="005A43CD"/>
    <w:rsid w:val="005B07C0"/>
    <w:rsid w:val="005B34CC"/>
    <w:rsid w:val="005B46D6"/>
    <w:rsid w:val="005B74BD"/>
    <w:rsid w:val="005C2D92"/>
    <w:rsid w:val="005D5FEE"/>
    <w:rsid w:val="005E0596"/>
    <w:rsid w:val="005E51D3"/>
    <w:rsid w:val="005F7A4F"/>
    <w:rsid w:val="00607B05"/>
    <w:rsid w:val="00617E16"/>
    <w:rsid w:val="00625F2B"/>
    <w:rsid w:val="00635B4A"/>
    <w:rsid w:val="00636395"/>
    <w:rsid w:val="0064619B"/>
    <w:rsid w:val="006466B5"/>
    <w:rsid w:val="00647609"/>
    <w:rsid w:val="0065457A"/>
    <w:rsid w:val="00654FA3"/>
    <w:rsid w:val="00660A77"/>
    <w:rsid w:val="00661921"/>
    <w:rsid w:val="0066453B"/>
    <w:rsid w:val="00664B8D"/>
    <w:rsid w:val="00682EFB"/>
    <w:rsid w:val="00683391"/>
    <w:rsid w:val="0069543F"/>
    <w:rsid w:val="00696A79"/>
    <w:rsid w:val="00697AE1"/>
    <w:rsid w:val="006A59E5"/>
    <w:rsid w:val="006B7051"/>
    <w:rsid w:val="006C763F"/>
    <w:rsid w:val="006D3EC7"/>
    <w:rsid w:val="006D4D12"/>
    <w:rsid w:val="006D5134"/>
    <w:rsid w:val="006E0206"/>
    <w:rsid w:val="006E15DD"/>
    <w:rsid w:val="006F04D6"/>
    <w:rsid w:val="00700C70"/>
    <w:rsid w:val="00717938"/>
    <w:rsid w:val="007203CA"/>
    <w:rsid w:val="00721260"/>
    <w:rsid w:val="00721DC7"/>
    <w:rsid w:val="00726E7F"/>
    <w:rsid w:val="00731B79"/>
    <w:rsid w:val="007348F4"/>
    <w:rsid w:val="00747627"/>
    <w:rsid w:val="00751B51"/>
    <w:rsid w:val="00761B8F"/>
    <w:rsid w:val="00764A4B"/>
    <w:rsid w:val="007725B6"/>
    <w:rsid w:val="00776590"/>
    <w:rsid w:val="00787805"/>
    <w:rsid w:val="0079105C"/>
    <w:rsid w:val="007A6F6B"/>
    <w:rsid w:val="007B7104"/>
    <w:rsid w:val="007C00D2"/>
    <w:rsid w:val="007C7225"/>
    <w:rsid w:val="007D26D4"/>
    <w:rsid w:val="007D2DF5"/>
    <w:rsid w:val="007E69F8"/>
    <w:rsid w:val="007F057B"/>
    <w:rsid w:val="007F6094"/>
    <w:rsid w:val="00803BAC"/>
    <w:rsid w:val="008145D8"/>
    <w:rsid w:val="00823950"/>
    <w:rsid w:val="00832776"/>
    <w:rsid w:val="008357AE"/>
    <w:rsid w:val="0083590C"/>
    <w:rsid w:val="00841961"/>
    <w:rsid w:val="008441BD"/>
    <w:rsid w:val="00847F90"/>
    <w:rsid w:val="0086180E"/>
    <w:rsid w:val="00862A91"/>
    <w:rsid w:val="00866680"/>
    <w:rsid w:val="0087215B"/>
    <w:rsid w:val="008729AA"/>
    <w:rsid w:val="00873976"/>
    <w:rsid w:val="00880E4D"/>
    <w:rsid w:val="00883B38"/>
    <w:rsid w:val="00886BC4"/>
    <w:rsid w:val="00887FCE"/>
    <w:rsid w:val="00890EE4"/>
    <w:rsid w:val="008B31F6"/>
    <w:rsid w:val="008B60F8"/>
    <w:rsid w:val="008C0EC5"/>
    <w:rsid w:val="008C2753"/>
    <w:rsid w:val="008C31A2"/>
    <w:rsid w:val="008C5BC7"/>
    <w:rsid w:val="008D37EF"/>
    <w:rsid w:val="008E2282"/>
    <w:rsid w:val="008E6FD0"/>
    <w:rsid w:val="00904F02"/>
    <w:rsid w:val="00913F5D"/>
    <w:rsid w:val="009251A1"/>
    <w:rsid w:val="00931F05"/>
    <w:rsid w:val="00941E29"/>
    <w:rsid w:val="009445FC"/>
    <w:rsid w:val="009448D9"/>
    <w:rsid w:val="00945A0E"/>
    <w:rsid w:val="00953BED"/>
    <w:rsid w:val="00960A8C"/>
    <w:rsid w:val="00966281"/>
    <w:rsid w:val="00970709"/>
    <w:rsid w:val="009746F4"/>
    <w:rsid w:val="0097786D"/>
    <w:rsid w:val="00986DCA"/>
    <w:rsid w:val="00993134"/>
    <w:rsid w:val="00994C68"/>
    <w:rsid w:val="009A2C87"/>
    <w:rsid w:val="009B0635"/>
    <w:rsid w:val="009B2C77"/>
    <w:rsid w:val="009C4EFA"/>
    <w:rsid w:val="009C631D"/>
    <w:rsid w:val="009D1492"/>
    <w:rsid w:val="009F094A"/>
    <w:rsid w:val="00A0082D"/>
    <w:rsid w:val="00A072A5"/>
    <w:rsid w:val="00A12EA7"/>
    <w:rsid w:val="00A1467A"/>
    <w:rsid w:val="00A160AA"/>
    <w:rsid w:val="00A1758D"/>
    <w:rsid w:val="00A17B3C"/>
    <w:rsid w:val="00A277D4"/>
    <w:rsid w:val="00A3112B"/>
    <w:rsid w:val="00A37204"/>
    <w:rsid w:val="00A4054B"/>
    <w:rsid w:val="00A40621"/>
    <w:rsid w:val="00A43CB6"/>
    <w:rsid w:val="00A4464D"/>
    <w:rsid w:val="00A653C7"/>
    <w:rsid w:val="00A67C08"/>
    <w:rsid w:val="00A732BF"/>
    <w:rsid w:val="00A80249"/>
    <w:rsid w:val="00A81588"/>
    <w:rsid w:val="00A85461"/>
    <w:rsid w:val="00AA1E5B"/>
    <w:rsid w:val="00AB0C7B"/>
    <w:rsid w:val="00AB702E"/>
    <w:rsid w:val="00AC08FC"/>
    <w:rsid w:val="00AC18F9"/>
    <w:rsid w:val="00AF0704"/>
    <w:rsid w:val="00AF12DD"/>
    <w:rsid w:val="00B001EE"/>
    <w:rsid w:val="00B03941"/>
    <w:rsid w:val="00B04B00"/>
    <w:rsid w:val="00B07B96"/>
    <w:rsid w:val="00B213C2"/>
    <w:rsid w:val="00B32DE3"/>
    <w:rsid w:val="00B43A8C"/>
    <w:rsid w:val="00B53CDF"/>
    <w:rsid w:val="00B567A3"/>
    <w:rsid w:val="00B61C58"/>
    <w:rsid w:val="00B62A4E"/>
    <w:rsid w:val="00B64F64"/>
    <w:rsid w:val="00B7219E"/>
    <w:rsid w:val="00B72409"/>
    <w:rsid w:val="00B86A07"/>
    <w:rsid w:val="00B923E5"/>
    <w:rsid w:val="00B94BA8"/>
    <w:rsid w:val="00B96CF9"/>
    <w:rsid w:val="00BB78EF"/>
    <w:rsid w:val="00BC38C8"/>
    <w:rsid w:val="00BC42A8"/>
    <w:rsid w:val="00BC5B34"/>
    <w:rsid w:val="00BD7475"/>
    <w:rsid w:val="00BD7AC9"/>
    <w:rsid w:val="00BE2948"/>
    <w:rsid w:val="00BE497B"/>
    <w:rsid w:val="00C236CA"/>
    <w:rsid w:val="00C30119"/>
    <w:rsid w:val="00C301CD"/>
    <w:rsid w:val="00C312A2"/>
    <w:rsid w:val="00C31309"/>
    <w:rsid w:val="00C3280B"/>
    <w:rsid w:val="00C345D5"/>
    <w:rsid w:val="00C36272"/>
    <w:rsid w:val="00C4001C"/>
    <w:rsid w:val="00C54F54"/>
    <w:rsid w:val="00C646A6"/>
    <w:rsid w:val="00C65194"/>
    <w:rsid w:val="00C67D1C"/>
    <w:rsid w:val="00C823D9"/>
    <w:rsid w:val="00C87480"/>
    <w:rsid w:val="00C91C75"/>
    <w:rsid w:val="00C96D5F"/>
    <w:rsid w:val="00CB001F"/>
    <w:rsid w:val="00CB421C"/>
    <w:rsid w:val="00CB5D7B"/>
    <w:rsid w:val="00CB7698"/>
    <w:rsid w:val="00CC2D22"/>
    <w:rsid w:val="00CC2EA4"/>
    <w:rsid w:val="00CD3269"/>
    <w:rsid w:val="00CE17CB"/>
    <w:rsid w:val="00CE2ABF"/>
    <w:rsid w:val="00CE712D"/>
    <w:rsid w:val="00CF13AA"/>
    <w:rsid w:val="00CF4AF7"/>
    <w:rsid w:val="00CF7469"/>
    <w:rsid w:val="00CF7DCD"/>
    <w:rsid w:val="00D12BDC"/>
    <w:rsid w:val="00D15AF1"/>
    <w:rsid w:val="00D175AF"/>
    <w:rsid w:val="00D207ED"/>
    <w:rsid w:val="00D23E54"/>
    <w:rsid w:val="00D248EF"/>
    <w:rsid w:val="00D65CDD"/>
    <w:rsid w:val="00D74B5B"/>
    <w:rsid w:val="00D7627B"/>
    <w:rsid w:val="00D775FE"/>
    <w:rsid w:val="00D85457"/>
    <w:rsid w:val="00D96B68"/>
    <w:rsid w:val="00DA021C"/>
    <w:rsid w:val="00DB2658"/>
    <w:rsid w:val="00DB4D09"/>
    <w:rsid w:val="00DD07A8"/>
    <w:rsid w:val="00DD1D2C"/>
    <w:rsid w:val="00DD2079"/>
    <w:rsid w:val="00DE3206"/>
    <w:rsid w:val="00DE41CA"/>
    <w:rsid w:val="00DE4471"/>
    <w:rsid w:val="00DE5A4B"/>
    <w:rsid w:val="00DE7935"/>
    <w:rsid w:val="00DF1542"/>
    <w:rsid w:val="00DF2269"/>
    <w:rsid w:val="00DF3308"/>
    <w:rsid w:val="00DF3BB7"/>
    <w:rsid w:val="00E128E2"/>
    <w:rsid w:val="00E13204"/>
    <w:rsid w:val="00E1543B"/>
    <w:rsid w:val="00E21D71"/>
    <w:rsid w:val="00E244BE"/>
    <w:rsid w:val="00E316AC"/>
    <w:rsid w:val="00E32B5A"/>
    <w:rsid w:val="00E41700"/>
    <w:rsid w:val="00E472BD"/>
    <w:rsid w:val="00E5215A"/>
    <w:rsid w:val="00E53BA0"/>
    <w:rsid w:val="00E55BBD"/>
    <w:rsid w:val="00E60C97"/>
    <w:rsid w:val="00E63A8E"/>
    <w:rsid w:val="00E71A3B"/>
    <w:rsid w:val="00E815F4"/>
    <w:rsid w:val="00E82142"/>
    <w:rsid w:val="00E87BD1"/>
    <w:rsid w:val="00E9796E"/>
    <w:rsid w:val="00E97A89"/>
    <w:rsid w:val="00EA5746"/>
    <w:rsid w:val="00EA7AA5"/>
    <w:rsid w:val="00EB164F"/>
    <w:rsid w:val="00EB3239"/>
    <w:rsid w:val="00EB5581"/>
    <w:rsid w:val="00ED6238"/>
    <w:rsid w:val="00ED641D"/>
    <w:rsid w:val="00EF27F4"/>
    <w:rsid w:val="00EF6C4C"/>
    <w:rsid w:val="00F06725"/>
    <w:rsid w:val="00F1043E"/>
    <w:rsid w:val="00F133C2"/>
    <w:rsid w:val="00F151EE"/>
    <w:rsid w:val="00F16379"/>
    <w:rsid w:val="00F23CC9"/>
    <w:rsid w:val="00F25399"/>
    <w:rsid w:val="00F27CE3"/>
    <w:rsid w:val="00F440CD"/>
    <w:rsid w:val="00F44F35"/>
    <w:rsid w:val="00F55FB5"/>
    <w:rsid w:val="00F57AD1"/>
    <w:rsid w:val="00F610D0"/>
    <w:rsid w:val="00F63B1D"/>
    <w:rsid w:val="00F66153"/>
    <w:rsid w:val="00F7672B"/>
    <w:rsid w:val="00F85208"/>
    <w:rsid w:val="00F87194"/>
    <w:rsid w:val="00F9224D"/>
    <w:rsid w:val="00FA60F9"/>
    <w:rsid w:val="00FB0D00"/>
    <w:rsid w:val="00FB21B6"/>
    <w:rsid w:val="00FD2293"/>
    <w:rsid w:val="00FE1F47"/>
    <w:rsid w:val="00FE211F"/>
    <w:rsid w:val="00FE4021"/>
    <w:rsid w:val="00FE571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F1D1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F1D1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6846"/>
    <w:pPr>
      <w:ind w:left="720"/>
      <w:contextualSpacing/>
    </w:pPr>
  </w:style>
  <w:style w:type="character" w:customStyle="1" w:styleId="Ttulo1Car">
    <w:name w:val="Título 1 Car"/>
    <w:basedOn w:val="Fuentedeprrafopredeter"/>
    <w:link w:val="Ttulo1"/>
    <w:uiPriority w:val="9"/>
    <w:rsid w:val="002F1D18"/>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2F1D18"/>
    <w:rPr>
      <w:rFonts w:asciiTheme="majorHAnsi" w:eastAsiaTheme="majorEastAsia" w:hAnsiTheme="majorHAnsi" w:cstheme="majorBidi"/>
      <w:b/>
      <w:bCs/>
      <w:color w:val="4F81BD" w:themeColor="accent1"/>
      <w:sz w:val="26"/>
      <w:szCs w:val="26"/>
    </w:rPr>
  </w:style>
  <w:style w:type="paragraph" w:styleId="Saludo">
    <w:name w:val="Salutation"/>
    <w:basedOn w:val="Normal"/>
    <w:next w:val="Normal"/>
    <w:link w:val="SaludoCar"/>
    <w:uiPriority w:val="99"/>
    <w:unhideWhenUsed/>
    <w:rsid w:val="002F1D18"/>
  </w:style>
  <w:style w:type="character" w:customStyle="1" w:styleId="SaludoCar">
    <w:name w:val="Saludo Car"/>
    <w:basedOn w:val="Fuentedeprrafopredeter"/>
    <w:link w:val="Saludo"/>
    <w:uiPriority w:val="99"/>
    <w:rsid w:val="002F1D18"/>
  </w:style>
  <w:style w:type="paragraph" w:styleId="Textoindependiente">
    <w:name w:val="Body Text"/>
    <w:basedOn w:val="Normal"/>
    <w:link w:val="TextoindependienteCar"/>
    <w:uiPriority w:val="99"/>
    <w:unhideWhenUsed/>
    <w:rsid w:val="002F1D18"/>
    <w:pPr>
      <w:spacing w:after="120"/>
    </w:pPr>
  </w:style>
  <w:style w:type="character" w:customStyle="1" w:styleId="TextoindependienteCar">
    <w:name w:val="Texto independiente Car"/>
    <w:basedOn w:val="Fuentedeprrafopredeter"/>
    <w:link w:val="Textoindependiente"/>
    <w:uiPriority w:val="99"/>
    <w:rsid w:val="002F1D18"/>
  </w:style>
  <w:style w:type="paragraph" w:styleId="Sangradetextonormal">
    <w:name w:val="Body Text Indent"/>
    <w:basedOn w:val="Normal"/>
    <w:link w:val="SangradetextonormalCar"/>
    <w:uiPriority w:val="99"/>
    <w:unhideWhenUsed/>
    <w:rsid w:val="002F1D18"/>
    <w:pPr>
      <w:spacing w:after="120"/>
      <w:ind w:left="283"/>
    </w:pPr>
  </w:style>
  <w:style w:type="character" w:customStyle="1" w:styleId="SangradetextonormalCar">
    <w:name w:val="Sangría de texto normal Car"/>
    <w:basedOn w:val="Fuentedeprrafopredeter"/>
    <w:link w:val="Sangradetextonormal"/>
    <w:uiPriority w:val="99"/>
    <w:rsid w:val="002F1D18"/>
  </w:style>
  <w:style w:type="paragraph" w:styleId="Textoindependienteprimerasangra">
    <w:name w:val="Body Text First Indent"/>
    <w:basedOn w:val="Textoindependiente"/>
    <w:link w:val="TextoindependienteprimerasangraCar"/>
    <w:uiPriority w:val="99"/>
    <w:unhideWhenUsed/>
    <w:rsid w:val="002F1D18"/>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2F1D18"/>
  </w:style>
  <w:style w:type="paragraph" w:styleId="Textonotaalfinal">
    <w:name w:val="endnote text"/>
    <w:basedOn w:val="Normal"/>
    <w:link w:val="TextonotaalfinalCar"/>
    <w:uiPriority w:val="99"/>
    <w:semiHidden/>
    <w:unhideWhenUsed/>
    <w:rsid w:val="0002210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2210B"/>
    <w:rPr>
      <w:sz w:val="20"/>
      <w:szCs w:val="20"/>
    </w:rPr>
  </w:style>
  <w:style w:type="character" w:styleId="Refdenotaalfinal">
    <w:name w:val="endnote reference"/>
    <w:basedOn w:val="Fuentedeprrafopredeter"/>
    <w:uiPriority w:val="99"/>
    <w:semiHidden/>
    <w:unhideWhenUsed/>
    <w:rsid w:val="0002210B"/>
    <w:rPr>
      <w:vertAlign w:val="superscript"/>
    </w:rPr>
  </w:style>
  <w:style w:type="paragraph" w:styleId="Textonotapie">
    <w:name w:val="footnote text"/>
    <w:basedOn w:val="Normal"/>
    <w:link w:val="TextonotapieCar"/>
    <w:uiPriority w:val="99"/>
    <w:semiHidden/>
    <w:unhideWhenUsed/>
    <w:rsid w:val="0002210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2210B"/>
    <w:rPr>
      <w:sz w:val="20"/>
      <w:szCs w:val="20"/>
    </w:rPr>
  </w:style>
  <w:style w:type="character" w:styleId="Refdenotaalpie">
    <w:name w:val="footnote reference"/>
    <w:basedOn w:val="Fuentedeprrafopredeter"/>
    <w:uiPriority w:val="99"/>
    <w:semiHidden/>
    <w:unhideWhenUsed/>
    <w:rsid w:val="0002210B"/>
    <w:rPr>
      <w:vertAlign w:val="superscript"/>
    </w:rPr>
  </w:style>
  <w:style w:type="character" w:styleId="Hipervnculo">
    <w:name w:val="Hyperlink"/>
    <w:basedOn w:val="Fuentedeprrafopredeter"/>
    <w:uiPriority w:val="99"/>
    <w:unhideWhenUsed/>
    <w:rsid w:val="00F27CE3"/>
    <w:rPr>
      <w:color w:val="0000FF" w:themeColor="hyperlink"/>
      <w:u w:val="single"/>
    </w:rPr>
  </w:style>
  <w:style w:type="paragraph" w:styleId="Encabezado">
    <w:name w:val="header"/>
    <w:basedOn w:val="Normal"/>
    <w:link w:val="EncabezadoCar"/>
    <w:uiPriority w:val="99"/>
    <w:unhideWhenUsed/>
    <w:rsid w:val="00CF746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F7469"/>
  </w:style>
  <w:style w:type="paragraph" w:styleId="Piedepgina">
    <w:name w:val="footer"/>
    <w:basedOn w:val="Normal"/>
    <w:link w:val="PiedepginaCar"/>
    <w:uiPriority w:val="99"/>
    <w:unhideWhenUsed/>
    <w:rsid w:val="00CF746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F7469"/>
  </w:style>
  <w:style w:type="paragraph" w:styleId="Textodeglobo">
    <w:name w:val="Balloon Text"/>
    <w:basedOn w:val="Normal"/>
    <w:link w:val="TextodegloboCar"/>
    <w:uiPriority w:val="99"/>
    <w:semiHidden/>
    <w:unhideWhenUsed/>
    <w:rsid w:val="00CF746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F74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2F1D1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F1D1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6846"/>
    <w:pPr>
      <w:ind w:left="720"/>
      <w:contextualSpacing/>
    </w:pPr>
  </w:style>
  <w:style w:type="character" w:customStyle="1" w:styleId="Ttulo1Car">
    <w:name w:val="Título 1 Car"/>
    <w:basedOn w:val="Fuentedeprrafopredeter"/>
    <w:link w:val="Ttulo1"/>
    <w:uiPriority w:val="9"/>
    <w:rsid w:val="002F1D18"/>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2F1D18"/>
    <w:rPr>
      <w:rFonts w:asciiTheme="majorHAnsi" w:eastAsiaTheme="majorEastAsia" w:hAnsiTheme="majorHAnsi" w:cstheme="majorBidi"/>
      <w:b/>
      <w:bCs/>
      <w:color w:val="4F81BD" w:themeColor="accent1"/>
      <w:sz w:val="26"/>
      <w:szCs w:val="26"/>
    </w:rPr>
  </w:style>
  <w:style w:type="paragraph" w:styleId="Saludo">
    <w:name w:val="Salutation"/>
    <w:basedOn w:val="Normal"/>
    <w:next w:val="Normal"/>
    <w:link w:val="SaludoCar"/>
    <w:uiPriority w:val="99"/>
    <w:unhideWhenUsed/>
    <w:rsid w:val="002F1D18"/>
  </w:style>
  <w:style w:type="character" w:customStyle="1" w:styleId="SaludoCar">
    <w:name w:val="Saludo Car"/>
    <w:basedOn w:val="Fuentedeprrafopredeter"/>
    <w:link w:val="Saludo"/>
    <w:uiPriority w:val="99"/>
    <w:rsid w:val="002F1D18"/>
  </w:style>
  <w:style w:type="paragraph" w:styleId="Textoindependiente">
    <w:name w:val="Body Text"/>
    <w:basedOn w:val="Normal"/>
    <w:link w:val="TextoindependienteCar"/>
    <w:uiPriority w:val="99"/>
    <w:unhideWhenUsed/>
    <w:rsid w:val="002F1D18"/>
    <w:pPr>
      <w:spacing w:after="120"/>
    </w:pPr>
  </w:style>
  <w:style w:type="character" w:customStyle="1" w:styleId="TextoindependienteCar">
    <w:name w:val="Texto independiente Car"/>
    <w:basedOn w:val="Fuentedeprrafopredeter"/>
    <w:link w:val="Textoindependiente"/>
    <w:uiPriority w:val="99"/>
    <w:rsid w:val="002F1D18"/>
  </w:style>
  <w:style w:type="paragraph" w:styleId="Sangradetextonormal">
    <w:name w:val="Body Text Indent"/>
    <w:basedOn w:val="Normal"/>
    <w:link w:val="SangradetextonormalCar"/>
    <w:uiPriority w:val="99"/>
    <w:unhideWhenUsed/>
    <w:rsid w:val="002F1D18"/>
    <w:pPr>
      <w:spacing w:after="120"/>
      <w:ind w:left="283"/>
    </w:pPr>
  </w:style>
  <w:style w:type="character" w:customStyle="1" w:styleId="SangradetextonormalCar">
    <w:name w:val="Sangría de texto normal Car"/>
    <w:basedOn w:val="Fuentedeprrafopredeter"/>
    <w:link w:val="Sangradetextonormal"/>
    <w:uiPriority w:val="99"/>
    <w:rsid w:val="002F1D18"/>
  </w:style>
  <w:style w:type="paragraph" w:styleId="Textoindependienteprimerasangra">
    <w:name w:val="Body Text First Indent"/>
    <w:basedOn w:val="Textoindependiente"/>
    <w:link w:val="TextoindependienteprimerasangraCar"/>
    <w:uiPriority w:val="99"/>
    <w:unhideWhenUsed/>
    <w:rsid w:val="002F1D18"/>
    <w:pPr>
      <w:spacing w:after="200"/>
      <w:ind w:firstLine="360"/>
    </w:pPr>
  </w:style>
  <w:style w:type="character" w:customStyle="1" w:styleId="TextoindependienteprimerasangraCar">
    <w:name w:val="Texto independiente primera sangría Car"/>
    <w:basedOn w:val="TextoindependienteCar"/>
    <w:link w:val="Textoindependienteprimerasangra"/>
    <w:uiPriority w:val="99"/>
    <w:rsid w:val="002F1D18"/>
  </w:style>
  <w:style w:type="paragraph" w:styleId="Textonotaalfinal">
    <w:name w:val="endnote text"/>
    <w:basedOn w:val="Normal"/>
    <w:link w:val="TextonotaalfinalCar"/>
    <w:uiPriority w:val="99"/>
    <w:semiHidden/>
    <w:unhideWhenUsed/>
    <w:rsid w:val="0002210B"/>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02210B"/>
    <w:rPr>
      <w:sz w:val="20"/>
      <w:szCs w:val="20"/>
    </w:rPr>
  </w:style>
  <w:style w:type="character" w:styleId="Refdenotaalfinal">
    <w:name w:val="endnote reference"/>
    <w:basedOn w:val="Fuentedeprrafopredeter"/>
    <w:uiPriority w:val="99"/>
    <w:semiHidden/>
    <w:unhideWhenUsed/>
    <w:rsid w:val="0002210B"/>
    <w:rPr>
      <w:vertAlign w:val="superscript"/>
    </w:rPr>
  </w:style>
  <w:style w:type="paragraph" w:styleId="Textonotapie">
    <w:name w:val="footnote text"/>
    <w:basedOn w:val="Normal"/>
    <w:link w:val="TextonotapieCar"/>
    <w:uiPriority w:val="99"/>
    <w:semiHidden/>
    <w:unhideWhenUsed/>
    <w:rsid w:val="0002210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2210B"/>
    <w:rPr>
      <w:sz w:val="20"/>
      <w:szCs w:val="20"/>
    </w:rPr>
  </w:style>
  <w:style w:type="character" w:styleId="Refdenotaalpie">
    <w:name w:val="footnote reference"/>
    <w:basedOn w:val="Fuentedeprrafopredeter"/>
    <w:uiPriority w:val="99"/>
    <w:semiHidden/>
    <w:unhideWhenUsed/>
    <w:rsid w:val="0002210B"/>
    <w:rPr>
      <w:vertAlign w:val="superscript"/>
    </w:rPr>
  </w:style>
  <w:style w:type="character" w:styleId="Hipervnculo">
    <w:name w:val="Hyperlink"/>
    <w:basedOn w:val="Fuentedeprrafopredeter"/>
    <w:uiPriority w:val="99"/>
    <w:unhideWhenUsed/>
    <w:rsid w:val="00F27CE3"/>
    <w:rPr>
      <w:color w:val="0000FF" w:themeColor="hyperlink"/>
      <w:u w:val="single"/>
    </w:rPr>
  </w:style>
  <w:style w:type="paragraph" w:styleId="Encabezado">
    <w:name w:val="header"/>
    <w:basedOn w:val="Normal"/>
    <w:link w:val="EncabezadoCar"/>
    <w:uiPriority w:val="99"/>
    <w:unhideWhenUsed/>
    <w:rsid w:val="00CF746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F7469"/>
  </w:style>
  <w:style w:type="paragraph" w:styleId="Piedepgina">
    <w:name w:val="footer"/>
    <w:basedOn w:val="Normal"/>
    <w:link w:val="PiedepginaCar"/>
    <w:uiPriority w:val="99"/>
    <w:unhideWhenUsed/>
    <w:rsid w:val="00CF746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F7469"/>
  </w:style>
  <w:style w:type="paragraph" w:styleId="Textodeglobo">
    <w:name w:val="Balloon Text"/>
    <w:basedOn w:val="Normal"/>
    <w:link w:val="TextodegloboCar"/>
    <w:uiPriority w:val="99"/>
    <w:semiHidden/>
    <w:unhideWhenUsed/>
    <w:rsid w:val="00CF746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F74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s://www.boe.es/diario_boe/txt" TargetMode="External"/><Relationship Id="rId2" Type="http://schemas.openxmlformats.org/officeDocument/2006/relationships/hyperlink" Target="https://www.boe.es/diario_boe/txt" TargetMode="External"/><Relationship Id="rId1" Type="http://schemas.openxmlformats.org/officeDocument/2006/relationships/hyperlink" Target="https://www.boe.es/diario_boe/txt" TargetMode="External"/><Relationship Id="rId4" Type="http://schemas.openxmlformats.org/officeDocument/2006/relationships/hyperlink" Target="https://www.boe.es/diario_boe/tx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3F6E32-075A-4958-8DFA-140DB1572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14514</Words>
  <Characters>79827</Characters>
  <Application>Microsoft Office Word</Application>
  <DocSecurity>0</DocSecurity>
  <Lines>665</Lines>
  <Paragraphs>188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dcterms:created xsi:type="dcterms:W3CDTF">2017-06-01T14:55:00Z</dcterms:created>
  <dcterms:modified xsi:type="dcterms:W3CDTF">2017-06-01T14:55:00Z</dcterms:modified>
</cp:coreProperties>
</file>